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AEBC1" w14:textId="34B1D665" w:rsidR="00705FD5" w:rsidRDefault="0098284F" w:rsidP="001E3F8F">
      <w:pPr>
        <w:spacing w:after="0"/>
        <w:rPr>
          <w:noProof/>
        </w:rPr>
      </w:pPr>
      <w:r>
        <w:rPr>
          <w:noProof/>
        </w:rPr>
        <mc:AlternateContent>
          <mc:Choice Requires="wpg">
            <w:drawing>
              <wp:inline distT="0" distB="0" distL="0" distR="0" wp14:anchorId="677A8CAC" wp14:editId="4FE09A5D">
                <wp:extent cx="2160000" cy="10089931"/>
                <wp:effectExtent l="0" t="0" r="0" b="6985"/>
                <wp:docPr id="1838960883" name="Group 1838960883" descr="This is a design image which includes a reference to the year 2022 - 202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2160000" cy="10089931"/>
                          <a:chOff x="0" y="0"/>
                          <a:chExt cx="2194560" cy="9125712"/>
                        </a:xfrm>
                      </wpg:grpSpPr>
                      <wps:wsp>
                        <wps:cNvPr id="1298505946" name="Rectangle 1298505946">
                          <a:extLst>
                            <a:ext uri="{C183D7F6-B498-43B3-948B-1728B52AA6E4}">
                              <adec:decorative xmlns:adec="http://schemas.microsoft.com/office/drawing/2017/decorative" val="1"/>
                            </a:ext>
                          </a:extLst>
                        </wps:cNvPr>
                        <wps:cNvSpPr/>
                        <wps:spPr>
                          <a:xfrm>
                            <a:off x="0" y="0"/>
                            <a:ext cx="194535" cy="9125712"/>
                          </a:xfrm>
                          <a:prstGeom prst="rect">
                            <a:avLst/>
                          </a:prstGeom>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2113472" name="Pentagon 4" descr="2022-2023">
                          <a:extLst>
                            <a:ext uri="{C183D7F6-B498-43B3-948B-1728B52AA6E4}">
                              <adec:decorative xmlns:adec="http://schemas.microsoft.com/office/drawing/2017/decorative" val="0"/>
                            </a:ext>
                          </a:extLst>
                        </wps:cNvPr>
                        <wps:cNvSpPr/>
                        <wps:spPr>
                          <a:xfrm>
                            <a:off x="0" y="2171699"/>
                            <a:ext cx="2194560" cy="1089599"/>
                          </a:xfrm>
                          <a:prstGeom prst="homePlate">
                            <a:avLst/>
                          </a:prstGeom>
                          <a:ln>
                            <a:noFill/>
                          </a:ln>
                        </wps:spPr>
                        <wps:style>
                          <a:lnRef idx="0">
                            <a:scrgbClr r="0" g="0" b="0"/>
                          </a:lnRef>
                          <a:fillRef idx="1001">
                            <a:schemeClr val="dk2"/>
                          </a:fillRef>
                          <a:effectRef idx="0">
                            <a:scrgbClr r="0" g="0" b="0"/>
                          </a:effectRef>
                          <a:fontRef idx="minor">
                            <a:schemeClr val="lt1"/>
                          </a:fontRef>
                        </wps:style>
                        <wps:txbx>
                          <w:txbxContent>
                            <w:sdt>
                              <w:sdtPr>
                                <w:rPr>
                                  <w:sz w:val="28"/>
                                  <w:szCs w:val="28"/>
                                </w:rPr>
                                <w:alias w:val="Date"/>
                                <w:tag w:val=""/>
                                <w:id w:val="466175683"/>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6BEF7BD3" w14:textId="77777777" w:rsidR="0098284F" w:rsidRPr="001C0244" w:rsidRDefault="0098284F" w:rsidP="0098284F">
                                  <w:pPr>
                                    <w:pStyle w:val="NoSpacing"/>
                                    <w:jc w:val="right"/>
                                    <w:rPr>
                                      <w:sz w:val="28"/>
                                      <w:szCs w:val="28"/>
                                    </w:rPr>
                                  </w:pPr>
                                  <w:r w:rsidRPr="001C0244">
                                    <w:rPr>
                                      <w:sz w:val="28"/>
                                      <w:szCs w:val="28"/>
                                    </w:rPr>
                                    <w:t>2022–2023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392582591" name="Group 392582591"/>
                        <wpg:cNvGrpSpPr/>
                        <wpg:grpSpPr>
                          <a:xfrm>
                            <a:off x="76200" y="4210050"/>
                            <a:ext cx="2057400" cy="4910328"/>
                            <a:chOff x="80645" y="4211812"/>
                            <a:chExt cx="1306273" cy="3121026"/>
                          </a:xfrm>
                        </wpg:grpSpPr>
                        <wpg:grpSp>
                          <wpg:cNvPr id="1538159479" name="Group 1538159479"/>
                          <wpg:cNvGrpSpPr>
                            <a:grpSpLocks noChangeAspect="1"/>
                          </wpg:cNvGrpSpPr>
                          <wpg:grpSpPr>
                            <a:xfrm>
                              <a:off x="141062" y="4211812"/>
                              <a:ext cx="1047750" cy="3121026"/>
                              <a:chOff x="141062" y="4211812"/>
                              <a:chExt cx="1047750" cy="3121026"/>
                            </a:xfrm>
                          </wpg:grpSpPr>
                          <wps:wsp>
                            <wps:cNvPr id="191922552" name="Freeform 20">
                              <a:extLst>
                                <a:ext uri="{C183D7F6-B498-43B3-948B-1728B52AA6E4}">
                                  <adec:decorative xmlns:adec="http://schemas.microsoft.com/office/drawing/2017/decorative" val="1"/>
                                </a:ext>
                              </a:extLst>
                            </wps:cNvPr>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18958194" name="Freeform 21">
                              <a:extLst>
                                <a:ext uri="{C183D7F6-B498-43B3-948B-1728B52AA6E4}">
                                  <adec:decorative xmlns:adec="http://schemas.microsoft.com/office/drawing/2017/decorative" val="1"/>
                                </a:ext>
                              </a:extLst>
                            </wps:cNvPr>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03559760" name="Freeform 22">
                              <a:extLst>
                                <a:ext uri="{C183D7F6-B498-43B3-948B-1728B52AA6E4}">
                                  <adec:decorative xmlns:adec="http://schemas.microsoft.com/office/drawing/2017/decorative" val="1"/>
                                </a:ext>
                              </a:extLst>
                            </wps:cNvPr>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43692080" name="Freeform 23">
                              <a:extLst>
                                <a:ext uri="{C183D7F6-B498-43B3-948B-1728B52AA6E4}">
                                  <adec:decorative xmlns:adec="http://schemas.microsoft.com/office/drawing/2017/decorative" val="1"/>
                                </a:ext>
                              </a:extLst>
                            </wps:cNvPr>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37914062"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4501963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6619137"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4303941" name="Freeform 27">
                              <a:extLst>
                                <a:ext uri="{C183D7F6-B498-43B3-948B-1728B52AA6E4}">
                                  <adec:decorative xmlns:adec="http://schemas.microsoft.com/office/drawing/2017/decorative" val="1"/>
                                </a:ext>
                              </a:extLst>
                            </wps:cNvPr>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36806611"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8368963"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14105244"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57328960"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94804453" name="Group 794804453"/>
                          <wpg:cNvGrpSpPr>
                            <a:grpSpLocks noChangeAspect="1"/>
                          </wpg:cNvGrpSpPr>
                          <wpg:grpSpPr>
                            <a:xfrm>
                              <a:off x="80645" y="4826972"/>
                              <a:ext cx="1306273" cy="2505863"/>
                              <a:chOff x="80645" y="4649964"/>
                              <a:chExt cx="874712" cy="1677988"/>
                            </a:xfrm>
                          </wpg:grpSpPr>
                          <wps:wsp>
                            <wps:cNvPr id="66445704" name="Freeform 8">
                              <a:extLst>
                                <a:ext uri="{C183D7F6-B498-43B3-948B-1728B52AA6E4}">
                                  <adec:decorative xmlns:adec="http://schemas.microsoft.com/office/drawing/2017/decorative" val="1"/>
                                </a:ext>
                              </a:extLst>
                            </wps:cNvPr>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31263120" name="Freeform 9">
                              <a:extLst>
                                <a:ext uri="{C183D7F6-B498-43B3-948B-1728B52AA6E4}">
                                  <adec:decorative xmlns:adec="http://schemas.microsoft.com/office/drawing/2017/decorative" val="1"/>
                                </a:ext>
                              </a:extLst>
                            </wps:cNvPr>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75138294"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34101747" name="Freeform 12">
                              <a:extLst>
                                <a:ext uri="{C183D7F6-B498-43B3-948B-1728B52AA6E4}">
                                  <adec:decorative xmlns:adec="http://schemas.microsoft.com/office/drawing/2017/decorative" val="1"/>
                                </a:ext>
                              </a:extLst>
                            </wps:cNvPr>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44201666" name="Freeform 13">
                              <a:extLst>
                                <a:ext uri="{C183D7F6-B498-43B3-948B-1728B52AA6E4}">
                                  <adec:decorative xmlns:adec="http://schemas.microsoft.com/office/drawing/2017/decorative" val="1"/>
                                </a:ext>
                              </a:extLst>
                            </wps:cNvPr>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8401648"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4529082" name="Freeform 15">
                              <a:extLst>
                                <a:ext uri="{C183D7F6-B498-43B3-948B-1728B52AA6E4}">
                                  <adec:decorative xmlns:adec="http://schemas.microsoft.com/office/drawing/2017/decorative" val="1"/>
                                </a:ext>
                              </a:extLst>
                            </wps:cNvPr>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89271097" name="Freeform 16">
                              <a:extLst>
                                <a:ext uri="{C183D7F6-B498-43B3-948B-1728B52AA6E4}">
                                  <adec:decorative xmlns:adec="http://schemas.microsoft.com/office/drawing/2017/decorative" val="1"/>
                                </a:ext>
                              </a:extLst>
                            </wps:cNvPr>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41553509"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63820272"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74451816"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inline>
            </w:drawing>
          </mc:Choice>
          <mc:Fallback>
            <w:pict>
              <v:group w14:anchorId="677A8CAC" id="Group 1838960883" o:spid="_x0000_s1026" alt="This is a design image which includes a reference to the year 2022 - 2023" style="width:170.1pt;height:794.5pt;mso-position-horizontal-relative:char;mso-position-vertical-relative:line"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">
                <v:rect id="Rectangle 1298505946" o:spid="_x0000_s1027" alt="&quot;&quot;"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" fillcolor="#8db3e2 [1298]" stroked="f" strokeweight="2pt">
                  <v:fill color2="#060e18 [642]" rotate="t" focusposition=".5,-52429f" focussize="" colors="0 #bec9e5;26214f #b4c1e1;1 #001a5e" focus="100%" type="gradientRadial"/>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alt="2022-2023" style="position:absolute;top:21716;width:21945;height:10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" adj="16238" fillcolor="#1f497d [3202]" stroked="f">
                  <v:textbox inset=",0,14.4pt,0">
                    <w:txbxContent>
                      <w:sdt>
                        <w:sdtPr>
                          <w:rPr>
                            <w:sz w:val="28"/>
                            <w:szCs w:val="28"/>
                          </w:rPr>
                          <w:alias w:val="Date"/>
                          <w:tag w:val=""/>
                          <w:id w:val="466175683"/>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6BEF7BD3" w14:textId="77777777" w:rsidR="0098284F" w:rsidRPr="001C0244" w:rsidRDefault="0098284F" w:rsidP="0098284F">
                            <w:pPr>
                              <w:pStyle w:val="NoSpacing"/>
                              <w:jc w:val="right"/>
                              <w:rPr>
                                <w:sz w:val="28"/>
                                <w:szCs w:val="28"/>
                              </w:rPr>
                            </w:pPr>
                            <w:r w:rsidRPr="001C0244">
                              <w:rPr>
                                <w:sz w:val="28"/>
                                <w:szCs w:val="28"/>
                              </w:rPr>
                              <w:t>2022–2023</w:t>
                            </w:r>
                          </w:p>
                        </w:sdtContent>
                      </w:sdt>
                    </w:txbxContent>
                  </v:textbox>
                </v:shape>
                <v:group id="Group 392582591"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">
                  <v:group id="Group 1538159479"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">
                    <o:lock v:ext="edit" aspectratio="t"/>
                    <v:shape id="Freeform 20" o:spid="_x0000_s1031" alt="&quot;&quot;"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alt="&quot;&quot;"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alt="&quot;&quot;"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alt="&quot;&quot;"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" path="m,l9,37r,3l15,93,5,49,,xe" fillcolor="#1f497d [3215]" strokecolor="#1f497d [3215]" strokeweight="0">
                      <v:path arrowok="t" o:connecttype="custom" o:connectlocs="0,0;14288,58738;14288,63500;23813,147638;7938,77788;0,0" o:connectangles="0,0,0,0,0,0"/>
                    </v:shape>
                    <v:shape id="Freeform 27" o:spid="_x0000_s1038" alt="&quot;&quot;"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94804453"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">
                    <o:lock v:ext="edit" aspectratio="t"/>
                    <v:shape id="Freeform 8" o:spid="_x0000_s1044" alt="&quot;&quot;"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alt="&quot;&quot;"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alt="&quot;&quot;"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alt="&quot;&quot;"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alt="&quot;&quot;"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alt="&quot;&quot;"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anchorlock/>
              </v:group>
            </w:pict>
          </mc:Fallback>
        </mc:AlternateContent>
      </w:r>
    </w:p>
    <w:p w14:paraId="7E202DC1" w14:textId="179250B3" w:rsidR="008D0F54" w:rsidRDefault="00705FD5" w:rsidP="001E3F8F">
      <w:pPr>
        <w:spacing w:after="0"/>
        <w:rPr>
          <w:noProof/>
        </w:rPr>
      </w:pPr>
      <w:r>
        <w:rPr>
          <w:noProof/>
        </w:rPr>
        <w:br w:type="column"/>
      </w:r>
      <w:r w:rsidRPr="00417E6E">
        <w:rPr>
          <w:noProof/>
        </w:rPr>
        <w:t xml:space="preserve"> </w:t>
      </w:r>
    </w:p>
    <w:p w14:paraId="5EC063C6" w14:textId="77777777" w:rsidR="001E3F8F" w:rsidRDefault="001E3F8F" w:rsidP="001E3F8F">
      <w:pPr>
        <w:spacing w:after="0"/>
        <w:rPr>
          <w:noProof/>
        </w:rPr>
      </w:pPr>
    </w:p>
    <w:p w14:paraId="197BA9D2" w14:textId="77777777" w:rsidR="001E3F8F" w:rsidRDefault="001E3F8F" w:rsidP="001E3F8F">
      <w:pPr>
        <w:spacing w:after="0"/>
        <w:rPr>
          <w:noProof/>
        </w:rPr>
      </w:pPr>
    </w:p>
    <w:p w14:paraId="6F23AD79" w14:textId="77777777" w:rsidR="001E3F8F" w:rsidRDefault="001E3F8F" w:rsidP="001E3F8F">
      <w:pPr>
        <w:spacing w:after="0"/>
        <w:rPr>
          <w:noProof/>
        </w:rPr>
      </w:pPr>
    </w:p>
    <w:p w14:paraId="40722DEB" w14:textId="77777777" w:rsidR="001E3F8F" w:rsidRDefault="001E3F8F" w:rsidP="001E3F8F">
      <w:pPr>
        <w:spacing w:after="0"/>
        <w:rPr>
          <w:noProof/>
        </w:rPr>
      </w:pPr>
    </w:p>
    <w:p w14:paraId="16318851" w14:textId="77777777" w:rsidR="001E3F8F" w:rsidRDefault="001E3F8F" w:rsidP="001E3F8F">
      <w:pPr>
        <w:spacing w:after="0"/>
        <w:rPr>
          <w:noProof/>
        </w:rPr>
      </w:pPr>
    </w:p>
    <w:p w14:paraId="1C419331" w14:textId="77777777" w:rsidR="001E3F8F" w:rsidRDefault="001E3F8F" w:rsidP="001E3F8F">
      <w:pPr>
        <w:spacing w:after="0"/>
        <w:rPr>
          <w:noProof/>
        </w:rPr>
      </w:pPr>
    </w:p>
    <w:p w14:paraId="3366440C" w14:textId="77777777" w:rsidR="001E3F8F" w:rsidRDefault="001E3F8F" w:rsidP="001E3F8F">
      <w:pPr>
        <w:spacing w:after="0"/>
        <w:rPr>
          <w:noProof/>
        </w:rPr>
      </w:pPr>
    </w:p>
    <w:p w14:paraId="34C659F9" w14:textId="77777777" w:rsidR="001E3F8F" w:rsidRDefault="001E3F8F" w:rsidP="001E3F8F">
      <w:pPr>
        <w:spacing w:after="0"/>
        <w:rPr>
          <w:noProof/>
        </w:rPr>
      </w:pPr>
    </w:p>
    <w:p w14:paraId="35FB4CE7" w14:textId="77777777" w:rsidR="001E3F8F" w:rsidRDefault="001E3F8F" w:rsidP="001E3F8F">
      <w:pPr>
        <w:spacing w:after="0"/>
        <w:rPr>
          <w:noProof/>
        </w:rPr>
      </w:pPr>
    </w:p>
    <w:p w14:paraId="21D0A9EE" w14:textId="77777777" w:rsidR="001E3F8F" w:rsidRDefault="001E3F8F" w:rsidP="001E3F8F">
      <w:pPr>
        <w:spacing w:after="0"/>
        <w:rPr>
          <w:noProof/>
        </w:rPr>
      </w:pPr>
    </w:p>
    <w:p w14:paraId="5D5A9E21" w14:textId="77777777" w:rsidR="001E3F8F" w:rsidRDefault="001E3F8F" w:rsidP="001E3F8F">
      <w:pPr>
        <w:spacing w:after="0"/>
        <w:rPr>
          <w:noProof/>
        </w:rPr>
      </w:pPr>
    </w:p>
    <w:p w14:paraId="28A9DAE2" w14:textId="77777777" w:rsidR="001E3F8F" w:rsidRDefault="001E3F8F" w:rsidP="001E3F8F">
      <w:pPr>
        <w:spacing w:after="0"/>
        <w:rPr>
          <w:noProof/>
        </w:rPr>
      </w:pPr>
    </w:p>
    <w:p w14:paraId="5F4C11A4" w14:textId="77777777" w:rsidR="001E3F8F" w:rsidRDefault="001E3F8F" w:rsidP="001E3F8F">
      <w:pPr>
        <w:spacing w:after="0"/>
      </w:pPr>
    </w:p>
    <w:p w14:paraId="15BACA71" w14:textId="05E72907" w:rsidR="008D0F54" w:rsidRDefault="001E3F8F" w:rsidP="008E73D0">
      <w:pPr>
        <w:spacing w:after="0"/>
        <w:sectPr w:rsidR="008D0F54" w:rsidSect="00512E04">
          <w:headerReference w:type="even" r:id="rId12"/>
          <w:headerReference w:type="default" r:id="rId13"/>
          <w:footerReference w:type="even" r:id="rId14"/>
          <w:footerReference w:type="default" r:id="rId15"/>
          <w:pgSz w:w="11907" w:h="16840" w:code="9"/>
          <w:pgMar w:top="464" w:right="1080" w:bottom="0" w:left="1080" w:header="709" w:footer="496" w:gutter="0"/>
          <w:pgNumType w:start="0"/>
          <w:cols w:num="2" w:space="0" w:equalWidth="0">
            <w:col w:w="3686" w:space="0"/>
            <w:col w:w="6061"/>
          </w:cols>
          <w:titlePg/>
          <w:docGrid w:linePitch="360"/>
        </w:sectPr>
      </w:pPr>
      <w:r>
        <w:rPr>
          <w:noProof/>
        </w:rPr>
        <mc:AlternateContent>
          <mc:Choice Requires="wps">
            <w:drawing>
              <wp:inline distT="0" distB="0" distL="0" distR="0" wp14:anchorId="7BCBF9D7" wp14:editId="4852116B">
                <wp:extent cx="3373821" cy="6313585"/>
                <wp:effectExtent l="0" t="0" r="4445" b="0"/>
                <wp:docPr id="1" name="Text Box 1" descr="This text box contains the title of the document: Annual Report Education and Care Services Ombudsman and National Education and Care Services Freedom of Information and Privacy Commissione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3373821" cy="6313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4A7B0" w14:textId="77777777" w:rsidR="001E3F8F" w:rsidRDefault="00981F63" w:rsidP="001E3F8F">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E3F8F">
                                  <w:rPr>
                                    <w:rFonts w:asciiTheme="majorHAnsi" w:eastAsiaTheme="majorEastAsia" w:hAnsiTheme="majorHAnsi" w:cstheme="majorBidi"/>
                                    <w:color w:val="262626" w:themeColor="text1" w:themeTint="D9"/>
                                    <w:sz w:val="72"/>
                                    <w:szCs w:val="72"/>
                                  </w:rPr>
                                  <w:t>Annual Report</w:t>
                                </w:r>
                              </w:sdtContent>
                            </w:sdt>
                          </w:p>
                          <w:p w14:paraId="6341EBD1" w14:textId="77777777" w:rsidR="001E3F8F" w:rsidRPr="006A0D26" w:rsidRDefault="00981F63" w:rsidP="001E3F8F">
                            <w:pPr>
                              <w:spacing w:before="120"/>
                              <w:rPr>
                                <w:color w:val="1F497D" w:themeColor="text2"/>
                                <w:sz w:val="36"/>
                                <w:szCs w:val="36"/>
                              </w:rPr>
                            </w:pPr>
                            <w:sdt>
                              <w:sdtPr>
                                <w:rPr>
                                  <w:color w:val="1F497D" w:themeColor="text2"/>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1E3F8F">
                                  <w:rPr>
                                    <w:color w:val="1F497D" w:themeColor="text2"/>
                                    <w:sz w:val="36"/>
                                    <w:szCs w:val="36"/>
                                  </w:rPr>
                                  <w:t>Education and Care Services Ombudsman and National Education and Care Services Freedom of Information &amp; Privacy Commissioners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7BCBF9D7" id="_x0000_t202" coordsize="21600,21600" o:spt="202" path="m,l,21600r21600,l21600,xe">
                <v:stroke joinstyle="miter"/>
                <v:path gradientshapeok="t" o:connecttype="rect"/>
              </v:shapetype>
              <v:shape id="Text Box 1" o:spid="_x0000_s1055" type="#_x0000_t202" alt="This text box contains the title of the document: Annual Report Education and Care Services Ombudsman and National Education and Care Services Freedom of Information and Privacy Commissioners" style="width:265.65pt;height:49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" filled="f" stroked="f" strokeweight=".5pt">
                <v:textbox inset="0,0,0,0">
                  <w:txbxContent>
                    <w:p w14:paraId="5224A7B0" w14:textId="77777777" w:rsidR="001E3F8F" w:rsidRDefault="00981F63" w:rsidP="001E3F8F">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E3F8F">
                            <w:rPr>
                              <w:rFonts w:asciiTheme="majorHAnsi" w:eastAsiaTheme="majorEastAsia" w:hAnsiTheme="majorHAnsi" w:cstheme="majorBidi"/>
                              <w:color w:val="262626" w:themeColor="text1" w:themeTint="D9"/>
                              <w:sz w:val="72"/>
                              <w:szCs w:val="72"/>
                            </w:rPr>
                            <w:t>Annual Report</w:t>
                          </w:r>
                        </w:sdtContent>
                      </w:sdt>
                    </w:p>
                    <w:p w14:paraId="6341EBD1" w14:textId="77777777" w:rsidR="001E3F8F" w:rsidRPr="006A0D26" w:rsidRDefault="00981F63" w:rsidP="001E3F8F">
                      <w:pPr>
                        <w:spacing w:before="120"/>
                        <w:rPr>
                          <w:color w:val="1F497D" w:themeColor="text2"/>
                          <w:sz w:val="36"/>
                          <w:szCs w:val="36"/>
                        </w:rPr>
                      </w:pPr>
                      <w:sdt>
                        <w:sdtPr>
                          <w:rPr>
                            <w:color w:val="1F497D" w:themeColor="text2"/>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1E3F8F">
                            <w:rPr>
                              <w:color w:val="1F497D" w:themeColor="text2"/>
                              <w:sz w:val="36"/>
                              <w:szCs w:val="36"/>
                            </w:rPr>
                            <w:t>Education and Care Services Ombudsman and National Education and Care Services Freedom of Information &amp; Privacy Commissioners</w:t>
                          </w:r>
                        </w:sdtContent>
                      </w:sdt>
                    </w:p>
                  </w:txbxContent>
                </v:textbox>
                <w10:anchorlock/>
              </v:shape>
            </w:pict>
          </mc:Fallback>
        </mc:AlternateContent>
      </w:r>
      <w:r w:rsidRPr="00417E6E">
        <w:rPr>
          <w:noProof/>
        </w:rPr>
        <w:drawing>
          <wp:inline distT="0" distB="0" distL="0" distR="0" wp14:anchorId="101DA0D3" wp14:editId="2650FDE9">
            <wp:extent cx="3745661" cy="937260"/>
            <wp:effectExtent l="0" t="0" r="1270" b="2540"/>
            <wp:docPr id="4" name="Picture 4" descr="National Education and Care Services FOI and Privacy Commissioners and Ombudsma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ational Education and Care Services FOI and Privacy Commissioners and Ombudsman logo">
                      <a:extLst>
                        <a:ext uri="{C183D7F6-B498-43B3-948B-1728B52AA6E4}">
                          <adec:decorative xmlns:adec="http://schemas.microsoft.com/office/drawing/2017/decorative" val="0"/>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5412" t="5000" r="250" b="5000"/>
                    <a:stretch/>
                  </pic:blipFill>
                  <pic:spPr bwMode="auto">
                    <a:xfrm>
                      <a:off x="0" y="0"/>
                      <a:ext cx="3768281" cy="942920"/>
                    </a:xfrm>
                    <a:prstGeom prst="rect">
                      <a:avLst/>
                    </a:prstGeom>
                    <a:noFill/>
                    <a:ln>
                      <a:noFill/>
                    </a:ln>
                    <a:extLst>
                      <a:ext uri="{53640926-AAD7-44D8-BBD7-CCE9431645EC}">
                        <a14:shadowObscured xmlns:a14="http://schemas.microsoft.com/office/drawing/2010/main"/>
                      </a:ext>
                    </a:extLst>
                  </pic:spPr>
                </pic:pic>
              </a:graphicData>
            </a:graphic>
          </wp:inline>
        </w:drawing>
      </w:r>
      <w:r w:rsidR="008D0F54">
        <w:br w:type="column"/>
      </w:r>
    </w:p>
    <w:p w14:paraId="07A3E29C" w14:textId="77777777" w:rsidR="008D0F54" w:rsidRDefault="008D0F54" w:rsidP="005440AC"/>
    <w:p w14:paraId="36A90951" w14:textId="7FBCC379" w:rsidR="00A01068" w:rsidRPr="008D0F54" w:rsidRDefault="00A01068" w:rsidP="005440AC">
      <w:r w:rsidRPr="001B0F89">
        <w:rPr>
          <w:rFonts w:asciiTheme="majorHAnsi" w:hAnsiTheme="majorHAnsi"/>
          <w:color w:val="365F91" w:themeColor="accent1" w:themeShade="BF"/>
          <w:sz w:val="32"/>
          <w:szCs w:val="32"/>
        </w:rPr>
        <w:t>Table of contents</w:t>
      </w:r>
    </w:p>
    <w:p w14:paraId="2BC6FCB7" w14:textId="3201A093" w:rsidR="0080151D" w:rsidRDefault="00A01068" w:rsidP="0080151D">
      <w:pPr>
        <w:pStyle w:val="TOC1"/>
        <w:rPr>
          <w:rFonts w:asciiTheme="minorHAnsi" w:eastAsiaTheme="minorEastAsia" w:hAnsiTheme="minorHAnsi" w:cstheme="minorBidi"/>
          <w:noProof/>
          <w:kern w:val="2"/>
          <w:lang w:eastAsia="en-AU"/>
          <w14:ligatures w14:val="standardContextual"/>
        </w:rPr>
      </w:pPr>
      <w:r w:rsidRPr="00827446">
        <w:rPr>
          <w:sz w:val="22"/>
          <w:szCs w:val="22"/>
        </w:rPr>
        <w:fldChar w:fldCharType="begin"/>
      </w:r>
      <w:r w:rsidRPr="00827446">
        <w:rPr>
          <w:sz w:val="22"/>
          <w:szCs w:val="22"/>
        </w:rPr>
        <w:instrText xml:space="preserve"> TOC \o "1-2" \h \z \u </w:instrText>
      </w:r>
      <w:r w:rsidRPr="00827446">
        <w:rPr>
          <w:sz w:val="22"/>
          <w:szCs w:val="22"/>
        </w:rPr>
        <w:fldChar w:fldCharType="separate"/>
      </w:r>
      <w:hyperlink w:anchor="_Toc160544948" w:history="1">
        <w:r w:rsidR="0080151D" w:rsidRPr="00851638">
          <w:rPr>
            <w:rStyle w:val="Hyperlink"/>
            <w:noProof/>
          </w:rPr>
          <w:t>Letter of Transmittal</w:t>
        </w:r>
        <w:r w:rsidR="0080151D">
          <w:rPr>
            <w:noProof/>
            <w:webHidden/>
          </w:rPr>
          <w:tab/>
        </w:r>
        <w:r w:rsidR="0080151D">
          <w:rPr>
            <w:noProof/>
            <w:webHidden/>
          </w:rPr>
          <w:fldChar w:fldCharType="begin"/>
        </w:r>
        <w:r w:rsidR="0080151D">
          <w:rPr>
            <w:noProof/>
            <w:webHidden/>
          </w:rPr>
          <w:instrText xml:space="preserve"> PAGEREF _Toc160544948 \h </w:instrText>
        </w:r>
        <w:r w:rsidR="0080151D">
          <w:rPr>
            <w:noProof/>
            <w:webHidden/>
          </w:rPr>
        </w:r>
        <w:r w:rsidR="0080151D">
          <w:rPr>
            <w:noProof/>
            <w:webHidden/>
          </w:rPr>
          <w:fldChar w:fldCharType="separate"/>
        </w:r>
        <w:r w:rsidR="00372B21">
          <w:rPr>
            <w:noProof/>
            <w:webHidden/>
          </w:rPr>
          <w:t>1</w:t>
        </w:r>
        <w:r w:rsidR="0080151D">
          <w:rPr>
            <w:noProof/>
            <w:webHidden/>
          </w:rPr>
          <w:fldChar w:fldCharType="end"/>
        </w:r>
      </w:hyperlink>
    </w:p>
    <w:p w14:paraId="0BD9C3C9" w14:textId="721FB367" w:rsidR="0080151D" w:rsidRDefault="00981F63" w:rsidP="0080151D">
      <w:pPr>
        <w:pStyle w:val="TOC1"/>
        <w:rPr>
          <w:rFonts w:asciiTheme="minorHAnsi" w:eastAsiaTheme="minorEastAsia" w:hAnsiTheme="minorHAnsi" w:cstheme="minorBidi"/>
          <w:noProof/>
          <w:kern w:val="2"/>
          <w:lang w:eastAsia="en-AU"/>
          <w14:ligatures w14:val="standardContextual"/>
        </w:rPr>
      </w:pPr>
      <w:hyperlink w:anchor="_Toc160544949" w:history="1">
        <w:r w:rsidR="0080151D" w:rsidRPr="00851638">
          <w:rPr>
            <w:rStyle w:val="Hyperlink"/>
            <w:noProof/>
          </w:rPr>
          <w:t>Overview</w:t>
        </w:r>
        <w:r w:rsidR="0080151D">
          <w:rPr>
            <w:noProof/>
            <w:webHidden/>
          </w:rPr>
          <w:tab/>
        </w:r>
        <w:r w:rsidR="0080151D">
          <w:rPr>
            <w:noProof/>
            <w:webHidden/>
          </w:rPr>
          <w:fldChar w:fldCharType="begin"/>
        </w:r>
        <w:r w:rsidR="0080151D">
          <w:rPr>
            <w:noProof/>
            <w:webHidden/>
          </w:rPr>
          <w:instrText xml:space="preserve"> PAGEREF _Toc160544949 \h </w:instrText>
        </w:r>
        <w:r w:rsidR="0080151D">
          <w:rPr>
            <w:noProof/>
            <w:webHidden/>
          </w:rPr>
        </w:r>
        <w:r w:rsidR="0080151D">
          <w:rPr>
            <w:noProof/>
            <w:webHidden/>
          </w:rPr>
          <w:fldChar w:fldCharType="separate"/>
        </w:r>
        <w:r w:rsidR="00372B21">
          <w:rPr>
            <w:noProof/>
            <w:webHidden/>
          </w:rPr>
          <w:t>2</w:t>
        </w:r>
        <w:r w:rsidR="0080151D">
          <w:rPr>
            <w:noProof/>
            <w:webHidden/>
          </w:rPr>
          <w:fldChar w:fldCharType="end"/>
        </w:r>
      </w:hyperlink>
    </w:p>
    <w:p w14:paraId="3C38BE8D" w14:textId="3C763E14" w:rsidR="0080151D" w:rsidRPr="00250151" w:rsidRDefault="00981F63" w:rsidP="00C06C81">
      <w:pPr>
        <w:pStyle w:val="TOC2"/>
        <w:rPr>
          <w:rFonts w:eastAsiaTheme="minorEastAsia" w:cstheme="minorBidi"/>
          <w:noProof/>
          <w:kern w:val="2"/>
          <w:sz w:val="24"/>
          <w:szCs w:val="24"/>
          <w:lang w:eastAsia="en-AU"/>
          <w14:ligatures w14:val="standardContextual"/>
        </w:rPr>
      </w:pPr>
      <w:hyperlink w:anchor="_Toc160544950" w:history="1">
        <w:r w:rsidR="0080151D" w:rsidRPr="00250151">
          <w:rPr>
            <w:rStyle w:val="Hyperlink"/>
            <w:b w:val="0"/>
            <w:bCs w:val="0"/>
            <w:noProof/>
          </w:rPr>
          <w:t>The ECS Commissioners</w:t>
        </w:r>
        <w:r w:rsidR="0080151D" w:rsidRPr="00250151">
          <w:rPr>
            <w:noProof/>
            <w:webHidden/>
          </w:rPr>
          <w:tab/>
        </w:r>
        <w:r w:rsidR="0080151D" w:rsidRPr="00250151">
          <w:rPr>
            <w:noProof/>
            <w:webHidden/>
          </w:rPr>
          <w:fldChar w:fldCharType="begin"/>
        </w:r>
        <w:r w:rsidR="0080151D" w:rsidRPr="00250151">
          <w:rPr>
            <w:noProof/>
            <w:webHidden/>
          </w:rPr>
          <w:instrText xml:space="preserve"> PAGEREF _Toc160544950 \h </w:instrText>
        </w:r>
        <w:r w:rsidR="0080151D" w:rsidRPr="00250151">
          <w:rPr>
            <w:noProof/>
            <w:webHidden/>
          </w:rPr>
        </w:r>
        <w:r w:rsidR="0080151D" w:rsidRPr="00250151">
          <w:rPr>
            <w:noProof/>
            <w:webHidden/>
          </w:rPr>
          <w:fldChar w:fldCharType="separate"/>
        </w:r>
        <w:r w:rsidR="00372B21">
          <w:rPr>
            <w:noProof/>
            <w:webHidden/>
          </w:rPr>
          <w:t>2</w:t>
        </w:r>
        <w:r w:rsidR="0080151D" w:rsidRPr="00250151">
          <w:rPr>
            <w:noProof/>
            <w:webHidden/>
          </w:rPr>
          <w:fldChar w:fldCharType="end"/>
        </w:r>
      </w:hyperlink>
    </w:p>
    <w:p w14:paraId="67F2FA77" w14:textId="4EAE571D" w:rsidR="0080151D" w:rsidRPr="00250151" w:rsidRDefault="00981F63" w:rsidP="00C06C81">
      <w:pPr>
        <w:pStyle w:val="TOC2"/>
        <w:rPr>
          <w:rFonts w:eastAsiaTheme="minorEastAsia" w:cstheme="minorBidi"/>
          <w:noProof/>
          <w:kern w:val="2"/>
          <w:sz w:val="24"/>
          <w:szCs w:val="24"/>
          <w:lang w:eastAsia="en-AU"/>
          <w14:ligatures w14:val="standardContextual"/>
        </w:rPr>
      </w:pPr>
      <w:hyperlink w:anchor="_Toc160544951" w:history="1">
        <w:r w:rsidR="0080151D" w:rsidRPr="00250151">
          <w:rPr>
            <w:rStyle w:val="Hyperlink"/>
            <w:b w:val="0"/>
            <w:bCs w:val="0"/>
            <w:noProof/>
          </w:rPr>
          <w:t>Legislative Framework</w:t>
        </w:r>
        <w:r w:rsidR="0080151D" w:rsidRPr="00250151">
          <w:rPr>
            <w:noProof/>
            <w:webHidden/>
          </w:rPr>
          <w:tab/>
        </w:r>
        <w:r w:rsidR="0080151D" w:rsidRPr="00250151">
          <w:rPr>
            <w:noProof/>
            <w:webHidden/>
          </w:rPr>
          <w:fldChar w:fldCharType="begin"/>
        </w:r>
        <w:r w:rsidR="0080151D" w:rsidRPr="00250151">
          <w:rPr>
            <w:noProof/>
            <w:webHidden/>
          </w:rPr>
          <w:instrText xml:space="preserve"> PAGEREF _Toc160544951 \h </w:instrText>
        </w:r>
        <w:r w:rsidR="0080151D" w:rsidRPr="00250151">
          <w:rPr>
            <w:noProof/>
            <w:webHidden/>
          </w:rPr>
        </w:r>
        <w:r w:rsidR="0080151D" w:rsidRPr="00250151">
          <w:rPr>
            <w:noProof/>
            <w:webHidden/>
          </w:rPr>
          <w:fldChar w:fldCharType="separate"/>
        </w:r>
        <w:r w:rsidR="00372B21">
          <w:rPr>
            <w:noProof/>
            <w:webHidden/>
          </w:rPr>
          <w:t>2</w:t>
        </w:r>
        <w:r w:rsidR="0080151D" w:rsidRPr="00250151">
          <w:rPr>
            <w:noProof/>
            <w:webHidden/>
          </w:rPr>
          <w:fldChar w:fldCharType="end"/>
        </w:r>
      </w:hyperlink>
    </w:p>
    <w:p w14:paraId="6F7F9FDD" w14:textId="62AA5BA4" w:rsidR="0080151D" w:rsidRPr="00250151" w:rsidRDefault="00981F63" w:rsidP="00C06C81">
      <w:pPr>
        <w:pStyle w:val="TOC2"/>
        <w:rPr>
          <w:rFonts w:eastAsiaTheme="minorEastAsia" w:cstheme="minorBidi"/>
          <w:noProof/>
          <w:kern w:val="2"/>
          <w:sz w:val="24"/>
          <w:szCs w:val="24"/>
          <w:lang w:eastAsia="en-AU"/>
          <w14:ligatures w14:val="standardContextual"/>
        </w:rPr>
      </w:pPr>
      <w:hyperlink w:anchor="_Toc160544952" w:history="1">
        <w:r w:rsidR="0080151D" w:rsidRPr="00250151">
          <w:rPr>
            <w:rStyle w:val="Hyperlink"/>
            <w:b w:val="0"/>
            <w:bCs w:val="0"/>
            <w:noProof/>
          </w:rPr>
          <w:t xml:space="preserve">The NQF </w:t>
        </w:r>
        <w:r w:rsidR="00C06C81">
          <w:rPr>
            <w:rStyle w:val="Hyperlink"/>
            <w:b w:val="0"/>
            <w:bCs w:val="0"/>
            <w:noProof/>
          </w:rPr>
          <w:t>a</w:t>
        </w:r>
        <w:r w:rsidR="0080151D" w:rsidRPr="00250151">
          <w:rPr>
            <w:rStyle w:val="Hyperlink"/>
            <w:b w:val="0"/>
            <w:bCs w:val="0"/>
            <w:noProof/>
          </w:rPr>
          <w:t>gencies and the NQF regulated education and care sector</w:t>
        </w:r>
        <w:r w:rsidR="0080151D" w:rsidRPr="00250151">
          <w:rPr>
            <w:noProof/>
            <w:webHidden/>
          </w:rPr>
          <w:tab/>
        </w:r>
        <w:r w:rsidR="0080151D" w:rsidRPr="00250151">
          <w:rPr>
            <w:noProof/>
            <w:webHidden/>
          </w:rPr>
          <w:fldChar w:fldCharType="begin"/>
        </w:r>
        <w:r w:rsidR="0080151D" w:rsidRPr="00250151">
          <w:rPr>
            <w:noProof/>
            <w:webHidden/>
          </w:rPr>
          <w:instrText xml:space="preserve"> PAGEREF _Toc160544952 \h </w:instrText>
        </w:r>
        <w:r w:rsidR="0080151D" w:rsidRPr="00250151">
          <w:rPr>
            <w:noProof/>
            <w:webHidden/>
          </w:rPr>
        </w:r>
        <w:r w:rsidR="0080151D" w:rsidRPr="00250151">
          <w:rPr>
            <w:noProof/>
            <w:webHidden/>
          </w:rPr>
          <w:fldChar w:fldCharType="separate"/>
        </w:r>
        <w:r w:rsidR="00372B21">
          <w:rPr>
            <w:noProof/>
            <w:webHidden/>
          </w:rPr>
          <w:t>3</w:t>
        </w:r>
        <w:r w:rsidR="0080151D" w:rsidRPr="00250151">
          <w:rPr>
            <w:noProof/>
            <w:webHidden/>
          </w:rPr>
          <w:fldChar w:fldCharType="end"/>
        </w:r>
      </w:hyperlink>
    </w:p>
    <w:p w14:paraId="0E24CC10" w14:textId="2BD61860" w:rsidR="0080151D" w:rsidRPr="00250151" w:rsidRDefault="00981F63" w:rsidP="00C06C81">
      <w:pPr>
        <w:pStyle w:val="TOC2"/>
        <w:rPr>
          <w:rFonts w:eastAsiaTheme="minorEastAsia" w:cstheme="minorBidi"/>
          <w:noProof/>
          <w:kern w:val="2"/>
          <w:sz w:val="24"/>
          <w:szCs w:val="24"/>
          <w:lang w:eastAsia="en-AU"/>
          <w14:ligatures w14:val="standardContextual"/>
        </w:rPr>
      </w:pPr>
      <w:hyperlink w:anchor="_Toc160544953" w:history="1">
        <w:r w:rsidR="0080151D" w:rsidRPr="00250151">
          <w:rPr>
            <w:rStyle w:val="Hyperlink"/>
            <w:b w:val="0"/>
            <w:bCs w:val="0"/>
            <w:noProof/>
          </w:rPr>
          <w:t>Vision and Purpose of the ECS Commissioners</w:t>
        </w:r>
        <w:r w:rsidR="0080151D" w:rsidRPr="00250151">
          <w:rPr>
            <w:noProof/>
            <w:webHidden/>
          </w:rPr>
          <w:tab/>
        </w:r>
        <w:r w:rsidR="0080151D" w:rsidRPr="00250151">
          <w:rPr>
            <w:noProof/>
            <w:webHidden/>
          </w:rPr>
          <w:fldChar w:fldCharType="begin"/>
        </w:r>
        <w:r w:rsidR="0080151D" w:rsidRPr="00250151">
          <w:rPr>
            <w:noProof/>
            <w:webHidden/>
          </w:rPr>
          <w:instrText xml:space="preserve"> PAGEREF _Toc160544953 \h </w:instrText>
        </w:r>
        <w:r w:rsidR="0080151D" w:rsidRPr="00250151">
          <w:rPr>
            <w:noProof/>
            <w:webHidden/>
          </w:rPr>
        </w:r>
        <w:r w:rsidR="0080151D" w:rsidRPr="00250151">
          <w:rPr>
            <w:noProof/>
            <w:webHidden/>
          </w:rPr>
          <w:fldChar w:fldCharType="separate"/>
        </w:r>
        <w:r w:rsidR="00372B21">
          <w:rPr>
            <w:noProof/>
            <w:webHidden/>
          </w:rPr>
          <w:t>3</w:t>
        </w:r>
        <w:r w:rsidR="0080151D" w:rsidRPr="00250151">
          <w:rPr>
            <w:noProof/>
            <w:webHidden/>
          </w:rPr>
          <w:fldChar w:fldCharType="end"/>
        </w:r>
      </w:hyperlink>
    </w:p>
    <w:p w14:paraId="34B52F25" w14:textId="5FB21A13" w:rsidR="0080151D" w:rsidRPr="00250151" w:rsidRDefault="00981F63" w:rsidP="00C06C81">
      <w:pPr>
        <w:pStyle w:val="TOC2"/>
        <w:rPr>
          <w:rFonts w:eastAsiaTheme="minorEastAsia" w:cstheme="minorBidi"/>
          <w:noProof/>
          <w:kern w:val="2"/>
          <w:sz w:val="24"/>
          <w:szCs w:val="24"/>
          <w:lang w:eastAsia="en-AU"/>
          <w14:ligatures w14:val="standardContextual"/>
        </w:rPr>
      </w:pPr>
      <w:hyperlink w:anchor="_Toc160544954" w:history="1">
        <w:r w:rsidR="0080151D" w:rsidRPr="00250151">
          <w:rPr>
            <w:rStyle w:val="Hyperlink"/>
            <w:b w:val="0"/>
            <w:bCs w:val="0"/>
            <w:noProof/>
          </w:rPr>
          <w:t>Reflections on 2022–2023</w:t>
        </w:r>
        <w:r w:rsidR="0080151D" w:rsidRPr="00250151">
          <w:rPr>
            <w:noProof/>
            <w:webHidden/>
          </w:rPr>
          <w:tab/>
        </w:r>
        <w:r w:rsidR="0080151D" w:rsidRPr="00250151">
          <w:rPr>
            <w:noProof/>
            <w:webHidden/>
          </w:rPr>
          <w:fldChar w:fldCharType="begin"/>
        </w:r>
        <w:r w:rsidR="0080151D" w:rsidRPr="00250151">
          <w:rPr>
            <w:noProof/>
            <w:webHidden/>
          </w:rPr>
          <w:instrText xml:space="preserve"> PAGEREF _Toc160544954 \h </w:instrText>
        </w:r>
        <w:r w:rsidR="0080151D" w:rsidRPr="00250151">
          <w:rPr>
            <w:noProof/>
            <w:webHidden/>
          </w:rPr>
        </w:r>
        <w:r w:rsidR="0080151D" w:rsidRPr="00250151">
          <w:rPr>
            <w:noProof/>
            <w:webHidden/>
          </w:rPr>
          <w:fldChar w:fldCharType="separate"/>
        </w:r>
        <w:r w:rsidR="00372B21">
          <w:rPr>
            <w:noProof/>
            <w:webHidden/>
          </w:rPr>
          <w:t>3</w:t>
        </w:r>
        <w:r w:rsidR="0080151D" w:rsidRPr="00250151">
          <w:rPr>
            <w:noProof/>
            <w:webHidden/>
          </w:rPr>
          <w:fldChar w:fldCharType="end"/>
        </w:r>
      </w:hyperlink>
    </w:p>
    <w:p w14:paraId="25DE7429" w14:textId="4F4505A9" w:rsidR="0080151D" w:rsidRPr="00250151" w:rsidRDefault="00981F63" w:rsidP="00C06C81">
      <w:pPr>
        <w:pStyle w:val="TOC2"/>
        <w:rPr>
          <w:rFonts w:eastAsiaTheme="minorEastAsia" w:cstheme="minorBidi"/>
          <w:noProof/>
          <w:kern w:val="2"/>
          <w:sz w:val="24"/>
          <w:szCs w:val="24"/>
          <w:lang w:eastAsia="en-AU"/>
          <w14:ligatures w14:val="standardContextual"/>
        </w:rPr>
      </w:pPr>
      <w:hyperlink w:anchor="_Toc160544955" w:history="1">
        <w:r w:rsidR="0080151D" w:rsidRPr="00250151">
          <w:rPr>
            <w:rStyle w:val="Hyperlink"/>
            <w:b w:val="0"/>
            <w:bCs w:val="0"/>
            <w:noProof/>
          </w:rPr>
          <w:t>Priorities for 2023</w:t>
        </w:r>
        <w:r w:rsidR="000C065F" w:rsidRPr="00250151">
          <w:rPr>
            <w:rStyle w:val="Hyperlink"/>
            <w:b w:val="0"/>
            <w:bCs w:val="0"/>
            <w:noProof/>
          </w:rPr>
          <w:t>–</w:t>
        </w:r>
        <w:r w:rsidR="0080151D" w:rsidRPr="00250151">
          <w:rPr>
            <w:rStyle w:val="Hyperlink"/>
            <w:b w:val="0"/>
            <w:bCs w:val="0"/>
            <w:noProof/>
          </w:rPr>
          <w:t>2024</w:t>
        </w:r>
        <w:r w:rsidR="0080151D" w:rsidRPr="00250151">
          <w:rPr>
            <w:noProof/>
            <w:webHidden/>
          </w:rPr>
          <w:tab/>
        </w:r>
        <w:r w:rsidR="0080151D" w:rsidRPr="00250151">
          <w:rPr>
            <w:noProof/>
            <w:webHidden/>
          </w:rPr>
          <w:fldChar w:fldCharType="begin"/>
        </w:r>
        <w:r w:rsidR="0080151D" w:rsidRPr="00250151">
          <w:rPr>
            <w:noProof/>
            <w:webHidden/>
          </w:rPr>
          <w:instrText xml:space="preserve"> PAGEREF _Toc160544955 \h </w:instrText>
        </w:r>
        <w:r w:rsidR="0080151D" w:rsidRPr="00250151">
          <w:rPr>
            <w:noProof/>
            <w:webHidden/>
          </w:rPr>
        </w:r>
        <w:r w:rsidR="0080151D" w:rsidRPr="00250151">
          <w:rPr>
            <w:noProof/>
            <w:webHidden/>
          </w:rPr>
          <w:fldChar w:fldCharType="separate"/>
        </w:r>
        <w:r w:rsidR="00372B21">
          <w:rPr>
            <w:noProof/>
            <w:webHidden/>
          </w:rPr>
          <w:t>5</w:t>
        </w:r>
        <w:r w:rsidR="0080151D" w:rsidRPr="00250151">
          <w:rPr>
            <w:noProof/>
            <w:webHidden/>
          </w:rPr>
          <w:fldChar w:fldCharType="end"/>
        </w:r>
      </w:hyperlink>
    </w:p>
    <w:p w14:paraId="621B1AF0" w14:textId="130D8CBC" w:rsidR="0080151D" w:rsidRDefault="00981F63" w:rsidP="0080151D">
      <w:pPr>
        <w:pStyle w:val="TOC1"/>
        <w:rPr>
          <w:rFonts w:asciiTheme="minorHAnsi" w:eastAsiaTheme="minorEastAsia" w:hAnsiTheme="minorHAnsi" w:cstheme="minorBidi"/>
          <w:noProof/>
          <w:kern w:val="2"/>
          <w:lang w:eastAsia="en-AU"/>
          <w14:ligatures w14:val="standardContextual"/>
        </w:rPr>
      </w:pPr>
      <w:hyperlink w:anchor="_Toc160544956" w:history="1">
        <w:r w:rsidR="0080151D" w:rsidRPr="00851638">
          <w:rPr>
            <w:rStyle w:val="Hyperlink"/>
            <w:noProof/>
            <w:lang w:val="en-US"/>
          </w:rPr>
          <w:t xml:space="preserve">Functions of the </w:t>
        </w:r>
        <w:r w:rsidR="0080151D" w:rsidRPr="00851638">
          <w:rPr>
            <w:rStyle w:val="Hyperlink"/>
            <w:noProof/>
          </w:rPr>
          <w:t>ECS</w:t>
        </w:r>
        <w:r w:rsidR="0080151D" w:rsidRPr="00851638">
          <w:rPr>
            <w:rStyle w:val="Hyperlink"/>
            <w:noProof/>
            <w:lang w:val="en-US"/>
          </w:rPr>
          <w:t xml:space="preserve"> Commissioners</w:t>
        </w:r>
        <w:r w:rsidR="0080151D">
          <w:rPr>
            <w:noProof/>
            <w:webHidden/>
          </w:rPr>
          <w:tab/>
        </w:r>
        <w:r w:rsidR="0080151D">
          <w:rPr>
            <w:noProof/>
            <w:webHidden/>
          </w:rPr>
          <w:fldChar w:fldCharType="begin"/>
        </w:r>
        <w:r w:rsidR="0080151D">
          <w:rPr>
            <w:noProof/>
            <w:webHidden/>
          </w:rPr>
          <w:instrText xml:space="preserve"> PAGEREF _Toc160544956 \h </w:instrText>
        </w:r>
        <w:r w:rsidR="0080151D">
          <w:rPr>
            <w:noProof/>
            <w:webHidden/>
          </w:rPr>
        </w:r>
        <w:r w:rsidR="0080151D">
          <w:rPr>
            <w:noProof/>
            <w:webHidden/>
          </w:rPr>
          <w:fldChar w:fldCharType="separate"/>
        </w:r>
        <w:r w:rsidR="00372B21">
          <w:rPr>
            <w:noProof/>
            <w:webHidden/>
          </w:rPr>
          <w:t>6</w:t>
        </w:r>
        <w:r w:rsidR="0080151D">
          <w:rPr>
            <w:noProof/>
            <w:webHidden/>
          </w:rPr>
          <w:fldChar w:fldCharType="end"/>
        </w:r>
      </w:hyperlink>
    </w:p>
    <w:p w14:paraId="44E5656B" w14:textId="74F9C2A4" w:rsidR="0080151D" w:rsidRPr="00250151" w:rsidRDefault="00981F63" w:rsidP="00C06C81">
      <w:pPr>
        <w:pStyle w:val="TOC2"/>
        <w:rPr>
          <w:rFonts w:eastAsiaTheme="minorEastAsia" w:cstheme="minorBidi"/>
          <w:noProof/>
          <w:kern w:val="2"/>
          <w:sz w:val="24"/>
          <w:szCs w:val="24"/>
          <w:lang w:eastAsia="en-AU"/>
          <w14:ligatures w14:val="standardContextual"/>
        </w:rPr>
      </w:pPr>
      <w:hyperlink w:anchor="_Toc160544957" w:history="1">
        <w:r w:rsidR="0080151D" w:rsidRPr="00250151">
          <w:rPr>
            <w:rStyle w:val="Hyperlink"/>
            <w:b w:val="0"/>
            <w:bCs w:val="0"/>
            <w:noProof/>
          </w:rPr>
          <w:t>Education and Care Services Ombudsman</w:t>
        </w:r>
        <w:r w:rsidR="0080151D" w:rsidRPr="00250151">
          <w:rPr>
            <w:noProof/>
            <w:webHidden/>
          </w:rPr>
          <w:tab/>
        </w:r>
        <w:r w:rsidR="0080151D" w:rsidRPr="00250151">
          <w:rPr>
            <w:noProof/>
            <w:webHidden/>
          </w:rPr>
          <w:fldChar w:fldCharType="begin"/>
        </w:r>
        <w:r w:rsidR="0080151D" w:rsidRPr="00250151">
          <w:rPr>
            <w:noProof/>
            <w:webHidden/>
          </w:rPr>
          <w:instrText xml:space="preserve"> PAGEREF _Toc160544957 \h </w:instrText>
        </w:r>
        <w:r w:rsidR="0080151D" w:rsidRPr="00250151">
          <w:rPr>
            <w:noProof/>
            <w:webHidden/>
          </w:rPr>
        </w:r>
        <w:r w:rsidR="0080151D" w:rsidRPr="00250151">
          <w:rPr>
            <w:noProof/>
            <w:webHidden/>
          </w:rPr>
          <w:fldChar w:fldCharType="separate"/>
        </w:r>
        <w:r w:rsidR="00372B21">
          <w:rPr>
            <w:noProof/>
            <w:webHidden/>
          </w:rPr>
          <w:t>6</w:t>
        </w:r>
        <w:r w:rsidR="0080151D" w:rsidRPr="00250151">
          <w:rPr>
            <w:noProof/>
            <w:webHidden/>
          </w:rPr>
          <w:fldChar w:fldCharType="end"/>
        </w:r>
      </w:hyperlink>
    </w:p>
    <w:p w14:paraId="2F7099DB" w14:textId="0455B63C" w:rsidR="0080151D" w:rsidRPr="00250151" w:rsidRDefault="00981F63" w:rsidP="00C06C81">
      <w:pPr>
        <w:pStyle w:val="TOC2"/>
        <w:rPr>
          <w:rFonts w:eastAsiaTheme="minorEastAsia" w:cstheme="minorBidi"/>
          <w:noProof/>
          <w:kern w:val="2"/>
          <w:sz w:val="24"/>
          <w:szCs w:val="24"/>
          <w:lang w:eastAsia="en-AU"/>
          <w14:ligatures w14:val="standardContextual"/>
        </w:rPr>
      </w:pPr>
      <w:hyperlink w:anchor="_Toc160544958" w:history="1">
        <w:r w:rsidR="0080151D" w:rsidRPr="00250151">
          <w:rPr>
            <w:rStyle w:val="Hyperlink"/>
            <w:b w:val="0"/>
            <w:bCs w:val="0"/>
            <w:noProof/>
          </w:rPr>
          <w:t>National Education and Care Services Freedom of Information Commissioner</w:t>
        </w:r>
        <w:r w:rsidR="0080151D" w:rsidRPr="00250151">
          <w:rPr>
            <w:noProof/>
            <w:webHidden/>
          </w:rPr>
          <w:tab/>
        </w:r>
        <w:r w:rsidR="0080151D" w:rsidRPr="00250151">
          <w:rPr>
            <w:noProof/>
            <w:webHidden/>
          </w:rPr>
          <w:fldChar w:fldCharType="begin"/>
        </w:r>
        <w:r w:rsidR="0080151D" w:rsidRPr="00250151">
          <w:rPr>
            <w:noProof/>
            <w:webHidden/>
          </w:rPr>
          <w:instrText xml:space="preserve"> PAGEREF _Toc160544958 \h </w:instrText>
        </w:r>
        <w:r w:rsidR="0080151D" w:rsidRPr="00250151">
          <w:rPr>
            <w:noProof/>
            <w:webHidden/>
          </w:rPr>
        </w:r>
        <w:r w:rsidR="0080151D" w:rsidRPr="00250151">
          <w:rPr>
            <w:noProof/>
            <w:webHidden/>
          </w:rPr>
          <w:fldChar w:fldCharType="separate"/>
        </w:r>
        <w:r w:rsidR="00372B21">
          <w:rPr>
            <w:noProof/>
            <w:webHidden/>
          </w:rPr>
          <w:t>6</w:t>
        </w:r>
        <w:r w:rsidR="0080151D" w:rsidRPr="00250151">
          <w:rPr>
            <w:noProof/>
            <w:webHidden/>
          </w:rPr>
          <w:fldChar w:fldCharType="end"/>
        </w:r>
      </w:hyperlink>
    </w:p>
    <w:p w14:paraId="0DCB3430" w14:textId="227E26E4" w:rsidR="0080151D" w:rsidRPr="00250151" w:rsidRDefault="00981F63" w:rsidP="00C06C81">
      <w:pPr>
        <w:pStyle w:val="TOC2"/>
        <w:rPr>
          <w:rFonts w:eastAsiaTheme="minorEastAsia" w:cstheme="minorBidi"/>
          <w:noProof/>
          <w:kern w:val="2"/>
          <w:sz w:val="24"/>
          <w:szCs w:val="24"/>
          <w:lang w:eastAsia="en-AU"/>
          <w14:ligatures w14:val="standardContextual"/>
        </w:rPr>
      </w:pPr>
      <w:hyperlink w:anchor="_Toc160544959" w:history="1">
        <w:r w:rsidR="0080151D" w:rsidRPr="00250151">
          <w:rPr>
            <w:rStyle w:val="Hyperlink"/>
            <w:b w:val="0"/>
            <w:bCs w:val="0"/>
            <w:noProof/>
          </w:rPr>
          <w:t>National Education and Care Services Privacy Commissioner</w:t>
        </w:r>
        <w:r w:rsidR="0080151D" w:rsidRPr="00250151">
          <w:rPr>
            <w:noProof/>
            <w:webHidden/>
          </w:rPr>
          <w:tab/>
        </w:r>
        <w:r w:rsidR="0080151D" w:rsidRPr="00250151">
          <w:rPr>
            <w:noProof/>
            <w:webHidden/>
          </w:rPr>
          <w:fldChar w:fldCharType="begin"/>
        </w:r>
        <w:r w:rsidR="0080151D" w:rsidRPr="00250151">
          <w:rPr>
            <w:noProof/>
            <w:webHidden/>
          </w:rPr>
          <w:instrText xml:space="preserve"> PAGEREF _Toc160544959 \h </w:instrText>
        </w:r>
        <w:r w:rsidR="0080151D" w:rsidRPr="00250151">
          <w:rPr>
            <w:noProof/>
            <w:webHidden/>
          </w:rPr>
        </w:r>
        <w:r w:rsidR="0080151D" w:rsidRPr="00250151">
          <w:rPr>
            <w:noProof/>
            <w:webHidden/>
          </w:rPr>
          <w:fldChar w:fldCharType="separate"/>
        </w:r>
        <w:r w:rsidR="00372B21">
          <w:rPr>
            <w:noProof/>
            <w:webHidden/>
          </w:rPr>
          <w:t>6</w:t>
        </w:r>
        <w:r w:rsidR="0080151D" w:rsidRPr="00250151">
          <w:rPr>
            <w:noProof/>
            <w:webHidden/>
          </w:rPr>
          <w:fldChar w:fldCharType="end"/>
        </w:r>
      </w:hyperlink>
    </w:p>
    <w:p w14:paraId="479DCFCE" w14:textId="00F66078" w:rsidR="0080151D" w:rsidRDefault="00981F63" w:rsidP="0080151D">
      <w:pPr>
        <w:pStyle w:val="TOC1"/>
        <w:rPr>
          <w:rFonts w:asciiTheme="minorHAnsi" w:eastAsiaTheme="minorEastAsia" w:hAnsiTheme="minorHAnsi" w:cstheme="minorBidi"/>
          <w:noProof/>
          <w:kern w:val="2"/>
          <w:lang w:eastAsia="en-AU"/>
          <w14:ligatures w14:val="standardContextual"/>
        </w:rPr>
      </w:pPr>
      <w:hyperlink w:anchor="_Toc160544960" w:history="1">
        <w:r w:rsidR="0080151D" w:rsidRPr="00851638">
          <w:rPr>
            <w:rStyle w:val="Hyperlink"/>
            <w:noProof/>
            <w:lang w:eastAsia="en-AU"/>
          </w:rPr>
          <w:t>Complaints and Enquiries</w:t>
        </w:r>
        <w:r w:rsidR="0080151D">
          <w:rPr>
            <w:noProof/>
            <w:webHidden/>
          </w:rPr>
          <w:tab/>
        </w:r>
        <w:r w:rsidR="0080151D">
          <w:rPr>
            <w:noProof/>
            <w:webHidden/>
          </w:rPr>
          <w:fldChar w:fldCharType="begin"/>
        </w:r>
        <w:r w:rsidR="0080151D">
          <w:rPr>
            <w:noProof/>
            <w:webHidden/>
          </w:rPr>
          <w:instrText xml:space="preserve"> PAGEREF _Toc160544960 \h </w:instrText>
        </w:r>
        <w:r w:rsidR="0080151D">
          <w:rPr>
            <w:noProof/>
            <w:webHidden/>
          </w:rPr>
        </w:r>
        <w:r w:rsidR="0080151D">
          <w:rPr>
            <w:noProof/>
            <w:webHidden/>
          </w:rPr>
          <w:fldChar w:fldCharType="separate"/>
        </w:r>
        <w:r w:rsidR="00372B21">
          <w:rPr>
            <w:noProof/>
            <w:webHidden/>
          </w:rPr>
          <w:t>7</w:t>
        </w:r>
        <w:r w:rsidR="0080151D">
          <w:rPr>
            <w:noProof/>
            <w:webHidden/>
          </w:rPr>
          <w:fldChar w:fldCharType="end"/>
        </w:r>
      </w:hyperlink>
    </w:p>
    <w:p w14:paraId="0C39FEC9" w14:textId="49AB9546" w:rsidR="0080151D" w:rsidRDefault="00981F63" w:rsidP="0080151D">
      <w:pPr>
        <w:pStyle w:val="TOC1"/>
        <w:rPr>
          <w:rFonts w:asciiTheme="minorHAnsi" w:eastAsiaTheme="minorEastAsia" w:hAnsiTheme="minorHAnsi" w:cstheme="minorBidi"/>
          <w:noProof/>
          <w:kern w:val="2"/>
          <w:lang w:eastAsia="en-AU"/>
          <w14:ligatures w14:val="standardContextual"/>
        </w:rPr>
      </w:pPr>
      <w:hyperlink w:anchor="_Toc160544961" w:history="1">
        <w:r w:rsidR="0080151D" w:rsidRPr="00851638">
          <w:rPr>
            <w:rStyle w:val="Hyperlink"/>
            <w:noProof/>
          </w:rPr>
          <w:t>Freedom of Information (FOI)</w:t>
        </w:r>
        <w:r w:rsidR="0080151D">
          <w:rPr>
            <w:noProof/>
            <w:webHidden/>
          </w:rPr>
          <w:tab/>
        </w:r>
        <w:r w:rsidR="0080151D">
          <w:rPr>
            <w:noProof/>
            <w:webHidden/>
          </w:rPr>
          <w:fldChar w:fldCharType="begin"/>
        </w:r>
        <w:r w:rsidR="0080151D">
          <w:rPr>
            <w:noProof/>
            <w:webHidden/>
          </w:rPr>
          <w:instrText xml:space="preserve"> PAGEREF _Toc160544961 \h </w:instrText>
        </w:r>
        <w:r w:rsidR="0080151D">
          <w:rPr>
            <w:noProof/>
            <w:webHidden/>
          </w:rPr>
        </w:r>
        <w:r w:rsidR="0080151D">
          <w:rPr>
            <w:noProof/>
            <w:webHidden/>
          </w:rPr>
          <w:fldChar w:fldCharType="separate"/>
        </w:r>
        <w:r w:rsidR="00372B21">
          <w:rPr>
            <w:noProof/>
            <w:webHidden/>
          </w:rPr>
          <w:t>7</w:t>
        </w:r>
        <w:r w:rsidR="0080151D">
          <w:rPr>
            <w:noProof/>
            <w:webHidden/>
          </w:rPr>
          <w:fldChar w:fldCharType="end"/>
        </w:r>
      </w:hyperlink>
    </w:p>
    <w:p w14:paraId="27F01C8B" w14:textId="1759061B" w:rsidR="0080151D" w:rsidRPr="00607D8F" w:rsidRDefault="00981F63" w:rsidP="00C06C81">
      <w:pPr>
        <w:pStyle w:val="TOC2"/>
        <w:rPr>
          <w:rFonts w:eastAsiaTheme="minorEastAsia" w:cstheme="minorBidi"/>
          <w:noProof/>
          <w:kern w:val="2"/>
          <w:sz w:val="24"/>
          <w:szCs w:val="24"/>
          <w:lang w:eastAsia="en-AU"/>
          <w14:ligatures w14:val="standardContextual"/>
        </w:rPr>
      </w:pPr>
      <w:hyperlink w:anchor="_Toc160544962" w:history="1">
        <w:r w:rsidR="0080151D" w:rsidRPr="00607D8F">
          <w:rPr>
            <w:rStyle w:val="Hyperlink"/>
            <w:b w:val="0"/>
            <w:bCs w:val="0"/>
            <w:noProof/>
          </w:rPr>
          <w:t>Exemptions and Conditional Exemptions</w:t>
        </w:r>
        <w:r w:rsidR="0080151D" w:rsidRPr="00607D8F">
          <w:rPr>
            <w:noProof/>
            <w:webHidden/>
          </w:rPr>
          <w:tab/>
        </w:r>
        <w:r w:rsidR="0080151D" w:rsidRPr="00607D8F">
          <w:rPr>
            <w:noProof/>
            <w:webHidden/>
          </w:rPr>
          <w:fldChar w:fldCharType="begin"/>
        </w:r>
        <w:r w:rsidR="0080151D" w:rsidRPr="00607D8F">
          <w:rPr>
            <w:noProof/>
            <w:webHidden/>
          </w:rPr>
          <w:instrText xml:space="preserve"> PAGEREF _Toc160544962 \h </w:instrText>
        </w:r>
        <w:r w:rsidR="0080151D" w:rsidRPr="00607D8F">
          <w:rPr>
            <w:noProof/>
            <w:webHidden/>
          </w:rPr>
        </w:r>
        <w:r w:rsidR="0080151D" w:rsidRPr="00607D8F">
          <w:rPr>
            <w:noProof/>
            <w:webHidden/>
          </w:rPr>
          <w:fldChar w:fldCharType="separate"/>
        </w:r>
        <w:r w:rsidR="00372B21">
          <w:rPr>
            <w:noProof/>
            <w:webHidden/>
          </w:rPr>
          <w:t>8</w:t>
        </w:r>
        <w:r w:rsidR="0080151D" w:rsidRPr="00607D8F">
          <w:rPr>
            <w:noProof/>
            <w:webHidden/>
          </w:rPr>
          <w:fldChar w:fldCharType="end"/>
        </w:r>
      </w:hyperlink>
    </w:p>
    <w:p w14:paraId="4183CAD3" w14:textId="78BD6E71" w:rsidR="0080151D" w:rsidRPr="00607D8F" w:rsidRDefault="00981F63" w:rsidP="00C06C81">
      <w:pPr>
        <w:pStyle w:val="TOC2"/>
        <w:rPr>
          <w:rFonts w:eastAsiaTheme="minorEastAsia" w:cstheme="minorBidi"/>
          <w:noProof/>
          <w:kern w:val="2"/>
          <w:sz w:val="24"/>
          <w:szCs w:val="24"/>
          <w:lang w:eastAsia="en-AU"/>
          <w14:ligatures w14:val="standardContextual"/>
        </w:rPr>
      </w:pPr>
      <w:hyperlink w:anchor="_Toc160544963" w:history="1">
        <w:r w:rsidR="0080151D" w:rsidRPr="00607D8F">
          <w:rPr>
            <w:rStyle w:val="Hyperlink"/>
            <w:b w:val="0"/>
            <w:bCs w:val="0"/>
            <w:noProof/>
          </w:rPr>
          <w:t xml:space="preserve">Volume of FOI applications and outcomes over </w:t>
        </w:r>
        <w:r w:rsidR="001F5724" w:rsidRPr="00607D8F">
          <w:rPr>
            <w:rStyle w:val="Hyperlink"/>
            <w:b w:val="0"/>
            <w:bCs w:val="0"/>
            <w:noProof/>
          </w:rPr>
          <w:t>3</w:t>
        </w:r>
        <w:r w:rsidR="0080151D" w:rsidRPr="00607D8F">
          <w:rPr>
            <w:rStyle w:val="Hyperlink"/>
            <w:b w:val="0"/>
            <w:bCs w:val="0"/>
            <w:noProof/>
          </w:rPr>
          <w:t xml:space="preserve"> years</w:t>
        </w:r>
        <w:r w:rsidR="0080151D" w:rsidRPr="00607D8F">
          <w:rPr>
            <w:noProof/>
            <w:webHidden/>
          </w:rPr>
          <w:tab/>
        </w:r>
        <w:r w:rsidR="0080151D" w:rsidRPr="00607D8F">
          <w:rPr>
            <w:noProof/>
            <w:webHidden/>
          </w:rPr>
          <w:fldChar w:fldCharType="begin"/>
        </w:r>
        <w:r w:rsidR="0080151D" w:rsidRPr="00607D8F">
          <w:rPr>
            <w:noProof/>
            <w:webHidden/>
          </w:rPr>
          <w:instrText xml:space="preserve"> PAGEREF _Toc160544963 \h </w:instrText>
        </w:r>
        <w:r w:rsidR="0080151D" w:rsidRPr="00607D8F">
          <w:rPr>
            <w:noProof/>
            <w:webHidden/>
          </w:rPr>
        </w:r>
        <w:r w:rsidR="0080151D" w:rsidRPr="00607D8F">
          <w:rPr>
            <w:noProof/>
            <w:webHidden/>
          </w:rPr>
          <w:fldChar w:fldCharType="separate"/>
        </w:r>
        <w:r w:rsidR="00372B21">
          <w:rPr>
            <w:noProof/>
            <w:webHidden/>
          </w:rPr>
          <w:t>10</w:t>
        </w:r>
        <w:r w:rsidR="0080151D" w:rsidRPr="00607D8F">
          <w:rPr>
            <w:noProof/>
            <w:webHidden/>
          </w:rPr>
          <w:fldChar w:fldCharType="end"/>
        </w:r>
      </w:hyperlink>
    </w:p>
    <w:p w14:paraId="7808E1AE" w14:textId="1E594C43" w:rsidR="0080151D" w:rsidRPr="00607D8F" w:rsidRDefault="00981F63" w:rsidP="00C06C81">
      <w:pPr>
        <w:pStyle w:val="TOC2"/>
        <w:rPr>
          <w:rFonts w:eastAsiaTheme="minorEastAsia" w:cstheme="minorBidi"/>
          <w:noProof/>
          <w:kern w:val="2"/>
          <w:sz w:val="24"/>
          <w:szCs w:val="24"/>
          <w:lang w:eastAsia="en-AU"/>
          <w14:ligatures w14:val="standardContextual"/>
        </w:rPr>
      </w:pPr>
      <w:hyperlink w:anchor="_Toc160544964" w:history="1">
        <w:r w:rsidR="0080151D" w:rsidRPr="00607D8F">
          <w:rPr>
            <w:rStyle w:val="Hyperlink"/>
            <w:b w:val="0"/>
            <w:bCs w:val="0"/>
            <w:noProof/>
          </w:rPr>
          <w:t>National Education and Care Services Freedom of Information Commissioner Reviews</w:t>
        </w:r>
        <w:r w:rsidR="0080151D" w:rsidRPr="00607D8F">
          <w:rPr>
            <w:noProof/>
            <w:webHidden/>
          </w:rPr>
          <w:tab/>
        </w:r>
        <w:r w:rsidR="0080151D" w:rsidRPr="00607D8F">
          <w:rPr>
            <w:noProof/>
            <w:webHidden/>
          </w:rPr>
          <w:fldChar w:fldCharType="begin"/>
        </w:r>
        <w:r w:rsidR="0080151D" w:rsidRPr="00607D8F">
          <w:rPr>
            <w:noProof/>
            <w:webHidden/>
          </w:rPr>
          <w:instrText xml:space="preserve"> PAGEREF _Toc160544964 \h </w:instrText>
        </w:r>
        <w:r w:rsidR="0080151D" w:rsidRPr="00607D8F">
          <w:rPr>
            <w:noProof/>
            <w:webHidden/>
          </w:rPr>
        </w:r>
        <w:r w:rsidR="0080151D" w:rsidRPr="00607D8F">
          <w:rPr>
            <w:noProof/>
            <w:webHidden/>
          </w:rPr>
          <w:fldChar w:fldCharType="separate"/>
        </w:r>
        <w:r w:rsidR="00372B21">
          <w:rPr>
            <w:noProof/>
            <w:webHidden/>
          </w:rPr>
          <w:t>10</w:t>
        </w:r>
        <w:r w:rsidR="0080151D" w:rsidRPr="00607D8F">
          <w:rPr>
            <w:noProof/>
            <w:webHidden/>
          </w:rPr>
          <w:fldChar w:fldCharType="end"/>
        </w:r>
      </w:hyperlink>
    </w:p>
    <w:p w14:paraId="07C6D909" w14:textId="4803151B" w:rsidR="0080151D" w:rsidRDefault="00981F63" w:rsidP="0080151D">
      <w:pPr>
        <w:pStyle w:val="TOC1"/>
        <w:rPr>
          <w:rFonts w:asciiTheme="minorHAnsi" w:eastAsiaTheme="minorEastAsia" w:hAnsiTheme="minorHAnsi" w:cstheme="minorBidi"/>
          <w:noProof/>
          <w:kern w:val="2"/>
          <w:lang w:eastAsia="en-AU"/>
          <w14:ligatures w14:val="standardContextual"/>
        </w:rPr>
      </w:pPr>
      <w:hyperlink w:anchor="_Toc160544965" w:history="1">
        <w:r w:rsidR="0080151D" w:rsidRPr="00851638">
          <w:rPr>
            <w:rStyle w:val="Hyperlink"/>
            <w:noProof/>
          </w:rPr>
          <w:t>Audited Financial Report and Budget</w:t>
        </w:r>
        <w:r w:rsidR="0080151D">
          <w:rPr>
            <w:noProof/>
            <w:webHidden/>
          </w:rPr>
          <w:tab/>
        </w:r>
        <w:r w:rsidR="0080151D">
          <w:rPr>
            <w:noProof/>
            <w:webHidden/>
          </w:rPr>
          <w:fldChar w:fldCharType="begin"/>
        </w:r>
        <w:r w:rsidR="0080151D">
          <w:rPr>
            <w:noProof/>
            <w:webHidden/>
          </w:rPr>
          <w:instrText xml:space="preserve"> PAGEREF _Toc160544965 \h </w:instrText>
        </w:r>
        <w:r w:rsidR="0080151D">
          <w:rPr>
            <w:noProof/>
            <w:webHidden/>
          </w:rPr>
        </w:r>
        <w:r w:rsidR="0080151D">
          <w:rPr>
            <w:noProof/>
            <w:webHidden/>
          </w:rPr>
          <w:fldChar w:fldCharType="separate"/>
        </w:r>
        <w:r w:rsidR="00372B21">
          <w:rPr>
            <w:noProof/>
            <w:webHidden/>
          </w:rPr>
          <w:t>11</w:t>
        </w:r>
        <w:r w:rsidR="0080151D">
          <w:rPr>
            <w:noProof/>
            <w:webHidden/>
          </w:rPr>
          <w:fldChar w:fldCharType="end"/>
        </w:r>
      </w:hyperlink>
    </w:p>
    <w:p w14:paraId="7280D574" w14:textId="6EB4BA28" w:rsidR="0080151D" w:rsidRDefault="00981F63" w:rsidP="0080151D">
      <w:pPr>
        <w:pStyle w:val="TOC1"/>
        <w:rPr>
          <w:rFonts w:asciiTheme="minorHAnsi" w:eastAsiaTheme="minorEastAsia" w:hAnsiTheme="minorHAnsi" w:cstheme="minorBidi"/>
          <w:noProof/>
          <w:kern w:val="2"/>
          <w:lang w:eastAsia="en-AU"/>
          <w14:ligatures w14:val="standardContextual"/>
        </w:rPr>
      </w:pPr>
      <w:hyperlink w:anchor="_Toc160544966" w:history="1">
        <w:r w:rsidR="0080151D" w:rsidRPr="00851638">
          <w:rPr>
            <w:rStyle w:val="Hyperlink"/>
            <w:noProof/>
          </w:rPr>
          <w:t>Attachments</w:t>
        </w:r>
        <w:r w:rsidR="0080151D">
          <w:rPr>
            <w:noProof/>
            <w:webHidden/>
          </w:rPr>
          <w:tab/>
        </w:r>
        <w:r w:rsidR="0080151D">
          <w:rPr>
            <w:noProof/>
            <w:webHidden/>
          </w:rPr>
          <w:fldChar w:fldCharType="begin"/>
        </w:r>
        <w:r w:rsidR="0080151D">
          <w:rPr>
            <w:noProof/>
            <w:webHidden/>
          </w:rPr>
          <w:instrText xml:space="preserve"> PAGEREF _Toc160544966 \h </w:instrText>
        </w:r>
        <w:r w:rsidR="0080151D">
          <w:rPr>
            <w:noProof/>
            <w:webHidden/>
          </w:rPr>
        </w:r>
        <w:r w:rsidR="0080151D">
          <w:rPr>
            <w:noProof/>
            <w:webHidden/>
          </w:rPr>
          <w:fldChar w:fldCharType="separate"/>
        </w:r>
        <w:r w:rsidR="00372B21">
          <w:rPr>
            <w:noProof/>
            <w:webHidden/>
          </w:rPr>
          <w:t>13</w:t>
        </w:r>
        <w:r w:rsidR="0080151D">
          <w:rPr>
            <w:noProof/>
            <w:webHidden/>
          </w:rPr>
          <w:fldChar w:fldCharType="end"/>
        </w:r>
      </w:hyperlink>
    </w:p>
    <w:p w14:paraId="5389C344" w14:textId="5D1EA61D" w:rsidR="0080151D" w:rsidRPr="00C13972" w:rsidRDefault="00553115" w:rsidP="00C06C81">
      <w:pPr>
        <w:pStyle w:val="TOC2"/>
        <w:rPr>
          <w:rFonts w:eastAsiaTheme="minorEastAsia" w:cstheme="minorBidi"/>
          <w:noProof/>
          <w:kern w:val="2"/>
          <w:sz w:val="24"/>
          <w:szCs w:val="24"/>
          <w:lang w:eastAsia="en-AU"/>
          <w14:ligatures w14:val="standardContextual"/>
        </w:rPr>
      </w:pPr>
      <w:r w:rsidRPr="00C13972">
        <w:rPr>
          <w:rStyle w:val="Hyperlink"/>
          <w:b w:val="0"/>
          <w:bCs w:val="0"/>
          <w:noProof/>
          <w:color w:val="auto"/>
          <w:u w:val="none"/>
        </w:rPr>
        <w:t xml:space="preserve">1 </w:t>
      </w:r>
      <w:hyperlink w:anchor="_Toc160544967" w:history="1">
        <w:r w:rsidR="0080151D" w:rsidRPr="00C13972">
          <w:rPr>
            <w:rStyle w:val="Hyperlink"/>
            <w:b w:val="0"/>
            <w:bCs w:val="0"/>
            <w:noProof/>
            <w:color w:val="auto"/>
            <w:u w:val="none"/>
          </w:rPr>
          <w:t>State and Territory Regulatory Authorities and administrative units</w:t>
        </w:r>
        <w:r w:rsidR="0080151D" w:rsidRPr="00C13972">
          <w:rPr>
            <w:noProof/>
            <w:webHidden/>
          </w:rPr>
          <w:tab/>
        </w:r>
        <w:r w:rsidR="0080151D" w:rsidRPr="00C13972">
          <w:rPr>
            <w:noProof/>
            <w:webHidden/>
          </w:rPr>
          <w:fldChar w:fldCharType="begin"/>
        </w:r>
        <w:r w:rsidR="0080151D" w:rsidRPr="00C13972">
          <w:rPr>
            <w:noProof/>
            <w:webHidden/>
          </w:rPr>
          <w:instrText xml:space="preserve"> PAGEREF _Toc160544967 \h </w:instrText>
        </w:r>
        <w:r w:rsidR="0080151D" w:rsidRPr="00C13972">
          <w:rPr>
            <w:noProof/>
            <w:webHidden/>
          </w:rPr>
        </w:r>
        <w:r w:rsidR="0080151D" w:rsidRPr="00C13972">
          <w:rPr>
            <w:noProof/>
            <w:webHidden/>
          </w:rPr>
          <w:fldChar w:fldCharType="separate"/>
        </w:r>
        <w:r w:rsidR="00372B21">
          <w:rPr>
            <w:noProof/>
            <w:webHidden/>
          </w:rPr>
          <w:t>14</w:t>
        </w:r>
        <w:r w:rsidR="0080151D" w:rsidRPr="00C13972">
          <w:rPr>
            <w:noProof/>
            <w:webHidden/>
          </w:rPr>
          <w:fldChar w:fldCharType="end"/>
        </w:r>
      </w:hyperlink>
    </w:p>
    <w:p w14:paraId="6714F8EB" w14:textId="1A5E1B42" w:rsidR="0080151D" w:rsidRPr="00C13972" w:rsidRDefault="0022180C" w:rsidP="00C06C81">
      <w:pPr>
        <w:pStyle w:val="TOC2"/>
        <w:rPr>
          <w:rFonts w:eastAsiaTheme="minorEastAsia" w:cstheme="minorBidi"/>
          <w:noProof/>
          <w:kern w:val="2"/>
          <w:sz w:val="24"/>
          <w:szCs w:val="24"/>
          <w:lang w:eastAsia="en-AU"/>
          <w14:ligatures w14:val="standardContextual"/>
        </w:rPr>
      </w:pPr>
      <w:r w:rsidRPr="00C13972">
        <w:rPr>
          <w:rStyle w:val="Hyperlink"/>
          <w:b w:val="0"/>
          <w:bCs w:val="0"/>
          <w:noProof/>
          <w:color w:val="auto"/>
          <w:u w:val="none"/>
        </w:rPr>
        <w:t xml:space="preserve">2 </w:t>
      </w:r>
      <w:hyperlink w:anchor="_Toc160544968" w:history="1">
        <w:r w:rsidR="0080151D" w:rsidRPr="00C13972">
          <w:rPr>
            <w:rStyle w:val="Hyperlink"/>
            <w:b w:val="0"/>
            <w:bCs w:val="0"/>
            <w:noProof/>
            <w:color w:val="auto"/>
            <w:u w:val="none"/>
          </w:rPr>
          <w:t>Guideline adopting parts of the A</w:t>
        </w:r>
        <w:r w:rsidR="00DD38E4" w:rsidRPr="00C13972">
          <w:rPr>
            <w:rStyle w:val="Hyperlink"/>
            <w:b w:val="0"/>
            <w:bCs w:val="0"/>
            <w:noProof/>
            <w:color w:val="auto"/>
            <w:u w:val="none"/>
          </w:rPr>
          <w:t xml:space="preserve">ustralian </w:t>
        </w:r>
        <w:r w:rsidR="0080151D" w:rsidRPr="00C13972">
          <w:rPr>
            <w:rStyle w:val="Hyperlink"/>
            <w:b w:val="0"/>
            <w:bCs w:val="0"/>
            <w:noProof/>
            <w:color w:val="auto"/>
            <w:u w:val="none"/>
          </w:rPr>
          <w:t>I</w:t>
        </w:r>
        <w:r w:rsidR="00DD38E4" w:rsidRPr="00C13972">
          <w:rPr>
            <w:rStyle w:val="Hyperlink"/>
            <w:b w:val="0"/>
            <w:bCs w:val="0"/>
            <w:noProof/>
            <w:color w:val="auto"/>
            <w:u w:val="none"/>
          </w:rPr>
          <w:t xml:space="preserve">nformation </w:t>
        </w:r>
        <w:r w:rsidR="0080151D" w:rsidRPr="00C13972">
          <w:rPr>
            <w:rStyle w:val="Hyperlink"/>
            <w:b w:val="0"/>
            <w:bCs w:val="0"/>
            <w:noProof/>
            <w:color w:val="auto"/>
            <w:u w:val="none"/>
          </w:rPr>
          <w:t>C</w:t>
        </w:r>
        <w:r w:rsidR="00DD38E4" w:rsidRPr="00C13972">
          <w:rPr>
            <w:rStyle w:val="Hyperlink"/>
            <w:b w:val="0"/>
            <w:bCs w:val="0"/>
            <w:noProof/>
            <w:color w:val="auto"/>
            <w:u w:val="none"/>
          </w:rPr>
          <w:t>ommissioner</w:t>
        </w:r>
        <w:r w:rsidR="0080151D" w:rsidRPr="00C13972">
          <w:rPr>
            <w:rStyle w:val="Hyperlink"/>
            <w:b w:val="0"/>
            <w:bCs w:val="0"/>
            <w:noProof/>
            <w:color w:val="auto"/>
            <w:u w:val="none"/>
          </w:rPr>
          <w:t xml:space="preserve"> Australian Privacy Principles Guidelines</w:t>
        </w:r>
        <w:r w:rsidR="0080151D" w:rsidRPr="00C13972">
          <w:rPr>
            <w:noProof/>
            <w:webHidden/>
          </w:rPr>
          <w:tab/>
        </w:r>
        <w:r w:rsidR="0080151D" w:rsidRPr="00C13972">
          <w:rPr>
            <w:noProof/>
            <w:webHidden/>
          </w:rPr>
          <w:fldChar w:fldCharType="begin"/>
        </w:r>
        <w:r w:rsidR="0080151D" w:rsidRPr="00C13972">
          <w:rPr>
            <w:noProof/>
            <w:webHidden/>
          </w:rPr>
          <w:instrText xml:space="preserve"> PAGEREF _Toc160544968 \h </w:instrText>
        </w:r>
        <w:r w:rsidR="0080151D" w:rsidRPr="00C13972">
          <w:rPr>
            <w:noProof/>
            <w:webHidden/>
          </w:rPr>
        </w:r>
        <w:r w:rsidR="0080151D" w:rsidRPr="00C13972">
          <w:rPr>
            <w:noProof/>
            <w:webHidden/>
          </w:rPr>
          <w:fldChar w:fldCharType="separate"/>
        </w:r>
        <w:r w:rsidR="00372B21">
          <w:rPr>
            <w:noProof/>
            <w:webHidden/>
          </w:rPr>
          <w:t>15</w:t>
        </w:r>
        <w:r w:rsidR="0080151D" w:rsidRPr="00C13972">
          <w:rPr>
            <w:noProof/>
            <w:webHidden/>
          </w:rPr>
          <w:fldChar w:fldCharType="end"/>
        </w:r>
      </w:hyperlink>
    </w:p>
    <w:p w14:paraId="2A9E3AD2" w14:textId="21DF672C" w:rsidR="0080151D" w:rsidRPr="00C13972" w:rsidRDefault="0022180C" w:rsidP="00C06C81">
      <w:pPr>
        <w:pStyle w:val="TOC2"/>
        <w:rPr>
          <w:rFonts w:eastAsiaTheme="minorEastAsia" w:cstheme="minorBidi"/>
          <w:noProof/>
          <w:kern w:val="2"/>
          <w:sz w:val="24"/>
          <w:szCs w:val="24"/>
          <w:lang w:eastAsia="en-AU"/>
          <w14:ligatures w14:val="standardContextual"/>
        </w:rPr>
      </w:pPr>
      <w:r w:rsidRPr="00C13972">
        <w:rPr>
          <w:rStyle w:val="Hyperlink"/>
          <w:b w:val="0"/>
          <w:bCs w:val="0"/>
          <w:noProof/>
          <w:color w:val="auto"/>
          <w:u w:val="none"/>
        </w:rPr>
        <w:t xml:space="preserve">3 </w:t>
      </w:r>
      <w:hyperlink w:anchor="_Toc160544969" w:history="1">
        <w:r w:rsidR="0080151D" w:rsidRPr="00C13972">
          <w:rPr>
            <w:rStyle w:val="Hyperlink"/>
            <w:b w:val="0"/>
            <w:bCs w:val="0"/>
            <w:noProof/>
            <w:color w:val="auto"/>
            <w:u w:val="none"/>
          </w:rPr>
          <w:t>Instrument adopting parts of the Australian Information Commissioner Freedom of Information Guidelines</w:t>
        </w:r>
        <w:r w:rsidR="0080151D" w:rsidRPr="00C13972">
          <w:rPr>
            <w:noProof/>
            <w:webHidden/>
          </w:rPr>
          <w:tab/>
        </w:r>
        <w:r w:rsidR="0080151D" w:rsidRPr="00C13972">
          <w:rPr>
            <w:noProof/>
            <w:webHidden/>
          </w:rPr>
          <w:fldChar w:fldCharType="begin"/>
        </w:r>
        <w:r w:rsidR="0080151D" w:rsidRPr="00C13972">
          <w:rPr>
            <w:noProof/>
            <w:webHidden/>
          </w:rPr>
          <w:instrText xml:space="preserve"> PAGEREF _Toc160544969 \h </w:instrText>
        </w:r>
        <w:r w:rsidR="0080151D" w:rsidRPr="00C13972">
          <w:rPr>
            <w:noProof/>
            <w:webHidden/>
          </w:rPr>
        </w:r>
        <w:r w:rsidR="0080151D" w:rsidRPr="00C13972">
          <w:rPr>
            <w:noProof/>
            <w:webHidden/>
          </w:rPr>
          <w:fldChar w:fldCharType="separate"/>
        </w:r>
        <w:r w:rsidR="00372B21">
          <w:rPr>
            <w:noProof/>
            <w:webHidden/>
          </w:rPr>
          <w:t>22</w:t>
        </w:r>
        <w:r w:rsidR="0080151D" w:rsidRPr="00C13972">
          <w:rPr>
            <w:noProof/>
            <w:webHidden/>
          </w:rPr>
          <w:fldChar w:fldCharType="end"/>
        </w:r>
      </w:hyperlink>
    </w:p>
    <w:p w14:paraId="13434FE7" w14:textId="33A665A3" w:rsidR="0080151D" w:rsidRPr="00C13972" w:rsidRDefault="0022180C" w:rsidP="00C06C81">
      <w:pPr>
        <w:pStyle w:val="TOC2"/>
        <w:rPr>
          <w:rFonts w:eastAsiaTheme="minorEastAsia" w:cstheme="minorBidi"/>
          <w:noProof/>
          <w:kern w:val="2"/>
          <w:sz w:val="24"/>
          <w:szCs w:val="24"/>
          <w:lang w:eastAsia="en-AU"/>
          <w14:ligatures w14:val="standardContextual"/>
        </w:rPr>
      </w:pPr>
      <w:r w:rsidRPr="00C13972">
        <w:rPr>
          <w:rStyle w:val="Hyperlink"/>
          <w:b w:val="0"/>
          <w:bCs w:val="0"/>
          <w:noProof/>
          <w:color w:val="auto"/>
          <w:u w:val="none"/>
        </w:rPr>
        <w:t xml:space="preserve">4 </w:t>
      </w:r>
      <w:hyperlink w:anchor="_Toc160544970" w:history="1">
        <w:r w:rsidR="0080151D" w:rsidRPr="00C13972">
          <w:rPr>
            <w:rStyle w:val="Hyperlink"/>
            <w:b w:val="0"/>
            <w:bCs w:val="0"/>
            <w:noProof/>
            <w:color w:val="auto"/>
            <w:u w:val="none"/>
          </w:rPr>
          <w:t>Strategic Plan 2021</w:t>
        </w:r>
        <w:r w:rsidR="001032F2" w:rsidRPr="00C13972">
          <w:rPr>
            <w:rStyle w:val="Hyperlink"/>
            <w:b w:val="0"/>
            <w:bCs w:val="0"/>
            <w:noProof/>
            <w:color w:val="auto"/>
            <w:u w:val="none"/>
          </w:rPr>
          <w:t>–</w:t>
        </w:r>
        <w:r w:rsidR="0080151D" w:rsidRPr="00C13972">
          <w:rPr>
            <w:rStyle w:val="Hyperlink"/>
            <w:b w:val="0"/>
            <w:bCs w:val="0"/>
            <w:noProof/>
            <w:color w:val="auto"/>
            <w:u w:val="none"/>
          </w:rPr>
          <w:t>2024</w:t>
        </w:r>
        <w:r w:rsidR="0080151D" w:rsidRPr="00C13972">
          <w:rPr>
            <w:noProof/>
            <w:webHidden/>
          </w:rPr>
          <w:tab/>
        </w:r>
        <w:r w:rsidR="0080151D" w:rsidRPr="00C13972">
          <w:rPr>
            <w:noProof/>
            <w:webHidden/>
          </w:rPr>
          <w:fldChar w:fldCharType="begin"/>
        </w:r>
        <w:r w:rsidR="0080151D" w:rsidRPr="00C13972">
          <w:rPr>
            <w:noProof/>
            <w:webHidden/>
          </w:rPr>
          <w:instrText xml:space="preserve"> PAGEREF _Toc160544970 \h </w:instrText>
        </w:r>
        <w:r w:rsidR="0080151D" w:rsidRPr="00C13972">
          <w:rPr>
            <w:noProof/>
            <w:webHidden/>
          </w:rPr>
        </w:r>
        <w:r w:rsidR="0080151D" w:rsidRPr="00C13972">
          <w:rPr>
            <w:noProof/>
            <w:webHidden/>
          </w:rPr>
          <w:fldChar w:fldCharType="separate"/>
        </w:r>
        <w:r w:rsidR="00372B21">
          <w:rPr>
            <w:noProof/>
            <w:webHidden/>
          </w:rPr>
          <w:t>26</w:t>
        </w:r>
        <w:r w:rsidR="0080151D" w:rsidRPr="00C13972">
          <w:rPr>
            <w:noProof/>
            <w:webHidden/>
          </w:rPr>
          <w:fldChar w:fldCharType="end"/>
        </w:r>
      </w:hyperlink>
    </w:p>
    <w:p w14:paraId="185CFA95" w14:textId="3FC1D51F" w:rsidR="0080151D" w:rsidRPr="00C13972" w:rsidRDefault="0022180C" w:rsidP="00C06C81">
      <w:pPr>
        <w:pStyle w:val="TOC2"/>
        <w:rPr>
          <w:rFonts w:eastAsiaTheme="minorEastAsia" w:cstheme="minorBidi"/>
          <w:noProof/>
          <w:kern w:val="2"/>
          <w:sz w:val="24"/>
          <w:szCs w:val="24"/>
          <w:lang w:eastAsia="en-AU"/>
          <w14:ligatures w14:val="standardContextual"/>
        </w:rPr>
      </w:pPr>
      <w:r w:rsidRPr="00C13972">
        <w:rPr>
          <w:rStyle w:val="Hyperlink"/>
          <w:b w:val="0"/>
          <w:bCs w:val="0"/>
          <w:noProof/>
          <w:color w:val="auto"/>
          <w:u w:val="none"/>
        </w:rPr>
        <w:t xml:space="preserve">5 </w:t>
      </w:r>
      <w:hyperlink w:anchor="_Toc160544971" w:history="1">
        <w:r w:rsidR="0080151D" w:rsidRPr="00C13972">
          <w:rPr>
            <w:rStyle w:val="Hyperlink"/>
            <w:b w:val="0"/>
            <w:bCs w:val="0"/>
            <w:noProof/>
            <w:color w:val="auto"/>
            <w:u w:val="none"/>
            <w:lang w:val="en-US"/>
          </w:rPr>
          <w:t>Audited Financial Report 2022</w:t>
        </w:r>
        <w:r w:rsidR="001032F2" w:rsidRPr="00C13972">
          <w:rPr>
            <w:rStyle w:val="Hyperlink"/>
            <w:b w:val="0"/>
            <w:bCs w:val="0"/>
            <w:noProof/>
            <w:color w:val="auto"/>
            <w:u w:val="none"/>
            <w:lang w:val="en-US"/>
          </w:rPr>
          <w:t>–</w:t>
        </w:r>
        <w:r w:rsidR="0080151D" w:rsidRPr="00C13972">
          <w:rPr>
            <w:rStyle w:val="Hyperlink"/>
            <w:b w:val="0"/>
            <w:bCs w:val="0"/>
            <w:noProof/>
            <w:color w:val="auto"/>
            <w:u w:val="none"/>
            <w:lang w:val="en-US"/>
          </w:rPr>
          <w:t>2023</w:t>
        </w:r>
        <w:r w:rsidR="0080151D" w:rsidRPr="00C13972">
          <w:rPr>
            <w:noProof/>
            <w:webHidden/>
          </w:rPr>
          <w:tab/>
        </w:r>
        <w:r w:rsidR="0080151D" w:rsidRPr="00C13972">
          <w:rPr>
            <w:noProof/>
            <w:webHidden/>
          </w:rPr>
          <w:fldChar w:fldCharType="begin"/>
        </w:r>
        <w:r w:rsidR="0080151D" w:rsidRPr="00C13972">
          <w:rPr>
            <w:noProof/>
            <w:webHidden/>
          </w:rPr>
          <w:instrText xml:space="preserve"> PAGEREF _Toc160544971 \h </w:instrText>
        </w:r>
        <w:r w:rsidR="0080151D" w:rsidRPr="00C13972">
          <w:rPr>
            <w:noProof/>
            <w:webHidden/>
          </w:rPr>
        </w:r>
        <w:r w:rsidR="0080151D" w:rsidRPr="00C13972">
          <w:rPr>
            <w:noProof/>
            <w:webHidden/>
          </w:rPr>
          <w:fldChar w:fldCharType="separate"/>
        </w:r>
        <w:r w:rsidR="00372B21">
          <w:rPr>
            <w:noProof/>
            <w:webHidden/>
          </w:rPr>
          <w:t>31</w:t>
        </w:r>
        <w:r w:rsidR="0080151D" w:rsidRPr="00C13972">
          <w:rPr>
            <w:noProof/>
            <w:webHidden/>
          </w:rPr>
          <w:fldChar w:fldCharType="end"/>
        </w:r>
      </w:hyperlink>
    </w:p>
    <w:p w14:paraId="4205D94E" w14:textId="1F1B8715" w:rsidR="0080151D" w:rsidRPr="00C13972" w:rsidRDefault="0022180C" w:rsidP="00C06C81">
      <w:pPr>
        <w:pStyle w:val="TOC2"/>
        <w:rPr>
          <w:rFonts w:eastAsiaTheme="minorEastAsia" w:cstheme="minorBidi"/>
          <w:noProof/>
          <w:kern w:val="2"/>
          <w:sz w:val="24"/>
          <w:szCs w:val="24"/>
          <w:lang w:eastAsia="en-AU"/>
          <w14:ligatures w14:val="standardContextual"/>
        </w:rPr>
      </w:pPr>
      <w:r w:rsidRPr="00C13972">
        <w:rPr>
          <w:rStyle w:val="Hyperlink"/>
          <w:b w:val="0"/>
          <w:bCs w:val="0"/>
          <w:noProof/>
          <w:color w:val="auto"/>
          <w:u w:val="none"/>
        </w:rPr>
        <w:t xml:space="preserve">6 </w:t>
      </w:r>
      <w:hyperlink w:anchor="_Toc160544972" w:history="1">
        <w:r w:rsidR="0080151D" w:rsidRPr="00C13972">
          <w:rPr>
            <w:rStyle w:val="Hyperlink"/>
            <w:b w:val="0"/>
            <w:bCs w:val="0"/>
            <w:noProof/>
            <w:color w:val="auto"/>
            <w:u w:val="none"/>
            <w:lang w:val="en-US"/>
          </w:rPr>
          <w:t>ACECQA and Regulatory Authorities’ Freedom of Information Data Summary</w:t>
        </w:r>
        <w:r w:rsidR="0080151D" w:rsidRPr="00C13972">
          <w:rPr>
            <w:noProof/>
            <w:webHidden/>
          </w:rPr>
          <w:tab/>
        </w:r>
        <w:r w:rsidR="0080151D" w:rsidRPr="00C13972">
          <w:rPr>
            <w:noProof/>
            <w:webHidden/>
          </w:rPr>
          <w:fldChar w:fldCharType="begin"/>
        </w:r>
        <w:r w:rsidR="0080151D" w:rsidRPr="00C13972">
          <w:rPr>
            <w:noProof/>
            <w:webHidden/>
          </w:rPr>
          <w:instrText xml:space="preserve"> PAGEREF _Toc160544972 \h </w:instrText>
        </w:r>
        <w:r w:rsidR="0080151D" w:rsidRPr="00C13972">
          <w:rPr>
            <w:noProof/>
            <w:webHidden/>
          </w:rPr>
        </w:r>
        <w:r w:rsidR="0080151D" w:rsidRPr="00C13972">
          <w:rPr>
            <w:noProof/>
            <w:webHidden/>
          </w:rPr>
          <w:fldChar w:fldCharType="separate"/>
        </w:r>
        <w:r w:rsidR="00372B21">
          <w:rPr>
            <w:noProof/>
            <w:webHidden/>
          </w:rPr>
          <w:t>34</w:t>
        </w:r>
        <w:r w:rsidR="0080151D" w:rsidRPr="00C13972">
          <w:rPr>
            <w:noProof/>
            <w:webHidden/>
          </w:rPr>
          <w:fldChar w:fldCharType="end"/>
        </w:r>
      </w:hyperlink>
    </w:p>
    <w:p w14:paraId="243F283E" w14:textId="269F2F03" w:rsidR="007F1EC9" w:rsidRDefault="00A01068">
      <w:r w:rsidRPr="00827446">
        <w:fldChar w:fldCharType="end"/>
      </w:r>
    </w:p>
    <w:p w14:paraId="697D54D8" w14:textId="1736F4F5" w:rsidR="00744EDA" w:rsidRDefault="00744EDA">
      <w:r>
        <w:br w:type="page"/>
      </w:r>
    </w:p>
    <w:p w14:paraId="32600710" w14:textId="77777777" w:rsidR="00C8248B" w:rsidRDefault="00C8248B" w:rsidP="002E7352">
      <w:pPr>
        <w:tabs>
          <w:tab w:val="left" w:pos="2824"/>
        </w:tabs>
        <w:sectPr w:rsidR="00C8248B" w:rsidSect="00512E04">
          <w:type w:val="continuous"/>
          <w:pgSz w:w="11907" w:h="16840" w:code="9"/>
          <w:pgMar w:top="464" w:right="1080" w:bottom="1440" w:left="1080" w:header="709" w:footer="496" w:gutter="0"/>
          <w:pgNumType w:start="0"/>
          <w:cols w:space="167"/>
          <w:titlePg/>
          <w:docGrid w:linePitch="360"/>
        </w:sectPr>
      </w:pPr>
    </w:p>
    <w:p w14:paraId="7D0799FE" w14:textId="77777777" w:rsidR="00A55836" w:rsidRPr="009960C4" w:rsidRDefault="00A55836" w:rsidP="008E73D0">
      <w:r w:rsidRPr="007B2C34">
        <w:rPr>
          <w:rFonts w:eastAsia="Calibri"/>
          <w:noProof/>
          <w:lang w:eastAsia="en-AU"/>
        </w:rPr>
        <w:lastRenderedPageBreak/>
        <w:drawing>
          <wp:inline distT="0" distB="0" distL="0" distR="0" wp14:anchorId="3A5AF73C" wp14:editId="1B471D3A">
            <wp:extent cx="5709600" cy="1386000"/>
            <wp:effectExtent l="0" t="0" r="0" b="0"/>
            <wp:docPr id="2" name="Picture 2" descr="National Education &amp; Care Services FOI &amp; Privacy Commissioners &amp; 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tional Education &amp; Care Services FOI &amp; Privacy Commissioners &amp; Ombudsman logo"/>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081" r="-6081"/>
                    <a:stretch/>
                  </pic:blipFill>
                  <pic:spPr bwMode="auto">
                    <a:xfrm>
                      <a:off x="0" y="0"/>
                      <a:ext cx="5709600" cy="1386000"/>
                    </a:xfrm>
                    <a:prstGeom prst="rect">
                      <a:avLst/>
                    </a:prstGeom>
                    <a:noFill/>
                    <a:ln>
                      <a:noFill/>
                    </a:ln>
                  </pic:spPr>
                </pic:pic>
              </a:graphicData>
            </a:graphic>
          </wp:inline>
        </w:drawing>
      </w:r>
    </w:p>
    <w:p w14:paraId="27ABA27B" w14:textId="77777777" w:rsidR="00A55836" w:rsidRPr="00A1225F" w:rsidRDefault="00A55836" w:rsidP="00A55836">
      <w:pPr>
        <w:pStyle w:val="Heading1"/>
      </w:pPr>
      <w:bookmarkStart w:id="0" w:name="_Toc160544948"/>
      <w:r w:rsidRPr="00A1225F">
        <w:t>Letter of Transmittal</w:t>
      </w:r>
      <w:bookmarkEnd w:id="0"/>
    </w:p>
    <w:p w14:paraId="7E85103D" w14:textId="77777777" w:rsidR="00A55836" w:rsidRDefault="00A55836" w:rsidP="00A55836">
      <w:pPr>
        <w:spacing w:after="0" w:line="240" w:lineRule="auto"/>
        <w:rPr>
          <w:rFonts w:ascii="Verdana" w:hAnsi="Verdana"/>
          <w:sz w:val="20"/>
          <w:szCs w:val="20"/>
        </w:rPr>
      </w:pPr>
    </w:p>
    <w:p w14:paraId="5A2E2C67" w14:textId="5B77275B" w:rsidR="00266F14" w:rsidRDefault="000D23F1" w:rsidP="003B7089">
      <w:pPr>
        <w:rPr>
          <w:rFonts w:ascii="Verdana" w:hAnsi="Verdana"/>
          <w:sz w:val="20"/>
          <w:szCs w:val="20"/>
        </w:rPr>
      </w:pPr>
      <w:r>
        <w:rPr>
          <w:rFonts w:ascii="Verdana" w:hAnsi="Verdana"/>
          <w:sz w:val="20"/>
          <w:szCs w:val="20"/>
        </w:rPr>
        <w:t>14</w:t>
      </w:r>
      <w:r w:rsidR="00266F14">
        <w:rPr>
          <w:rFonts w:ascii="Verdana" w:hAnsi="Verdana"/>
          <w:sz w:val="20"/>
          <w:szCs w:val="20"/>
        </w:rPr>
        <w:t xml:space="preserve"> </w:t>
      </w:r>
      <w:r w:rsidR="00F4120C">
        <w:rPr>
          <w:rFonts w:ascii="Verdana" w:hAnsi="Verdana"/>
          <w:sz w:val="20"/>
          <w:szCs w:val="20"/>
        </w:rPr>
        <w:t>March</w:t>
      </w:r>
      <w:r w:rsidR="00266F14">
        <w:rPr>
          <w:rFonts w:ascii="Verdana" w:hAnsi="Verdana"/>
          <w:sz w:val="20"/>
          <w:szCs w:val="20"/>
        </w:rPr>
        <w:t xml:space="preserve"> 2024</w:t>
      </w:r>
    </w:p>
    <w:p w14:paraId="1D276295" w14:textId="77777777" w:rsidR="00266F14" w:rsidRDefault="00266F14" w:rsidP="003B7089">
      <w:pPr>
        <w:rPr>
          <w:rFonts w:ascii="Verdana" w:hAnsi="Verdana"/>
          <w:sz w:val="20"/>
          <w:szCs w:val="20"/>
        </w:rPr>
      </w:pPr>
    </w:p>
    <w:p w14:paraId="2AE8F5D8" w14:textId="09DB10E3" w:rsidR="00A55836" w:rsidRPr="00513868" w:rsidRDefault="00A53CD1" w:rsidP="003B7089">
      <w:r>
        <w:t xml:space="preserve">The </w:t>
      </w:r>
      <w:r w:rsidR="00A55836">
        <w:t>Hon Jason Clare MP</w:t>
      </w:r>
      <w:r w:rsidR="002B7F47">
        <w:br/>
      </w:r>
      <w:r w:rsidR="00A55836">
        <w:t>Minister for Education</w:t>
      </w:r>
      <w:r w:rsidR="002B7F47">
        <w:br/>
      </w:r>
      <w:r w:rsidR="00A55836" w:rsidRPr="00513868">
        <w:t>Chair</w:t>
      </w:r>
      <w:r w:rsidR="002B7F47">
        <w:br/>
      </w:r>
      <w:r w:rsidR="00A55836" w:rsidRPr="00513868">
        <w:t xml:space="preserve">Education </w:t>
      </w:r>
      <w:r w:rsidR="00A55836">
        <w:t>Ministers Meeting</w:t>
      </w:r>
    </w:p>
    <w:p w14:paraId="7CC272AD" w14:textId="3E8405D0" w:rsidR="00266F14" w:rsidRPr="00513868" w:rsidRDefault="00266F14" w:rsidP="003B7089"/>
    <w:p w14:paraId="27F8D062" w14:textId="77777777" w:rsidR="00A55836" w:rsidRPr="00513868" w:rsidRDefault="00A55836" w:rsidP="003B7089">
      <w:r w:rsidRPr="00513868">
        <w:t>Dear Minister</w:t>
      </w:r>
    </w:p>
    <w:p w14:paraId="208235F4" w14:textId="5042E496" w:rsidR="00A55836" w:rsidRPr="00513868" w:rsidRDefault="00A55836" w:rsidP="003B7089">
      <w:pPr>
        <w:rPr>
          <w:rFonts w:cstheme="minorBidi"/>
          <w:color w:val="000000" w:themeColor="text1"/>
        </w:rPr>
      </w:pPr>
      <w:r w:rsidRPr="35F9F18E">
        <w:rPr>
          <w:rFonts w:cstheme="minorBidi"/>
        </w:rPr>
        <w:t xml:space="preserve">In accordance with </w:t>
      </w:r>
      <w:r w:rsidR="004531A2">
        <w:rPr>
          <w:rFonts w:cstheme="minorBidi"/>
        </w:rPr>
        <w:t>r</w:t>
      </w:r>
      <w:r w:rsidRPr="35F9F18E">
        <w:rPr>
          <w:rFonts w:cstheme="minorBidi"/>
        </w:rPr>
        <w:t xml:space="preserve">egulations 198, 207 and 221 of the </w:t>
      </w:r>
      <w:r w:rsidRPr="35F9F18E">
        <w:rPr>
          <w:rFonts w:cstheme="minorBidi"/>
          <w:i/>
          <w:iCs/>
        </w:rPr>
        <w:t>Education and Care Services National Regulations</w:t>
      </w:r>
      <w:r w:rsidRPr="35F9F18E">
        <w:rPr>
          <w:rFonts w:cstheme="minorBidi"/>
        </w:rPr>
        <w:t xml:space="preserve"> (ECS Regulations)</w:t>
      </w:r>
      <w:r w:rsidR="00770703">
        <w:rPr>
          <w:rFonts w:cstheme="minorBidi"/>
        </w:rPr>
        <w:t>,</w:t>
      </w:r>
      <w:r w:rsidRPr="35F9F18E">
        <w:rPr>
          <w:rFonts w:cstheme="minorBidi"/>
        </w:rPr>
        <w:t xml:space="preserve"> </w:t>
      </w:r>
      <w:r w:rsidR="00F43B20">
        <w:rPr>
          <w:rFonts w:cstheme="minorBidi"/>
        </w:rPr>
        <w:t>we are</w:t>
      </w:r>
      <w:r w:rsidRPr="35F9F18E">
        <w:rPr>
          <w:rFonts w:cstheme="minorBidi"/>
        </w:rPr>
        <w:t xml:space="preserve"> pleased to present to the Education Ministers Meeting the </w:t>
      </w:r>
      <w:r w:rsidR="00A81D37">
        <w:rPr>
          <w:rFonts w:cstheme="minorBidi"/>
        </w:rPr>
        <w:t xml:space="preserve">annual report for the </w:t>
      </w:r>
      <w:r w:rsidR="00896710" w:rsidRPr="35F9F18E">
        <w:rPr>
          <w:rFonts w:cstheme="minorBidi"/>
        </w:rPr>
        <w:t>Education and Care Services Ombudsman</w:t>
      </w:r>
      <w:r w:rsidR="00896710">
        <w:rPr>
          <w:rFonts w:cstheme="minorBidi"/>
        </w:rPr>
        <w:t xml:space="preserve">, the </w:t>
      </w:r>
      <w:r w:rsidRPr="35F9F18E">
        <w:rPr>
          <w:rFonts w:cstheme="minorBidi"/>
        </w:rPr>
        <w:t>National Education and Care Services Freedom of Information Commissioner</w:t>
      </w:r>
      <w:r w:rsidR="00896710">
        <w:rPr>
          <w:rFonts w:cstheme="minorBidi"/>
        </w:rPr>
        <w:t xml:space="preserve"> and the</w:t>
      </w:r>
      <w:r w:rsidRPr="35F9F18E">
        <w:rPr>
          <w:rFonts w:cstheme="minorBidi"/>
        </w:rPr>
        <w:t xml:space="preserve"> National Education and Care Services Privacy Commissioner (</w:t>
      </w:r>
      <w:r w:rsidR="00F4562D">
        <w:rPr>
          <w:rFonts w:cstheme="minorBidi"/>
        </w:rPr>
        <w:t xml:space="preserve">collectively </w:t>
      </w:r>
      <w:r w:rsidRPr="35F9F18E">
        <w:rPr>
          <w:rFonts w:cstheme="minorBidi"/>
        </w:rPr>
        <w:t>the ECS Commissioners) for the period 1 July 2022 to 30 June 2023.</w:t>
      </w:r>
      <w:r w:rsidR="003B7089">
        <w:rPr>
          <w:rFonts w:cstheme="minorBidi"/>
          <w:color w:val="000000" w:themeColor="text1"/>
        </w:rPr>
        <w:t xml:space="preserve"> </w:t>
      </w:r>
      <w:r w:rsidRPr="15E5FCE7">
        <w:rPr>
          <w:rFonts w:cstheme="minorBidi"/>
          <w:color w:val="000000" w:themeColor="text1"/>
        </w:rPr>
        <w:t xml:space="preserve">The </w:t>
      </w:r>
      <w:r w:rsidR="00E11AE8">
        <w:rPr>
          <w:rFonts w:cstheme="minorBidi"/>
          <w:color w:val="000000" w:themeColor="text1"/>
        </w:rPr>
        <w:t>a</w:t>
      </w:r>
      <w:r w:rsidRPr="15E5FCE7">
        <w:rPr>
          <w:rFonts w:cstheme="minorBidi"/>
          <w:color w:val="000000" w:themeColor="text1"/>
        </w:rPr>
        <w:t xml:space="preserve">nnual </w:t>
      </w:r>
      <w:r w:rsidR="00E11AE8">
        <w:rPr>
          <w:rFonts w:cstheme="minorBidi"/>
          <w:color w:val="000000" w:themeColor="text1"/>
        </w:rPr>
        <w:t>r</w:t>
      </w:r>
      <w:r w:rsidRPr="15E5FCE7">
        <w:rPr>
          <w:rFonts w:cstheme="minorBidi"/>
          <w:color w:val="000000" w:themeColor="text1"/>
        </w:rPr>
        <w:t xml:space="preserve">eport is the </w:t>
      </w:r>
      <w:r w:rsidR="00FA0572">
        <w:rPr>
          <w:rFonts w:cstheme="minorBidi"/>
          <w:color w:val="000000" w:themeColor="text1"/>
        </w:rPr>
        <w:t>12th</w:t>
      </w:r>
      <w:r w:rsidR="00FA0572" w:rsidRPr="15E5FCE7">
        <w:rPr>
          <w:rFonts w:cstheme="minorBidi"/>
          <w:color w:val="000000" w:themeColor="text1"/>
        </w:rPr>
        <w:t xml:space="preserve"> </w:t>
      </w:r>
      <w:r w:rsidRPr="15E5FCE7">
        <w:rPr>
          <w:rFonts w:cstheme="minorBidi"/>
          <w:color w:val="000000" w:themeColor="text1"/>
        </w:rPr>
        <w:t xml:space="preserve">such report from the office of the ECS Commissioners since its establishment in January 2012. </w:t>
      </w:r>
    </w:p>
    <w:p w14:paraId="18BCEECC" w14:textId="3E171AA2" w:rsidR="009E7D3E" w:rsidRDefault="009E7D3E" w:rsidP="003B7089">
      <w:pPr>
        <w:rPr>
          <w:rFonts w:cstheme="minorBidi"/>
          <w:color w:val="000000" w:themeColor="text1"/>
        </w:rPr>
      </w:pPr>
      <w:r>
        <w:rPr>
          <w:rFonts w:cstheme="minorBidi"/>
          <w:color w:val="000000" w:themeColor="text1"/>
        </w:rPr>
        <w:t xml:space="preserve">During </w:t>
      </w:r>
      <w:r w:rsidR="00A77F4E">
        <w:rPr>
          <w:rFonts w:cstheme="minorBidi"/>
          <w:color w:val="000000" w:themeColor="text1"/>
        </w:rPr>
        <w:t>the reporting period</w:t>
      </w:r>
      <w:r>
        <w:rPr>
          <w:rFonts w:cstheme="minorBidi"/>
          <w:color w:val="000000" w:themeColor="text1"/>
        </w:rPr>
        <w:t>, the 3 positions were held by</w:t>
      </w:r>
      <w:r w:rsidR="007671B7">
        <w:rPr>
          <w:rFonts w:cstheme="minorBidi"/>
          <w:color w:val="000000" w:themeColor="text1"/>
        </w:rPr>
        <w:t xml:space="preserve"> Ms Lesley Foster</w:t>
      </w:r>
      <w:r>
        <w:rPr>
          <w:rFonts w:cstheme="minorBidi"/>
          <w:color w:val="000000" w:themeColor="text1"/>
        </w:rPr>
        <w:t xml:space="preserve"> from 1 July 2022 to 31 December 2022 and </w:t>
      </w:r>
      <w:r w:rsidR="007671B7">
        <w:rPr>
          <w:rFonts w:cstheme="minorBidi"/>
          <w:color w:val="000000" w:themeColor="text1"/>
        </w:rPr>
        <w:t xml:space="preserve">then </w:t>
      </w:r>
      <w:r>
        <w:rPr>
          <w:rFonts w:cstheme="minorBidi"/>
          <w:color w:val="000000" w:themeColor="text1"/>
        </w:rPr>
        <w:t xml:space="preserve">by Mr Alan Grinsell-Jones from 1 January 2023 to 30 June </w:t>
      </w:r>
      <w:r w:rsidR="004A3B2F">
        <w:rPr>
          <w:rFonts w:cstheme="minorBidi"/>
          <w:color w:val="000000" w:themeColor="text1"/>
        </w:rPr>
        <w:t xml:space="preserve">2023. Mr Grinsell-Jones’ appointments were extended </w:t>
      </w:r>
      <w:r w:rsidR="003F43F3">
        <w:rPr>
          <w:rFonts w:cstheme="minorBidi"/>
          <w:color w:val="000000" w:themeColor="text1"/>
        </w:rPr>
        <w:t xml:space="preserve">for </w:t>
      </w:r>
      <w:r w:rsidR="00B8467C">
        <w:rPr>
          <w:rFonts w:cstheme="minorBidi"/>
          <w:color w:val="000000" w:themeColor="text1"/>
        </w:rPr>
        <w:t>a further</w:t>
      </w:r>
      <w:r w:rsidR="00B62D63">
        <w:rPr>
          <w:rFonts w:cstheme="minorBidi"/>
          <w:color w:val="000000" w:themeColor="text1"/>
        </w:rPr>
        <w:t xml:space="preserve"> period of</w:t>
      </w:r>
      <w:r w:rsidR="00B8467C">
        <w:rPr>
          <w:rFonts w:cstheme="minorBidi"/>
          <w:color w:val="000000" w:themeColor="text1"/>
        </w:rPr>
        <w:t xml:space="preserve"> </w:t>
      </w:r>
      <w:r w:rsidR="003F43F3">
        <w:rPr>
          <w:rFonts w:cstheme="minorBidi"/>
          <w:color w:val="000000" w:themeColor="text1"/>
        </w:rPr>
        <w:t xml:space="preserve">6 </w:t>
      </w:r>
      <w:proofErr w:type="gramStart"/>
      <w:r w:rsidR="003F43F3">
        <w:rPr>
          <w:rFonts w:cstheme="minorBidi"/>
          <w:color w:val="000000" w:themeColor="text1"/>
        </w:rPr>
        <w:t>months</w:t>
      </w:r>
      <w:proofErr w:type="gramEnd"/>
      <w:r w:rsidR="004A3B2F">
        <w:rPr>
          <w:rFonts w:cstheme="minorBidi"/>
          <w:color w:val="000000" w:themeColor="text1"/>
        </w:rPr>
        <w:t xml:space="preserve"> and </w:t>
      </w:r>
      <w:r w:rsidR="003575F6">
        <w:rPr>
          <w:rFonts w:cstheme="minorBidi"/>
          <w:color w:val="000000" w:themeColor="text1"/>
        </w:rPr>
        <w:t>we</w:t>
      </w:r>
      <w:r w:rsidR="004A3B2F">
        <w:rPr>
          <w:rFonts w:cstheme="minorBidi"/>
          <w:color w:val="000000" w:themeColor="text1"/>
        </w:rPr>
        <w:t xml:space="preserve"> were appointed </w:t>
      </w:r>
      <w:r w:rsidR="00EC7A7B">
        <w:rPr>
          <w:rFonts w:cstheme="minorBidi"/>
          <w:color w:val="000000" w:themeColor="text1"/>
        </w:rPr>
        <w:t>for a period of 3</w:t>
      </w:r>
      <w:r w:rsidR="00B62D63">
        <w:rPr>
          <w:rFonts w:cstheme="minorBidi"/>
          <w:color w:val="000000" w:themeColor="text1"/>
        </w:rPr>
        <w:t> </w:t>
      </w:r>
      <w:r w:rsidR="00EC7A7B">
        <w:rPr>
          <w:rFonts w:cstheme="minorBidi"/>
          <w:color w:val="000000" w:themeColor="text1"/>
        </w:rPr>
        <w:t>years</w:t>
      </w:r>
      <w:r w:rsidR="00AA79B9">
        <w:rPr>
          <w:rFonts w:cstheme="minorBidi"/>
          <w:color w:val="000000" w:themeColor="text1"/>
        </w:rPr>
        <w:t xml:space="preserve"> from 1</w:t>
      </w:r>
      <w:r w:rsidR="004A59D3">
        <w:rPr>
          <w:rFonts w:cstheme="minorBidi"/>
          <w:color w:val="000000" w:themeColor="text1"/>
        </w:rPr>
        <w:t> </w:t>
      </w:r>
      <w:r w:rsidR="00AA79B9">
        <w:rPr>
          <w:rFonts w:cstheme="minorBidi"/>
          <w:color w:val="000000" w:themeColor="text1"/>
        </w:rPr>
        <w:t>January 2024</w:t>
      </w:r>
      <w:r w:rsidR="00EC7A7B">
        <w:rPr>
          <w:rFonts w:cstheme="minorBidi"/>
          <w:color w:val="000000" w:themeColor="text1"/>
        </w:rPr>
        <w:t>.</w:t>
      </w:r>
    </w:p>
    <w:p w14:paraId="3E5C9BE5" w14:textId="3A94C248" w:rsidR="00A55836" w:rsidRPr="00513868" w:rsidRDefault="00A55836" w:rsidP="003B7089">
      <w:r>
        <w:t xml:space="preserve">The </w:t>
      </w:r>
      <w:r w:rsidR="001B7BE6">
        <w:t>a</w:t>
      </w:r>
      <w:r>
        <w:t xml:space="preserve">nnual </w:t>
      </w:r>
      <w:r w:rsidR="001B7BE6">
        <w:t>r</w:t>
      </w:r>
      <w:r>
        <w:t xml:space="preserve">eport has been prepared </w:t>
      </w:r>
      <w:r w:rsidR="000D48D5">
        <w:t>to meet</w:t>
      </w:r>
      <w:r>
        <w:t xml:space="preserve"> the requirements </w:t>
      </w:r>
      <w:r w:rsidR="000D48D5">
        <w:t xml:space="preserve">for the annual reports set out in </w:t>
      </w:r>
      <w:r>
        <w:t>the ECS Regulations.</w:t>
      </w:r>
      <w:r w:rsidR="00FF038B">
        <w:t xml:space="preserve"> We would like to thank Mr Grinsell-Jones for </w:t>
      </w:r>
      <w:r w:rsidR="00BE1C10">
        <w:t xml:space="preserve">his assistance in preparing </w:t>
      </w:r>
      <w:r w:rsidR="00B62D63">
        <w:t>the</w:t>
      </w:r>
      <w:r w:rsidR="00BE1C10">
        <w:t xml:space="preserve"> report.</w:t>
      </w:r>
    </w:p>
    <w:p w14:paraId="252BE572" w14:textId="3B0B3545" w:rsidR="00A55836" w:rsidRPr="00513868" w:rsidRDefault="006B70A9" w:rsidP="003B7089">
      <w:r>
        <w:t>We note that r</w:t>
      </w:r>
      <w:r w:rsidR="00A55836" w:rsidRPr="00513868">
        <w:t xml:space="preserve">egulations 198, 207 and 221 of the ECS Regulations require the </w:t>
      </w:r>
      <w:r w:rsidR="00A55836">
        <w:t xml:space="preserve">Education Ministers Meeting to arrange for the tabling of this </w:t>
      </w:r>
      <w:r>
        <w:t>a</w:t>
      </w:r>
      <w:r w:rsidR="00A55836">
        <w:t xml:space="preserve">nnual </w:t>
      </w:r>
      <w:r>
        <w:t>r</w:t>
      </w:r>
      <w:r w:rsidR="00A55836">
        <w:t xml:space="preserve">eport in the </w:t>
      </w:r>
      <w:r w:rsidR="00E05495">
        <w:t xml:space="preserve">Commonwealth, </w:t>
      </w:r>
      <w:r w:rsidR="00A55836">
        <w:t>State</w:t>
      </w:r>
      <w:r w:rsidR="00E05495">
        <w:t xml:space="preserve"> and</w:t>
      </w:r>
      <w:r w:rsidR="00A55836">
        <w:t xml:space="preserve"> Territory Parliaments.</w:t>
      </w:r>
      <w:r w:rsidR="00A55836" w:rsidRPr="00513868">
        <w:t xml:space="preserve"> </w:t>
      </w:r>
    </w:p>
    <w:p w14:paraId="07CDCC7C" w14:textId="20748230" w:rsidR="00A55836" w:rsidRDefault="00A55836" w:rsidP="003B7089">
      <w:pPr>
        <w:rPr>
          <w:rFonts w:cstheme="minorBidi"/>
        </w:rPr>
      </w:pPr>
      <w:r w:rsidRPr="2F082CB1">
        <w:rPr>
          <w:rFonts w:cstheme="minorBidi"/>
        </w:rPr>
        <w:t>Yours sincerely</w:t>
      </w:r>
    </w:p>
    <w:p w14:paraId="4D5384E2" w14:textId="5A6D8060" w:rsidR="00BE1C10" w:rsidRPr="00513868" w:rsidRDefault="4A1C3830" w:rsidP="00C2503A">
      <w:pPr>
        <w:spacing w:after="0"/>
      </w:pPr>
      <w:r>
        <w:rPr>
          <w:noProof/>
        </w:rPr>
        <w:drawing>
          <wp:inline distT="0" distB="0" distL="0" distR="0" wp14:anchorId="349168D6" wp14:editId="1FFB7C3A">
            <wp:extent cx="728006" cy="268292"/>
            <wp:effectExtent l="0" t="0" r="0" b="0"/>
            <wp:docPr id="525092245" name="Picture 525092245" descr="Signature of Jackie Wil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92245" name="Picture 525092245" descr="Signature of Jackie Wilson "/>
                    <pic:cNvPicPr/>
                  </pic:nvPicPr>
                  <pic:blipFill>
                    <a:blip r:embed="rId18">
                      <a:extLst>
                        <a:ext uri="{28A0092B-C50C-407E-A947-70E740481C1C}">
                          <a14:useLocalDpi xmlns:a14="http://schemas.microsoft.com/office/drawing/2010/main" val="0"/>
                        </a:ext>
                      </a:extLst>
                    </a:blip>
                    <a:stretch>
                      <a:fillRect/>
                    </a:stretch>
                  </pic:blipFill>
                  <pic:spPr>
                    <a:xfrm>
                      <a:off x="0" y="0"/>
                      <a:ext cx="728006" cy="268292"/>
                    </a:xfrm>
                    <a:prstGeom prst="rect">
                      <a:avLst/>
                    </a:prstGeom>
                  </pic:spPr>
                </pic:pic>
              </a:graphicData>
            </a:graphic>
          </wp:inline>
        </w:drawing>
      </w:r>
      <w:r w:rsidR="00B62D63" w:rsidRPr="003A6063">
        <w:tab/>
      </w:r>
      <w:r w:rsidR="00B62D63" w:rsidRPr="003A6063">
        <w:tab/>
      </w:r>
      <w:r w:rsidR="00B62D63" w:rsidRPr="003A6063">
        <w:tab/>
      </w:r>
      <w:r w:rsidR="00B62D63" w:rsidRPr="003A6063">
        <w:tab/>
      </w:r>
      <w:r w:rsidR="00B62D63" w:rsidRPr="003A6063">
        <w:tab/>
      </w:r>
      <w:r w:rsidR="00B62D63" w:rsidRPr="003A6063">
        <w:tab/>
      </w:r>
      <w:r w:rsidR="00B62D63" w:rsidRPr="003A6063">
        <w:tab/>
      </w:r>
      <w:r w:rsidR="00CA130E" w:rsidRPr="00CA130E">
        <w:rPr>
          <w:noProof/>
        </w:rPr>
        <w:drawing>
          <wp:inline distT="0" distB="0" distL="0" distR="0" wp14:anchorId="62E500BE" wp14:editId="49CAD06C">
            <wp:extent cx="1422000" cy="349200"/>
            <wp:effectExtent l="0" t="0" r="6985" b="0"/>
            <wp:docPr id="1164895344" name="Picture 1" descr="Signature of Christopher Matth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95344" name="Picture 1" descr="Signature of Christopher Matthi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2000" cy="349200"/>
                    </a:xfrm>
                    <a:prstGeom prst="rect">
                      <a:avLst/>
                    </a:prstGeom>
                    <a:noFill/>
                    <a:ln>
                      <a:noFill/>
                    </a:ln>
                  </pic:spPr>
                </pic:pic>
              </a:graphicData>
            </a:graphic>
          </wp:inline>
        </w:drawing>
      </w:r>
    </w:p>
    <w:p w14:paraId="7D2A741B" w14:textId="2906D5DB" w:rsidR="00A55836" w:rsidRPr="00513868" w:rsidRDefault="00F4120C" w:rsidP="00E11AE8">
      <w:pPr>
        <w:spacing w:after="0"/>
        <w:rPr>
          <w:rFonts w:cstheme="minorBidi"/>
          <w:b/>
          <w:bCs/>
        </w:rPr>
      </w:pPr>
      <w:r>
        <w:rPr>
          <w:rFonts w:cstheme="minorBidi"/>
          <w:b/>
          <w:bCs/>
        </w:rPr>
        <w:t xml:space="preserve">Jackie Wilson </w:t>
      </w:r>
      <w:r>
        <w:rPr>
          <w:rFonts w:cstheme="minorBidi"/>
          <w:b/>
          <w:bCs/>
        </w:rPr>
        <w:tab/>
      </w:r>
      <w:r>
        <w:rPr>
          <w:rFonts w:cstheme="minorBidi"/>
          <w:b/>
          <w:bCs/>
        </w:rPr>
        <w:tab/>
      </w:r>
      <w:r>
        <w:rPr>
          <w:rFonts w:cstheme="minorBidi"/>
          <w:b/>
          <w:bCs/>
        </w:rPr>
        <w:tab/>
      </w:r>
      <w:r>
        <w:rPr>
          <w:rFonts w:cstheme="minorBidi"/>
          <w:b/>
          <w:bCs/>
        </w:rPr>
        <w:tab/>
      </w:r>
      <w:r>
        <w:rPr>
          <w:rFonts w:cstheme="minorBidi"/>
          <w:b/>
          <w:bCs/>
        </w:rPr>
        <w:tab/>
      </w:r>
      <w:r>
        <w:rPr>
          <w:rFonts w:cstheme="minorBidi"/>
          <w:b/>
          <w:bCs/>
        </w:rPr>
        <w:tab/>
      </w:r>
      <w:r>
        <w:rPr>
          <w:rFonts w:cstheme="minorBidi"/>
          <w:b/>
          <w:bCs/>
        </w:rPr>
        <w:tab/>
      </w:r>
      <w:r w:rsidR="003A04AE">
        <w:rPr>
          <w:rFonts w:cstheme="minorBidi"/>
          <w:b/>
          <w:bCs/>
        </w:rPr>
        <w:t>Christopher Matthies</w:t>
      </w:r>
      <w:r w:rsidR="002C0E74">
        <w:rPr>
          <w:rFonts w:cstheme="minorBidi"/>
          <w:b/>
          <w:bCs/>
        </w:rPr>
        <w:tab/>
      </w:r>
      <w:r w:rsidR="002C0E74">
        <w:rPr>
          <w:rFonts w:cstheme="minorBidi"/>
          <w:b/>
          <w:bCs/>
        </w:rPr>
        <w:tab/>
      </w:r>
      <w:r w:rsidR="002C0E74">
        <w:rPr>
          <w:rFonts w:cstheme="minorBidi"/>
          <w:b/>
          <w:bCs/>
        </w:rPr>
        <w:tab/>
      </w:r>
    </w:p>
    <w:p w14:paraId="30DBDF73" w14:textId="31AFCCE1" w:rsidR="002C0E74" w:rsidRDefault="00F4120C" w:rsidP="00E11AE8">
      <w:pPr>
        <w:spacing w:after="0"/>
      </w:pPr>
      <w:r>
        <w:t>Education and Care Services Ombudsman</w:t>
      </w:r>
      <w:r w:rsidRPr="00513868">
        <w:t xml:space="preserve"> </w:t>
      </w:r>
      <w:r>
        <w:tab/>
      </w:r>
      <w:r>
        <w:tab/>
      </w:r>
      <w:r>
        <w:tab/>
      </w:r>
      <w:r w:rsidR="00A55836" w:rsidRPr="00513868">
        <w:t>National Education and Care Services</w:t>
      </w:r>
      <w:r w:rsidR="002C0E74">
        <w:tab/>
      </w:r>
      <w:r w:rsidR="00A55836" w:rsidRPr="00513868">
        <w:t xml:space="preserve"> </w:t>
      </w:r>
    </w:p>
    <w:p w14:paraId="23E10D32" w14:textId="77777777" w:rsidR="00F4120C" w:rsidRDefault="00F4120C" w:rsidP="00F4120C">
      <w:pPr>
        <w:spacing w:after="0"/>
        <w:ind w:left="3600" w:hanging="3600"/>
      </w:pPr>
      <w:r>
        <w:t>National Education and Care Services</w:t>
      </w:r>
      <w:r w:rsidRPr="00513868">
        <w:t xml:space="preserve"> </w:t>
      </w:r>
      <w:r>
        <w:t xml:space="preserve">         </w:t>
      </w:r>
      <w:r>
        <w:tab/>
      </w:r>
      <w:r>
        <w:tab/>
      </w:r>
      <w:r>
        <w:tab/>
      </w:r>
      <w:r w:rsidR="00A55836" w:rsidRPr="00513868">
        <w:t xml:space="preserve">Freedom of Information </w:t>
      </w:r>
      <w:r w:rsidR="002C0E74">
        <w:t xml:space="preserve">Commissioner </w:t>
      </w:r>
    </w:p>
    <w:p w14:paraId="3702CC23" w14:textId="3A5AFE60" w:rsidR="00A55836" w:rsidRDefault="00F4120C" w:rsidP="00B173AC">
      <w:pPr>
        <w:spacing w:after="0"/>
      </w:pPr>
      <w:r w:rsidRPr="00513868">
        <w:t>Privacy Commissioner</w:t>
      </w:r>
      <w:r w:rsidR="002C0E74">
        <w:tab/>
      </w:r>
      <w:r w:rsidR="002C0E74">
        <w:tab/>
      </w:r>
    </w:p>
    <w:p w14:paraId="015E1AA2" w14:textId="77777777" w:rsidR="00A55836" w:rsidRDefault="00A55836" w:rsidP="00A55836">
      <w:pPr>
        <w:spacing w:after="0" w:line="240" w:lineRule="auto"/>
        <w:rPr>
          <w:rFonts w:asciiTheme="minorHAnsi" w:hAnsiTheme="minorHAnsi" w:cstheme="minorHAnsi"/>
        </w:rPr>
        <w:sectPr w:rsidR="00A55836" w:rsidSect="00512E04">
          <w:footerReference w:type="first" r:id="rId20"/>
          <w:type w:val="continuous"/>
          <w:pgSz w:w="11907" w:h="16840" w:code="9"/>
          <w:pgMar w:top="1276" w:right="1080" w:bottom="1440" w:left="1080" w:header="709" w:footer="496" w:gutter="0"/>
          <w:pgNumType w:start="1"/>
          <w:cols w:space="708"/>
          <w:titlePg/>
          <w:docGrid w:linePitch="360"/>
        </w:sectPr>
      </w:pPr>
    </w:p>
    <w:p w14:paraId="12306A02" w14:textId="77777777" w:rsidR="00A55836" w:rsidRPr="00E503DE" w:rsidRDefault="00A55836" w:rsidP="00A55836">
      <w:pPr>
        <w:pStyle w:val="Heading1"/>
        <w:shd w:val="clear" w:color="auto" w:fill="B8CCE4" w:themeFill="accent1" w:themeFillTint="66"/>
        <w:rPr>
          <w:b/>
          <w:bCs/>
        </w:rPr>
      </w:pPr>
      <w:bookmarkStart w:id="1" w:name="_Toc160544949"/>
      <w:r w:rsidRPr="590D3B52">
        <w:rPr>
          <w:b/>
          <w:bCs/>
        </w:rPr>
        <w:t>Overview</w:t>
      </w:r>
      <w:bookmarkEnd w:id="1"/>
    </w:p>
    <w:p w14:paraId="79F8D7B7" w14:textId="18B703FE" w:rsidR="00A55836" w:rsidRPr="004B618F" w:rsidRDefault="00B77D2B" w:rsidP="00A55836">
      <w:pPr>
        <w:pStyle w:val="Heading2"/>
      </w:pPr>
      <w:r w:rsidRPr="00B77D2B">
        <w:br/>
      </w:r>
      <w:bookmarkStart w:id="2" w:name="_Toc160544950"/>
      <w:r w:rsidR="00A55836" w:rsidRPr="004B618F">
        <w:t>The ECS Commissioners</w:t>
      </w:r>
      <w:bookmarkStart w:id="3" w:name="_Hlk80784438"/>
      <w:bookmarkEnd w:id="2"/>
    </w:p>
    <w:bookmarkEnd w:id="3"/>
    <w:p w14:paraId="5A787F11" w14:textId="25103061" w:rsidR="00A55836" w:rsidRPr="003735AB" w:rsidRDefault="00A55836" w:rsidP="00534EE6">
      <w:r w:rsidRPr="00513868">
        <w:t xml:space="preserve">The </w:t>
      </w:r>
      <w:r w:rsidR="00CD592D">
        <w:t>Education and Care Services Ombudsman, the</w:t>
      </w:r>
      <w:r w:rsidR="00CD592D" w:rsidRPr="00513868">
        <w:t xml:space="preserve"> </w:t>
      </w:r>
      <w:r w:rsidRPr="00513868">
        <w:t>National Education and Care Services Freedom of Information Commissioner</w:t>
      </w:r>
      <w:r w:rsidR="00CD592D">
        <w:t xml:space="preserve"> and the</w:t>
      </w:r>
      <w:r w:rsidRPr="00513868">
        <w:t xml:space="preserve"> National Education and Care Services</w:t>
      </w:r>
      <w:r>
        <w:t xml:space="preserve"> Privacy Commissioner </w:t>
      </w:r>
      <w:r w:rsidRPr="003735AB">
        <w:t>(</w:t>
      </w:r>
      <w:r w:rsidR="00315719">
        <w:t xml:space="preserve">collectively </w:t>
      </w:r>
      <w:r w:rsidRPr="003735AB">
        <w:t>the ECS Commissioners) are independent statutory officers established under national applied laws</w:t>
      </w:r>
      <w:r w:rsidR="001E4C01">
        <w:t xml:space="preserve"> </w:t>
      </w:r>
      <w:r w:rsidRPr="003735AB">
        <w:t>– the</w:t>
      </w:r>
      <w:r w:rsidRPr="003735AB">
        <w:rPr>
          <w:i/>
        </w:rPr>
        <w:t xml:space="preserve"> Education and Care Services National Law </w:t>
      </w:r>
      <w:r w:rsidRPr="003735AB">
        <w:t xml:space="preserve">and the associated </w:t>
      </w:r>
      <w:r w:rsidRPr="003735AB">
        <w:rPr>
          <w:i/>
        </w:rPr>
        <w:t>Education and Care Service</w:t>
      </w:r>
      <w:r w:rsidR="00B05813">
        <w:rPr>
          <w:i/>
        </w:rPr>
        <w:t>s</w:t>
      </w:r>
      <w:r w:rsidRPr="003735AB">
        <w:rPr>
          <w:i/>
        </w:rPr>
        <w:t xml:space="preserve"> National Regulations</w:t>
      </w:r>
      <w:r w:rsidRPr="003735AB">
        <w:t xml:space="preserve"> (the National Law).</w:t>
      </w:r>
    </w:p>
    <w:p w14:paraId="5BAF851E" w14:textId="62412C87" w:rsidR="00A55836" w:rsidRPr="003735AB" w:rsidRDefault="00A55836" w:rsidP="00534EE6">
      <w:r w:rsidRPr="003735AB">
        <w:t xml:space="preserve">The ECS Commissioners’ positions were established in 2012 as part of reforms by the then Council of Australian Governments to create a national uniform regulatory and quality assurance system for early childhood education and care and outside school hours care services across Australia. </w:t>
      </w:r>
    </w:p>
    <w:p w14:paraId="7792B6D9" w14:textId="77777777" w:rsidR="00A55836" w:rsidRDefault="00A55836" w:rsidP="00534EE6">
      <w:r w:rsidRPr="003735AB">
        <w:t>The system is referred to as the National Quality Framework for Early Childhood Education and Care (the NQF). The NQF applies</w:t>
      </w:r>
      <w:r>
        <w:t xml:space="preserve"> to most long day care, family day care, outside school hours care, and preschool/kindergarten services in Australia.</w:t>
      </w:r>
    </w:p>
    <w:p w14:paraId="527D92B3" w14:textId="17C2B1B9" w:rsidR="00A55836" w:rsidRDefault="00A55836" w:rsidP="00534EE6">
      <w:r w:rsidRPr="00513868">
        <w:t>The</w:t>
      </w:r>
      <w:r>
        <w:t xml:space="preserve"> </w:t>
      </w:r>
      <w:r w:rsidR="00F81E6B">
        <w:t>2</w:t>
      </w:r>
      <w:r w:rsidR="00F81E6B" w:rsidRPr="00513868">
        <w:t xml:space="preserve"> </w:t>
      </w:r>
      <w:r w:rsidRPr="00513868">
        <w:t>Commissioner</w:t>
      </w:r>
      <w:r>
        <w:t>s’ and the Ombudsman’s</w:t>
      </w:r>
      <w:r w:rsidRPr="00513868">
        <w:t xml:space="preserve"> positions are established and operate independently of each other for the purpos</w:t>
      </w:r>
      <w:r>
        <w:t xml:space="preserve">es of the National Law. The Education Ministers Meeting is responsible for </w:t>
      </w:r>
      <w:r w:rsidRPr="00513868">
        <w:t>appoi</w:t>
      </w:r>
      <w:r>
        <w:t xml:space="preserve">ntments to the positions. </w:t>
      </w:r>
    </w:p>
    <w:p w14:paraId="05EFC09A" w14:textId="269E9F99" w:rsidR="00A4608C" w:rsidRDefault="00A55836" w:rsidP="00534EE6">
      <w:pPr>
        <w:rPr>
          <w:rFonts w:cstheme="minorBidi"/>
        </w:rPr>
      </w:pPr>
      <w:r w:rsidRPr="26A117DA">
        <w:rPr>
          <w:rFonts w:cstheme="minorBidi"/>
        </w:rPr>
        <w:t xml:space="preserve">The Education Ministers Meeting re-appointed </w:t>
      </w:r>
      <w:r w:rsidR="00E7092F">
        <w:rPr>
          <w:rFonts w:cstheme="minorBidi"/>
        </w:rPr>
        <w:t>Ms </w:t>
      </w:r>
      <w:r w:rsidRPr="26A117DA">
        <w:rPr>
          <w:rFonts w:cstheme="minorBidi"/>
        </w:rPr>
        <w:t xml:space="preserve">Lesley Foster to each of the </w:t>
      </w:r>
      <w:r w:rsidR="00152F9D">
        <w:rPr>
          <w:rFonts w:cstheme="minorBidi"/>
        </w:rPr>
        <w:t>3</w:t>
      </w:r>
      <w:r w:rsidR="00152F9D" w:rsidRPr="26A117DA">
        <w:rPr>
          <w:rFonts w:cstheme="minorBidi"/>
        </w:rPr>
        <w:t xml:space="preserve"> </w:t>
      </w:r>
      <w:r w:rsidRPr="26A117DA">
        <w:rPr>
          <w:rFonts w:cstheme="minorBidi"/>
        </w:rPr>
        <w:t xml:space="preserve">positions for the </w:t>
      </w:r>
      <w:r w:rsidR="00152F9D">
        <w:rPr>
          <w:rFonts w:cstheme="minorBidi"/>
        </w:rPr>
        <w:t>3</w:t>
      </w:r>
      <w:r w:rsidRPr="26A117DA">
        <w:rPr>
          <w:rFonts w:cstheme="minorBidi"/>
        </w:rPr>
        <w:t>-year period 2021 to 2024. Ms Foster resigned with effect from 31 December 202</w:t>
      </w:r>
      <w:r w:rsidR="00B96642">
        <w:rPr>
          <w:rFonts w:cstheme="minorBidi"/>
        </w:rPr>
        <w:t>2</w:t>
      </w:r>
      <w:r w:rsidRPr="26A117DA">
        <w:rPr>
          <w:rFonts w:cstheme="minorBidi"/>
        </w:rPr>
        <w:t>.</w:t>
      </w:r>
    </w:p>
    <w:p w14:paraId="3671BE36" w14:textId="665D996B" w:rsidR="00A55836" w:rsidRDefault="00EA2A67" w:rsidP="00534EE6">
      <w:pPr>
        <w:rPr>
          <w:rFonts w:cstheme="minorBidi"/>
        </w:rPr>
      </w:pPr>
      <w:r>
        <w:rPr>
          <w:rFonts w:cstheme="minorBidi"/>
        </w:rPr>
        <w:t xml:space="preserve">Mr </w:t>
      </w:r>
      <w:r w:rsidR="00A55836" w:rsidRPr="26A117DA">
        <w:rPr>
          <w:rFonts w:cstheme="minorBidi"/>
        </w:rPr>
        <w:t xml:space="preserve">Alan Grinsell-Jones was appointed to the </w:t>
      </w:r>
      <w:r>
        <w:rPr>
          <w:rFonts w:cstheme="minorBidi"/>
        </w:rPr>
        <w:t>3</w:t>
      </w:r>
      <w:r w:rsidR="000B73B8">
        <w:rPr>
          <w:rFonts w:cstheme="minorBidi"/>
        </w:rPr>
        <w:t> </w:t>
      </w:r>
      <w:r w:rsidR="00A55836" w:rsidRPr="26A117DA">
        <w:rPr>
          <w:rFonts w:cstheme="minorBidi"/>
        </w:rPr>
        <w:t xml:space="preserve">positions for </w:t>
      </w:r>
      <w:r>
        <w:rPr>
          <w:rFonts w:cstheme="minorBidi"/>
        </w:rPr>
        <w:t>6</w:t>
      </w:r>
      <w:r w:rsidRPr="26A117DA">
        <w:rPr>
          <w:rFonts w:cstheme="minorBidi"/>
        </w:rPr>
        <w:t xml:space="preserve"> </w:t>
      </w:r>
      <w:r w:rsidR="00A55836" w:rsidRPr="26A117DA">
        <w:rPr>
          <w:rFonts w:cstheme="minorBidi"/>
        </w:rPr>
        <w:t xml:space="preserve">months commencing from </w:t>
      </w:r>
      <w:r w:rsidR="00152F9D" w:rsidRPr="26A117DA">
        <w:rPr>
          <w:rFonts w:cstheme="minorBidi"/>
        </w:rPr>
        <w:t>1</w:t>
      </w:r>
      <w:r w:rsidR="00152F9D">
        <w:rPr>
          <w:rFonts w:cstheme="minorBidi"/>
        </w:rPr>
        <w:t> </w:t>
      </w:r>
      <w:r w:rsidR="00A55836" w:rsidRPr="26A117DA">
        <w:rPr>
          <w:rFonts w:cstheme="minorBidi"/>
        </w:rPr>
        <w:t xml:space="preserve">January 2023. </w:t>
      </w:r>
      <w:r w:rsidR="00152F9D">
        <w:rPr>
          <w:rFonts w:cstheme="minorBidi"/>
        </w:rPr>
        <w:t>The</w:t>
      </w:r>
      <w:r w:rsidR="00152F9D" w:rsidRPr="26A117DA">
        <w:rPr>
          <w:rFonts w:cstheme="minorBidi"/>
        </w:rPr>
        <w:t xml:space="preserve"> </w:t>
      </w:r>
      <w:r w:rsidR="00A55836" w:rsidRPr="26A117DA">
        <w:rPr>
          <w:rFonts w:cstheme="minorBidi"/>
        </w:rPr>
        <w:t xml:space="preserve">appointments were extended for up to </w:t>
      </w:r>
      <w:r>
        <w:rPr>
          <w:rFonts w:cstheme="minorBidi"/>
        </w:rPr>
        <w:t>6</w:t>
      </w:r>
      <w:r w:rsidRPr="26A117DA">
        <w:rPr>
          <w:rFonts w:cstheme="minorBidi"/>
        </w:rPr>
        <w:t xml:space="preserve"> </w:t>
      </w:r>
      <w:r w:rsidR="00A55836" w:rsidRPr="26A117DA">
        <w:rPr>
          <w:rFonts w:cstheme="minorBidi"/>
        </w:rPr>
        <w:t>months commencing 1 July 2023.</w:t>
      </w:r>
    </w:p>
    <w:p w14:paraId="449AE7A5" w14:textId="77777777" w:rsidR="00A55836" w:rsidRPr="004B618F" w:rsidRDefault="00A55836" w:rsidP="00A55836">
      <w:pPr>
        <w:pStyle w:val="Heading2"/>
      </w:pPr>
      <w:bookmarkStart w:id="4" w:name="_Toc160544951"/>
      <w:bookmarkStart w:id="5" w:name="_Hlk82077881"/>
      <w:bookmarkStart w:id="6" w:name="_Hlk49690578"/>
      <w:r w:rsidRPr="004B618F">
        <w:t>Legislative Framework</w:t>
      </w:r>
      <w:bookmarkEnd w:id="4"/>
    </w:p>
    <w:bookmarkEnd w:id="5"/>
    <w:bookmarkEnd w:id="6"/>
    <w:p w14:paraId="05B59078" w14:textId="551EA43D" w:rsidR="00A55836" w:rsidRPr="00376470" w:rsidRDefault="00A55836" w:rsidP="00534EE6">
      <w:pPr>
        <w:rPr>
          <w:rFonts w:eastAsia="Calibri"/>
        </w:rPr>
      </w:pPr>
      <w:r w:rsidRPr="00376470">
        <w:rPr>
          <w:rFonts w:eastAsia="Calibri"/>
        </w:rPr>
        <w:t xml:space="preserve">The ECS Commissioners operate within </w:t>
      </w:r>
      <w:r>
        <w:rPr>
          <w:rFonts w:eastAsia="Calibri"/>
        </w:rPr>
        <w:t>the</w:t>
      </w:r>
      <w:r w:rsidRPr="00376470">
        <w:rPr>
          <w:rFonts w:eastAsia="Calibri"/>
        </w:rPr>
        <w:t xml:space="preserve"> complex legislative framework</w:t>
      </w:r>
      <w:r>
        <w:rPr>
          <w:rFonts w:eastAsia="Calibri"/>
        </w:rPr>
        <w:t xml:space="preserve"> of the national applied laws.</w:t>
      </w:r>
      <w:r w:rsidRPr="00376470">
        <w:rPr>
          <w:rFonts w:eastAsia="Calibri"/>
        </w:rPr>
        <w:t xml:space="preserve"> Victoria passed the </w:t>
      </w:r>
      <w:r w:rsidRPr="00376470">
        <w:rPr>
          <w:rFonts w:eastAsia="Calibri"/>
          <w:i/>
        </w:rPr>
        <w:t>Education and Care Services National Law Act</w:t>
      </w:r>
      <w:r>
        <w:rPr>
          <w:rFonts w:eastAsia="Calibri"/>
          <w:i/>
        </w:rPr>
        <w:t xml:space="preserve"> </w:t>
      </w:r>
      <w:r w:rsidRPr="00376470">
        <w:rPr>
          <w:rFonts w:eastAsia="Calibri"/>
          <w:i/>
        </w:rPr>
        <w:t>2010</w:t>
      </w:r>
      <w:r w:rsidRPr="00376470">
        <w:rPr>
          <w:rFonts w:eastAsia="Calibri"/>
        </w:rPr>
        <w:t xml:space="preserve"> </w:t>
      </w:r>
      <w:r>
        <w:rPr>
          <w:rFonts w:eastAsia="Calibri"/>
        </w:rPr>
        <w:t xml:space="preserve">(ECSNL) </w:t>
      </w:r>
      <w:r w:rsidRPr="00376470">
        <w:rPr>
          <w:rFonts w:eastAsia="Calibri"/>
        </w:rPr>
        <w:t xml:space="preserve">and each </w:t>
      </w:r>
      <w:r>
        <w:rPr>
          <w:rFonts w:eastAsia="Calibri"/>
        </w:rPr>
        <w:t>s</w:t>
      </w:r>
      <w:r w:rsidRPr="00376470">
        <w:rPr>
          <w:rFonts w:eastAsia="Calibri"/>
        </w:rPr>
        <w:t xml:space="preserve">tate and </w:t>
      </w:r>
      <w:r>
        <w:rPr>
          <w:rFonts w:eastAsia="Calibri"/>
        </w:rPr>
        <w:t>t</w:t>
      </w:r>
      <w:r w:rsidRPr="00376470">
        <w:rPr>
          <w:rFonts w:eastAsia="Calibri"/>
        </w:rPr>
        <w:t>erritory passed legislation applying the</w:t>
      </w:r>
      <w:r>
        <w:rPr>
          <w:rFonts w:eastAsia="Calibri"/>
        </w:rPr>
        <w:t xml:space="preserve"> law to their jurisdiction, or enacted corresponding legislation, </w:t>
      </w:r>
      <w:r w:rsidRPr="00376470">
        <w:rPr>
          <w:rFonts w:eastAsia="Calibri"/>
        </w:rPr>
        <w:t xml:space="preserve">with some variations to accommodate local requirements. </w:t>
      </w:r>
      <w:r w:rsidRPr="00527028">
        <w:rPr>
          <w:rFonts w:eastAsia="Calibri"/>
          <w:iCs/>
        </w:rPr>
        <w:t>The</w:t>
      </w:r>
      <w:r w:rsidRPr="00376470">
        <w:rPr>
          <w:rFonts w:eastAsia="Calibri"/>
          <w:i/>
        </w:rPr>
        <w:t xml:space="preserve"> Education and Care Services National Regulations </w:t>
      </w:r>
      <w:r w:rsidR="0080276D">
        <w:rPr>
          <w:rFonts w:eastAsia="Calibri"/>
          <w:iCs/>
        </w:rPr>
        <w:t xml:space="preserve">(ECS Regulations) </w:t>
      </w:r>
      <w:r>
        <w:rPr>
          <w:rFonts w:eastAsia="Calibri"/>
        </w:rPr>
        <w:t xml:space="preserve">amplify </w:t>
      </w:r>
      <w:r w:rsidRPr="00376470">
        <w:rPr>
          <w:rFonts w:eastAsia="Calibri"/>
        </w:rPr>
        <w:t xml:space="preserve">the </w:t>
      </w:r>
      <w:r>
        <w:rPr>
          <w:rFonts w:eastAsia="Calibri"/>
        </w:rPr>
        <w:t>ECSNL.</w:t>
      </w:r>
    </w:p>
    <w:p w14:paraId="2173F1CF" w14:textId="5057B193" w:rsidR="00A55836" w:rsidRPr="00376470" w:rsidRDefault="00A55836" w:rsidP="00534EE6">
      <w:pPr>
        <w:rPr>
          <w:rFonts w:eastAsia="Calibri" w:cs="Calibri"/>
        </w:rPr>
      </w:pPr>
      <w:r>
        <w:rPr>
          <w:rFonts w:eastAsia="Calibri" w:cs="Calibri"/>
        </w:rPr>
        <w:t xml:space="preserve">Sections 263 and 264 of the ECSNL apply the Commonwealth </w:t>
      </w:r>
      <w:r w:rsidRPr="00095BF2">
        <w:rPr>
          <w:rFonts w:eastAsia="Calibri" w:cs="Calibri"/>
          <w:i/>
          <w:iCs/>
        </w:rPr>
        <w:t>Privacy Act 1988</w:t>
      </w:r>
      <w:r>
        <w:rPr>
          <w:rFonts w:eastAsia="Calibri" w:cs="Calibri"/>
        </w:rPr>
        <w:t xml:space="preserve"> </w:t>
      </w:r>
      <w:r w:rsidR="00772009">
        <w:rPr>
          <w:rFonts w:eastAsia="Calibri" w:cs="Calibri"/>
        </w:rPr>
        <w:t xml:space="preserve">(Privacy Act) </w:t>
      </w:r>
      <w:r w:rsidR="00F934F9">
        <w:rPr>
          <w:rFonts w:eastAsia="Calibri" w:cs="Calibri"/>
        </w:rPr>
        <w:t xml:space="preserve">and </w:t>
      </w:r>
      <w:r w:rsidR="00F934F9" w:rsidRPr="00095BF2">
        <w:rPr>
          <w:rFonts w:eastAsia="Calibri" w:cs="Calibri"/>
          <w:i/>
          <w:iCs/>
        </w:rPr>
        <w:t>Freedom of Information Act 1982</w:t>
      </w:r>
      <w:r w:rsidR="00F934F9">
        <w:rPr>
          <w:rFonts w:eastAsia="Calibri" w:cs="Calibri"/>
          <w:i/>
          <w:iCs/>
        </w:rPr>
        <w:t xml:space="preserve"> </w:t>
      </w:r>
      <w:r w:rsidR="00F934F9">
        <w:rPr>
          <w:rFonts w:eastAsia="Calibri" w:cs="Calibri"/>
        </w:rPr>
        <w:t xml:space="preserve">(FOI Act) </w:t>
      </w:r>
      <w:r>
        <w:rPr>
          <w:rFonts w:eastAsia="Calibri" w:cs="Calibri"/>
        </w:rPr>
        <w:t xml:space="preserve">as laws of participating jurisdictions for the purposes of the </w:t>
      </w:r>
      <w:r w:rsidR="0093701C">
        <w:rPr>
          <w:rFonts w:eastAsia="Calibri" w:cs="Calibri"/>
        </w:rPr>
        <w:t>NQF</w:t>
      </w:r>
      <w:r>
        <w:rPr>
          <w:rFonts w:eastAsia="Calibri" w:cs="Calibri"/>
        </w:rPr>
        <w:t>.</w:t>
      </w:r>
      <w:r w:rsidRPr="00095BF2">
        <w:rPr>
          <w:rFonts w:eastAsia="Calibri" w:cs="Calibri"/>
        </w:rPr>
        <w:t xml:space="preserve"> </w:t>
      </w:r>
      <w:r>
        <w:rPr>
          <w:rFonts w:eastAsia="Calibri" w:cs="Calibri"/>
        </w:rPr>
        <w:t xml:space="preserve">In applying these Commonwealth laws, the states and territories set aside their own privacy and information laws for the purposes of the NQF. Section 282 of the ECSNL in combination with </w:t>
      </w:r>
      <w:r w:rsidR="00087BBF">
        <w:rPr>
          <w:rFonts w:eastAsia="Calibri" w:cs="Calibri"/>
        </w:rPr>
        <w:t xml:space="preserve">regulation 222 of the </w:t>
      </w:r>
      <w:r>
        <w:rPr>
          <w:rFonts w:eastAsia="Calibri" w:cs="Calibri"/>
        </w:rPr>
        <w:t>ECS Regulation</w:t>
      </w:r>
      <w:r w:rsidR="005C58B5">
        <w:rPr>
          <w:rFonts w:eastAsia="Calibri" w:cs="Calibri"/>
        </w:rPr>
        <w:t>s</w:t>
      </w:r>
      <w:r>
        <w:rPr>
          <w:rFonts w:eastAsia="Calibri" w:cs="Calibri"/>
        </w:rPr>
        <w:t xml:space="preserve"> applies the Commonwealth </w:t>
      </w:r>
      <w:r w:rsidRPr="00095BF2">
        <w:rPr>
          <w:rFonts w:eastAsia="Calibri" w:cs="Calibri"/>
          <w:i/>
          <w:iCs/>
        </w:rPr>
        <w:t>Ombudsman Act 1976</w:t>
      </w:r>
      <w:r>
        <w:rPr>
          <w:rFonts w:eastAsia="Calibri" w:cs="Calibri"/>
        </w:rPr>
        <w:t xml:space="preserve"> to the Australian Children’s Education and Care Quality Authority (ACECQA).</w:t>
      </w:r>
    </w:p>
    <w:p w14:paraId="78105E19" w14:textId="45EDF29D" w:rsidR="00A55836" w:rsidRDefault="00A55836" w:rsidP="00534EE6">
      <w:pPr>
        <w:rPr>
          <w:rFonts w:eastAsia="Calibri" w:cs="Calibri"/>
        </w:rPr>
      </w:pPr>
      <w:r w:rsidRPr="00376470">
        <w:rPr>
          <w:rFonts w:eastAsia="Calibri" w:cs="Calibri"/>
        </w:rPr>
        <w:t xml:space="preserve">The </w:t>
      </w:r>
      <w:r w:rsidR="00464B5D">
        <w:rPr>
          <w:rFonts w:eastAsia="Calibri" w:cs="Calibri"/>
        </w:rPr>
        <w:t xml:space="preserve">3 </w:t>
      </w:r>
      <w:r w:rsidRPr="00376470">
        <w:rPr>
          <w:rFonts w:eastAsia="Calibri" w:cs="Calibri"/>
        </w:rPr>
        <w:t>Commonwealth Acts are modified by Divisions 1, 2</w:t>
      </w:r>
      <w:r w:rsidR="000A333B">
        <w:rPr>
          <w:rFonts w:eastAsia="Calibri" w:cs="Calibri"/>
        </w:rPr>
        <w:t xml:space="preserve"> </w:t>
      </w:r>
      <w:r w:rsidRPr="00376470">
        <w:rPr>
          <w:rFonts w:eastAsia="Calibri" w:cs="Calibri"/>
        </w:rPr>
        <w:t xml:space="preserve">and 4 </w:t>
      </w:r>
      <w:r w:rsidR="000A333B">
        <w:rPr>
          <w:rFonts w:eastAsia="Calibri" w:cs="Calibri"/>
        </w:rPr>
        <w:t xml:space="preserve">of Part 6.2 </w:t>
      </w:r>
      <w:r w:rsidRPr="00376470">
        <w:rPr>
          <w:rFonts w:eastAsia="Calibri" w:cs="Calibri"/>
        </w:rPr>
        <w:t>of the</w:t>
      </w:r>
      <w:r>
        <w:rPr>
          <w:rFonts w:eastAsia="Calibri" w:cs="Calibri"/>
        </w:rPr>
        <w:t xml:space="preserve"> </w:t>
      </w:r>
      <w:r w:rsidR="005C58B5">
        <w:rPr>
          <w:rFonts w:eastAsia="Calibri" w:cs="Calibri"/>
        </w:rPr>
        <w:t xml:space="preserve">ECS </w:t>
      </w:r>
      <w:r w:rsidRPr="00376470">
        <w:rPr>
          <w:rFonts w:eastAsia="Calibri" w:cs="Calibri"/>
        </w:rPr>
        <w:t xml:space="preserve">Regulations </w:t>
      </w:r>
      <w:r>
        <w:rPr>
          <w:rFonts w:eastAsia="Calibri" w:cs="Calibri"/>
        </w:rPr>
        <w:t>and confer specified jurisdiction on the ECS Commissioners.</w:t>
      </w:r>
    </w:p>
    <w:p w14:paraId="26F6E55C" w14:textId="3513BAF3" w:rsidR="00A55836" w:rsidRDefault="00A55836" w:rsidP="00534EE6">
      <w:pPr>
        <w:rPr>
          <w:rFonts w:cstheme="minorHAnsi"/>
          <w:color w:val="000000" w:themeColor="text1"/>
        </w:rPr>
      </w:pPr>
      <w:r>
        <w:rPr>
          <w:rFonts w:cstheme="minorHAnsi"/>
          <w:color w:val="000000" w:themeColor="text1"/>
        </w:rPr>
        <w:t xml:space="preserve">The National Law </w:t>
      </w:r>
      <w:r w:rsidRPr="008D0EBA">
        <w:rPr>
          <w:rFonts w:cstheme="minorHAnsi"/>
          <w:color w:val="000000" w:themeColor="text1"/>
        </w:rPr>
        <w:t xml:space="preserve">established ACECQA and early childhood education and care Regulatory Authorities in each of the </w:t>
      </w:r>
      <w:r>
        <w:rPr>
          <w:rFonts w:cstheme="minorHAnsi"/>
          <w:color w:val="000000" w:themeColor="text1"/>
        </w:rPr>
        <w:t xml:space="preserve">eight </w:t>
      </w:r>
      <w:r w:rsidRPr="008D0EBA">
        <w:rPr>
          <w:rFonts w:cstheme="minorHAnsi"/>
          <w:color w:val="000000" w:themeColor="text1"/>
        </w:rPr>
        <w:t xml:space="preserve">Australian states and </w:t>
      </w:r>
      <w:r>
        <w:rPr>
          <w:rFonts w:cstheme="minorHAnsi"/>
          <w:color w:val="000000" w:themeColor="text1"/>
        </w:rPr>
        <w:t xml:space="preserve">territories (collectively </w:t>
      </w:r>
      <w:r w:rsidRPr="0080151D">
        <w:rPr>
          <w:rFonts w:cstheme="minorHAnsi"/>
          <w:color w:val="000000" w:themeColor="text1"/>
        </w:rPr>
        <w:t>the NQF agencies</w:t>
      </w:r>
      <w:r w:rsidRPr="00C46E87">
        <w:rPr>
          <w:rFonts w:cstheme="minorHAnsi"/>
          <w:color w:val="000000" w:themeColor="text1"/>
        </w:rPr>
        <w:t>) t</w:t>
      </w:r>
      <w:r>
        <w:rPr>
          <w:rFonts w:cstheme="minorHAnsi"/>
          <w:color w:val="000000" w:themeColor="text1"/>
        </w:rPr>
        <w:t>o implement and manage the national system.</w:t>
      </w:r>
    </w:p>
    <w:p w14:paraId="68C9D30F" w14:textId="4F71B498" w:rsidR="00A55836" w:rsidRDefault="00A55836" w:rsidP="00534EE6">
      <w:r w:rsidRPr="008D0EBA">
        <w:rPr>
          <w:rFonts w:cstheme="minorHAnsi"/>
          <w:color w:val="000000" w:themeColor="text1"/>
        </w:rPr>
        <w:t xml:space="preserve">ACECQA </w:t>
      </w:r>
      <w:r w:rsidR="00A57C8B">
        <w:rPr>
          <w:rFonts w:cstheme="minorHAnsi"/>
        </w:rPr>
        <w:t>supports</w:t>
      </w:r>
      <w:r w:rsidRPr="008D0EBA">
        <w:rPr>
          <w:rFonts w:cstheme="minorHAnsi"/>
        </w:rPr>
        <w:t xml:space="preserve"> the implementation of the N</w:t>
      </w:r>
      <w:r>
        <w:rPr>
          <w:rFonts w:cstheme="minorHAnsi"/>
        </w:rPr>
        <w:t>QF and works with all governments to provide guidance, resources and services to improve outcomes for children in education and care services.</w:t>
      </w:r>
      <w:r w:rsidRPr="008D0EBA">
        <w:rPr>
          <w:rFonts w:cstheme="minorHAnsi"/>
        </w:rPr>
        <w:t xml:space="preserve"> </w:t>
      </w:r>
      <w:r>
        <w:rPr>
          <w:rFonts w:cstheme="minorHAnsi"/>
        </w:rPr>
        <w:t>S</w:t>
      </w:r>
      <w:r w:rsidRPr="008D0EBA">
        <w:rPr>
          <w:rFonts w:cstheme="minorHAnsi"/>
        </w:rPr>
        <w:t xml:space="preserve">tate and </w:t>
      </w:r>
      <w:r>
        <w:rPr>
          <w:rFonts w:cstheme="minorHAnsi"/>
        </w:rPr>
        <w:t>t</w:t>
      </w:r>
      <w:r w:rsidRPr="008D0EBA">
        <w:rPr>
          <w:rFonts w:cstheme="minorHAnsi"/>
        </w:rPr>
        <w:t xml:space="preserve">erritory Regulatory Authorities are responsible for </w:t>
      </w:r>
      <w:r w:rsidRPr="008D0EBA">
        <w:rPr>
          <w:rFonts w:cstheme="minorHAnsi"/>
          <w:color w:val="000000" w:themeColor="text1"/>
          <w:lang w:eastAsia="en-AU"/>
        </w:rPr>
        <w:t xml:space="preserve">granting education and care </w:t>
      </w:r>
      <w:r>
        <w:rPr>
          <w:rFonts w:cstheme="minorHAnsi"/>
          <w:color w:val="000000" w:themeColor="text1"/>
          <w:lang w:eastAsia="en-AU"/>
        </w:rPr>
        <w:t>provider</w:t>
      </w:r>
      <w:r w:rsidRPr="008D0EBA">
        <w:rPr>
          <w:rFonts w:cstheme="minorHAnsi"/>
          <w:color w:val="000000" w:themeColor="text1"/>
          <w:lang w:eastAsia="en-AU"/>
        </w:rPr>
        <w:t xml:space="preserve"> and </w:t>
      </w:r>
      <w:r>
        <w:rPr>
          <w:rFonts w:cstheme="minorHAnsi"/>
          <w:color w:val="000000" w:themeColor="text1"/>
          <w:lang w:eastAsia="en-AU"/>
        </w:rPr>
        <w:t xml:space="preserve">service </w:t>
      </w:r>
      <w:r w:rsidRPr="008D0EBA">
        <w:rPr>
          <w:rFonts w:cstheme="minorHAnsi"/>
          <w:color w:val="000000" w:themeColor="text1"/>
          <w:lang w:eastAsia="en-AU"/>
        </w:rPr>
        <w:t xml:space="preserve">approvals, </w:t>
      </w:r>
      <w:r w:rsidRPr="00DF7217">
        <w:t xml:space="preserve">undertaking quality assessment and rating of services, and ensuring services meet their obligations under the ECSNL and </w:t>
      </w:r>
      <w:r w:rsidR="00C615FD">
        <w:t>ECS</w:t>
      </w:r>
      <w:r w:rsidR="00C615FD" w:rsidRPr="00DF7217">
        <w:t xml:space="preserve"> </w:t>
      </w:r>
      <w:r w:rsidRPr="00DF7217">
        <w:t>Regulations.</w:t>
      </w:r>
    </w:p>
    <w:p w14:paraId="21B2E215" w14:textId="1F4A5FF9" w:rsidR="00A55836" w:rsidRPr="004B618F" w:rsidRDefault="00A55836" w:rsidP="00A55836">
      <w:pPr>
        <w:pStyle w:val="Heading2"/>
      </w:pPr>
      <w:bookmarkStart w:id="7" w:name="_Toc160544952"/>
      <w:r w:rsidRPr="004B618F">
        <w:t xml:space="preserve">The NQF </w:t>
      </w:r>
      <w:r w:rsidR="00977906">
        <w:t>a</w:t>
      </w:r>
      <w:r w:rsidRPr="004B618F">
        <w:t>gencies and the NQF regulated education and care sector</w:t>
      </w:r>
      <w:bookmarkEnd w:id="7"/>
    </w:p>
    <w:p w14:paraId="66980E3A" w14:textId="4BEB0F55" w:rsidR="00A55836" w:rsidRDefault="00A55836" w:rsidP="00DF7217">
      <w:pPr>
        <w:rPr>
          <w:rFonts w:eastAsia="Calibri"/>
        </w:rPr>
      </w:pPr>
      <w:r>
        <w:rPr>
          <w:rFonts w:eastAsia="Calibri"/>
        </w:rPr>
        <w:t xml:space="preserve">The </w:t>
      </w:r>
      <w:r w:rsidR="00A11118">
        <w:rPr>
          <w:rFonts w:eastAsia="Calibri"/>
        </w:rPr>
        <w:t xml:space="preserve">8 </w:t>
      </w:r>
      <w:r>
        <w:rPr>
          <w:rFonts w:eastAsia="Calibri"/>
        </w:rPr>
        <w:t xml:space="preserve">state and territory Regulatory Authorities are identified in their respective jurisdictional legislation. In most cases the Regulatory Authority is defined as the person heading the government department that has responsibility for early childhood education and care. Administrative units within the relevant departments carry out the </w:t>
      </w:r>
      <w:r w:rsidR="008825EE">
        <w:rPr>
          <w:rFonts w:eastAsia="Calibri"/>
        </w:rPr>
        <w:t>day-to-day</w:t>
      </w:r>
      <w:r>
        <w:rPr>
          <w:rFonts w:eastAsia="Calibri"/>
        </w:rPr>
        <w:t xml:space="preserve"> functions of the Regulatory Authorities. Details are at </w:t>
      </w:r>
      <w:r w:rsidRPr="003F03B5">
        <w:rPr>
          <w:rFonts w:eastAsia="Calibri"/>
          <w:b/>
        </w:rPr>
        <w:t>Attachment 1</w:t>
      </w:r>
      <w:r>
        <w:rPr>
          <w:rFonts w:eastAsia="Calibri"/>
        </w:rPr>
        <w:t xml:space="preserve"> to this Report.</w:t>
      </w:r>
    </w:p>
    <w:p w14:paraId="7266B5A9" w14:textId="4DBA062B" w:rsidR="00A55836" w:rsidRDefault="00A55836" w:rsidP="00DF7217">
      <w:pPr>
        <w:rPr>
          <w:rFonts w:eastAsia="Calibri"/>
        </w:rPr>
      </w:pPr>
      <w:r w:rsidRPr="2E92A1A1">
        <w:rPr>
          <w:rFonts w:eastAsia="Calibri"/>
        </w:rPr>
        <w:t xml:space="preserve">Together with ACECQA, state and territory Regulatory Authorities </w:t>
      </w:r>
      <w:r w:rsidR="00402DB8">
        <w:rPr>
          <w:rFonts w:eastAsia="Calibri"/>
        </w:rPr>
        <w:t>were regulating and supporting</w:t>
      </w:r>
      <w:r w:rsidRPr="2E92A1A1">
        <w:rPr>
          <w:rFonts w:eastAsia="Calibri"/>
        </w:rPr>
        <w:t xml:space="preserve"> a total of </w:t>
      </w:r>
      <w:r w:rsidR="00402DB8">
        <w:rPr>
          <w:rFonts w:eastAsia="Calibri"/>
        </w:rPr>
        <w:t xml:space="preserve">17,332 </w:t>
      </w:r>
      <w:r w:rsidRPr="2E92A1A1">
        <w:rPr>
          <w:rFonts w:eastAsia="Calibri"/>
        </w:rPr>
        <w:t xml:space="preserve">approved education and care services and </w:t>
      </w:r>
      <w:r w:rsidR="00231689">
        <w:rPr>
          <w:rFonts w:eastAsia="Calibri"/>
        </w:rPr>
        <w:t>7,226</w:t>
      </w:r>
      <w:r w:rsidR="000345E5">
        <w:rPr>
          <w:rFonts w:eastAsia="Calibri"/>
        </w:rPr>
        <w:t xml:space="preserve"> </w:t>
      </w:r>
      <w:r w:rsidRPr="2E92A1A1">
        <w:rPr>
          <w:rFonts w:eastAsia="Calibri"/>
        </w:rPr>
        <w:t xml:space="preserve">approved providers across Australia under the </w:t>
      </w:r>
      <w:r w:rsidR="00102FD4">
        <w:rPr>
          <w:rFonts w:eastAsia="Calibri"/>
        </w:rPr>
        <w:t>NQF</w:t>
      </w:r>
      <w:r w:rsidRPr="2E92A1A1">
        <w:rPr>
          <w:rStyle w:val="FootnoteReference"/>
          <w:rFonts w:asciiTheme="minorHAnsi" w:eastAsia="Calibri" w:hAnsiTheme="minorHAnsi"/>
        </w:rPr>
        <w:footnoteReference w:id="2"/>
      </w:r>
      <w:r w:rsidR="00231689">
        <w:rPr>
          <w:rFonts w:eastAsia="Calibri"/>
        </w:rPr>
        <w:t xml:space="preserve"> as at 30 June 2023</w:t>
      </w:r>
      <w:r w:rsidRPr="2E92A1A1">
        <w:rPr>
          <w:rFonts w:eastAsia="Calibri"/>
        </w:rPr>
        <w:t xml:space="preserve">. </w:t>
      </w:r>
    </w:p>
    <w:p w14:paraId="6954187E" w14:textId="75AB30B2" w:rsidR="00A55836" w:rsidRDefault="00A55836" w:rsidP="00DF7217">
      <w:r w:rsidRPr="411602C8">
        <w:rPr>
          <w:rFonts w:eastAsia="Calibri"/>
        </w:rPr>
        <w:t xml:space="preserve">The vast majority of these services </w:t>
      </w:r>
      <w:r w:rsidR="00DB756D" w:rsidRPr="411602C8">
        <w:rPr>
          <w:rFonts w:eastAsia="Calibri"/>
        </w:rPr>
        <w:t>– 97% at 30 June 2023 –</w:t>
      </w:r>
      <w:r w:rsidR="00170F13">
        <w:rPr>
          <w:rFonts w:eastAsia="Calibri"/>
        </w:rPr>
        <w:t xml:space="preserve"> were</w:t>
      </w:r>
      <w:r w:rsidR="00AC04D2">
        <w:rPr>
          <w:rFonts w:eastAsia="Calibri"/>
        </w:rPr>
        <w:t xml:space="preserve"> </w:t>
      </w:r>
      <w:r w:rsidRPr="411602C8">
        <w:rPr>
          <w:rFonts w:eastAsia="Calibri"/>
        </w:rPr>
        <w:t>centre</w:t>
      </w:r>
      <w:r w:rsidR="00620D6F" w:rsidRPr="411602C8">
        <w:rPr>
          <w:rFonts w:eastAsia="Calibri"/>
        </w:rPr>
        <w:t>-</w:t>
      </w:r>
      <w:r w:rsidRPr="411602C8">
        <w:rPr>
          <w:rFonts w:eastAsia="Calibri"/>
        </w:rPr>
        <w:t xml:space="preserve">based services. </w:t>
      </w:r>
      <w:r>
        <w:t xml:space="preserve">They include most long day care, preschool and outside school hours care services that are delivered at a centre. </w:t>
      </w:r>
      <w:r w:rsidR="005536D8">
        <w:t xml:space="preserve">The data does not include </w:t>
      </w:r>
      <w:r>
        <w:t>Tasmanian preschools/kindergartens and most preschools/</w:t>
      </w:r>
      <w:r w:rsidR="005536D8">
        <w:t xml:space="preserve"> </w:t>
      </w:r>
      <w:r>
        <w:t xml:space="preserve">kindergartens in Western Australia that are outside the scope of the NQF, as well as other services that </w:t>
      </w:r>
      <w:r w:rsidR="00CF2F8C">
        <w:t xml:space="preserve">are not </w:t>
      </w:r>
      <w:r>
        <w:t>regulated under the National Law.</w:t>
      </w:r>
    </w:p>
    <w:p w14:paraId="5A3C7C9A" w14:textId="0C1299FA" w:rsidR="00A55836" w:rsidRDefault="005536D8" w:rsidP="00244513">
      <w:r>
        <w:t>The</w:t>
      </w:r>
      <w:r w:rsidR="00244513">
        <w:t xml:space="preserve"> remainder</w:t>
      </w:r>
      <w:r w:rsidR="00A55836">
        <w:t xml:space="preserve"> of the services </w:t>
      </w:r>
      <w:r w:rsidR="00970D0C">
        <w:t xml:space="preserve">were </w:t>
      </w:r>
      <w:r w:rsidR="00A55836" w:rsidRPr="009C455F">
        <w:t>family day care service delivered through a network of educators operating from residences and other approved venues. They are sometimes known as family day care schemes and they are administered and supported by central coordination units</w:t>
      </w:r>
      <w:r w:rsidR="00A55836">
        <w:t>.</w:t>
      </w:r>
      <w:r w:rsidR="00D22C38">
        <w:br/>
      </w:r>
    </w:p>
    <w:p w14:paraId="05DABE01" w14:textId="6CA31D05" w:rsidR="00A55836" w:rsidRPr="004B618F" w:rsidRDefault="00BD1673" w:rsidP="00A55836">
      <w:pPr>
        <w:pStyle w:val="Heading2"/>
      </w:pPr>
      <w:r>
        <w:br w:type="column"/>
      </w:r>
      <w:bookmarkStart w:id="8" w:name="_Toc160544953"/>
      <w:r w:rsidR="00A55836" w:rsidRPr="004B618F">
        <w:t>Vision and Purpose of the ECS Commissioners</w:t>
      </w:r>
      <w:bookmarkStart w:id="9" w:name="_Hlk82094222"/>
      <w:bookmarkEnd w:id="8"/>
    </w:p>
    <w:bookmarkEnd w:id="9"/>
    <w:p w14:paraId="2DDFA620" w14:textId="6D161EA9" w:rsidR="00A55836" w:rsidRDefault="00A55836" w:rsidP="00DF7217">
      <w:pPr>
        <w:rPr>
          <w:rFonts w:eastAsia="Times"/>
        </w:rPr>
      </w:pPr>
      <w:r>
        <w:rPr>
          <w:rFonts w:eastAsia="Times"/>
        </w:rPr>
        <w:t xml:space="preserve">The ECS Commissioners’ vision is to support public </w:t>
      </w:r>
      <w:r w:rsidRPr="00513B5B">
        <w:rPr>
          <w:rFonts w:eastAsia="Times"/>
        </w:rPr>
        <w:t xml:space="preserve">confidence in the </w:t>
      </w:r>
      <w:bookmarkStart w:id="10" w:name="_Hlk81916882"/>
      <w:r>
        <w:rPr>
          <w:rFonts w:eastAsia="Times"/>
        </w:rPr>
        <w:t>integrity</w:t>
      </w:r>
      <w:r w:rsidRPr="00513B5B">
        <w:rPr>
          <w:rFonts w:eastAsia="Times"/>
        </w:rPr>
        <w:t xml:space="preserve"> and fairness of the </w:t>
      </w:r>
      <w:r>
        <w:rPr>
          <w:rFonts w:eastAsia="Times"/>
        </w:rPr>
        <w:t xml:space="preserve">agencies responsible for the </w:t>
      </w:r>
      <w:r w:rsidRPr="00513B5B">
        <w:rPr>
          <w:rFonts w:eastAsia="Times"/>
        </w:rPr>
        <w:t>regulat</w:t>
      </w:r>
      <w:r>
        <w:rPr>
          <w:rFonts w:eastAsia="Times"/>
        </w:rPr>
        <w:t xml:space="preserve">ion </w:t>
      </w:r>
      <w:r w:rsidRPr="00513B5B">
        <w:rPr>
          <w:rFonts w:eastAsia="Times"/>
        </w:rPr>
        <w:t xml:space="preserve">and quality assurance </w:t>
      </w:r>
      <w:r>
        <w:rPr>
          <w:rFonts w:eastAsia="Times"/>
        </w:rPr>
        <w:t>of</w:t>
      </w:r>
      <w:r w:rsidRPr="00513B5B">
        <w:rPr>
          <w:rFonts w:eastAsia="Times"/>
        </w:rPr>
        <w:t xml:space="preserve"> early childhood education and care</w:t>
      </w:r>
      <w:r>
        <w:rPr>
          <w:rFonts w:eastAsia="Times"/>
        </w:rPr>
        <w:t xml:space="preserve"> services in Australia</w:t>
      </w:r>
      <w:r w:rsidRPr="00513B5B">
        <w:rPr>
          <w:rFonts w:eastAsia="Times"/>
        </w:rPr>
        <w:t xml:space="preserve">. </w:t>
      </w:r>
      <w:bookmarkEnd w:id="10"/>
    </w:p>
    <w:p w14:paraId="77F4F51C" w14:textId="77777777" w:rsidR="00A55836" w:rsidRDefault="00A55836" w:rsidP="00DF7217">
      <w:pPr>
        <w:rPr>
          <w:rFonts w:asciiTheme="minorHAnsi" w:eastAsia="Calibri" w:hAnsiTheme="minorHAnsi" w:cs="Calibri"/>
        </w:rPr>
      </w:pPr>
      <w:bookmarkStart w:id="11" w:name="_Hlk82078244"/>
      <w:r w:rsidRPr="000359E6">
        <w:rPr>
          <w:rFonts w:asciiTheme="minorHAnsi" w:eastAsia="Calibri" w:hAnsiTheme="minorHAnsi" w:cs="Calibri"/>
        </w:rPr>
        <w:t>Our purpose is to ensure that the information access and privacy rights of the community are upheld by the NQF agencies and the administrative actions of ACECQA are lawful, fair and proportionate.</w:t>
      </w:r>
      <w:r w:rsidRPr="00A616DB">
        <w:rPr>
          <w:rFonts w:asciiTheme="minorHAnsi" w:eastAsia="Calibri" w:hAnsiTheme="minorHAnsi" w:cs="Calibri"/>
        </w:rPr>
        <w:t xml:space="preserve"> </w:t>
      </w:r>
      <w:bookmarkEnd w:id="11"/>
    </w:p>
    <w:p w14:paraId="6706C2A9" w14:textId="51F414DE" w:rsidR="00DF7217" w:rsidRDefault="00A55836" w:rsidP="00DF7217">
      <w:pPr>
        <w:rPr>
          <w:rFonts w:asciiTheme="minorHAnsi" w:eastAsia="Calibri" w:hAnsiTheme="minorHAnsi" w:cs="Calibri"/>
        </w:rPr>
      </w:pPr>
      <w:r w:rsidRPr="00254EE7">
        <w:rPr>
          <w:rFonts w:asciiTheme="minorHAnsi" w:eastAsia="Calibri" w:hAnsiTheme="minorHAnsi" w:cs="Calibri"/>
        </w:rPr>
        <w:t xml:space="preserve">The ECS Commissioners provide independent, fair and accessible complaint-handling, review, investigation and advisory services and work with </w:t>
      </w:r>
      <w:r>
        <w:rPr>
          <w:rFonts w:asciiTheme="minorHAnsi" w:eastAsia="Calibri" w:hAnsiTheme="minorHAnsi" w:cs="Calibri"/>
        </w:rPr>
        <w:t xml:space="preserve">the </w:t>
      </w:r>
      <w:r w:rsidRPr="00254EE7">
        <w:rPr>
          <w:rFonts w:asciiTheme="minorHAnsi" w:eastAsia="Calibri" w:hAnsiTheme="minorHAnsi" w:cs="Calibri"/>
        </w:rPr>
        <w:t xml:space="preserve">NQF agencies to support their decision making and practices where necessary.  </w:t>
      </w:r>
      <w:r w:rsidR="00D22C38">
        <w:rPr>
          <w:rFonts w:asciiTheme="minorHAnsi" w:eastAsia="Calibri" w:hAnsiTheme="minorHAnsi" w:cs="Calibri"/>
        </w:rPr>
        <w:br/>
      </w:r>
    </w:p>
    <w:p w14:paraId="13CED963" w14:textId="03564AC6" w:rsidR="00A55836" w:rsidRPr="004B618F" w:rsidRDefault="00A55836" w:rsidP="00A55836">
      <w:pPr>
        <w:pStyle w:val="Heading2"/>
      </w:pPr>
      <w:bookmarkStart w:id="12" w:name="_Toc160544954"/>
      <w:r w:rsidRPr="004B618F">
        <w:t>Reflections on 2022</w:t>
      </w:r>
      <w:r w:rsidR="00917D50">
        <w:t>–</w:t>
      </w:r>
      <w:r w:rsidRPr="004B618F">
        <w:t>2023</w:t>
      </w:r>
      <w:bookmarkEnd w:id="12"/>
      <w:r w:rsidRPr="004B618F">
        <w:t xml:space="preserve"> </w:t>
      </w:r>
    </w:p>
    <w:p w14:paraId="017675F9" w14:textId="77777777" w:rsidR="00A55836" w:rsidRPr="00E51669" w:rsidRDefault="00A55836" w:rsidP="00A55836">
      <w:pPr>
        <w:pStyle w:val="Heading3"/>
      </w:pPr>
      <w:bookmarkStart w:id="13" w:name="_Toc148091818"/>
      <w:r w:rsidRPr="590D3B52">
        <w:t>Operational Issues</w:t>
      </w:r>
      <w:bookmarkEnd w:id="13"/>
    </w:p>
    <w:p w14:paraId="4D2B0244" w14:textId="2BB48438" w:rsidR="00A55836" w:rsidRPr="00DF7217" w:rsidRDefault="00A55836" w:rsidP="00DF7217">
      <w:r w:rsidRPr="2F082CB1">
        <w:t>During the reporting period</w:t>
      </w:r>
      <w:r w:rsidR="00930A51">
        <w:t>,</w:t>
      </w:r>
      <w:r w:rsidRPr="2F082CB1">
        <w:t xml:space="preserve"> the Commissioners experienced a continuing pattern of complex </w:t>
      </w:r>
      <w:r w:rsidR="006319BF">
        <w:t>f</w:t>
      </w:r>
      <w:r w:rsidRPr="2F082CB1">
        <w:t xml:space="preserve">reedom of </w:t>
      </w:r>
      <w:r w:rsidR="006319BF">
        <w:t>i</w:t>
      </w:r>
      <w:r w:rsidRPr="2F082CB1">
        <w:t xml:space="preserve">nformation </w:t>
      </w:r>
      <w:r w:rsidR="006319BF">
        <w:t xml:space="preserve">(FOI) </w:t>
      </w:r>
      <w:r w:rsidRPr="2F082CB1">
        <w:t xml:space="preserve">and </w:t>
      </w:r>
      <w:r w:rsidR="0020316C">
        <w:t>p</w:t>
      </w:r>
      <w:r w:rsidRPr="2F082CB1">
        <w:t xml:space="preserve">rivacy complaints and requests for reviews and investigations. </w:t>
      </w:r>
    </w:p>
    <w:p w14:paraId="3396D608" w14:textId="22EB703B" w:rsidR="00A55836" w:rsidRDefault="00A55836" w:rsidP="00DF7217">
      <w:pPr>
        <w:rPr>
          <w:rFonts w:cstheme="minorHAnsi"/>
        </w:rPr>
      </w:pPr>
      <w:r>
        <w:rPr>
          <w:rFonts w:cstheme="minorHAnsi"/>
        </w:rPr>
        <w:t xml:space="preserve">These tested the resources of the office and highlighted for the ECS Commissioners the need for some new thinking about how best to organise, support and resource the work of the </w:t>
      </w:r>
      <w:r w:rsidRPr="00671411">
        <w:rPr>
          <w:rFonts w:cstheme="minorHAnsi"/>
        </w:rPr>
        <w:t>Commissioners going forward</w:t>
      </w:r>
      <w:r>
        <w:rPr>
          <w:rFonts w:cstheme="minorHAnsi"/>
        </w:rPr>
        <w:t xml:space="preserve">. </w:t>
      </w:r>
    </w:p>
    <w:p w14:paraId="09E2B0CF" w14:textId="701263A6" w:rsidR="00A55836" w:rsidRDefault="00A55836" w:rsidP="00DF7217">
      <w:r w:rsidRPr="2F082CB1">
        <w:rPr>
          <w:rFonts w:eastAsia="Calibri" w:cs="Calibri"/>
        </w:rPr>
        <w:t>In February 2023</w:t>
      </w:r>
      <w:r w:rsidR="003B364C">
        <w:rPr>
          <w:rFonts w:eastAsia="Calibri" w:cs="Calibri"/>
        </w:rPr>
        <w:t>,</w:t>
      </w:r>
      <w:r w:rsidRPr="2F082CB1">
        <w:rPr>
          <w:rFonts w:eastAsia="Calibri" w:cs="Calibri"/>
        </w:rPr>
        <w:t xml:space="preserve"> Education Ministers agreed to </w:t>
      </w:r>
      <w:r w:rsidR="00787FD2">
        <w:rPr>
          <w:rFonts w:eastAsia="Calibri" w:cs="Calibri"/>
        </w:rPr>
        <w:t xml:space="preserve">appoint 2 people to the </w:t>
      </w:r>
      <w:r w:rsidR="001B5309">
        <w:rPr>
          <w:rFonts w:eastAsia="Calibri" w:cs="Calibri"/>
        </w:rPr>
        <w:t>3</w:t>
      </w:r>
      <w:r w:rsidR="001B5309" w:rsidRPr="2F082CB1">
        <w:rPr>
          <w:rFonts w:eastAsia="Calibri" w:cs="Calibri"/>
        </w:rPr>
        <w:t xml:space="preserve"> </w:t>
      </w:r>
      <w:r w:rsidRPr="2F082CB1">
        <w:rPr>
          <w:rFonts w:eastAsia="Calibri" w:cs="Calibri"/>
        </w:rPr>
        <w:t>current ECS Commissioner roles</w:t>
      </w:r>
      <w:r w:rsidR="00DE173E">
        <w:rPr>
          <w:rFonts w:eastAsia="Calibri" w:cs="Calibri"/>
        </w:rPr>
        <w:t xml:space="preserve">: one person would be appointed as </w:t>
      </w:r>
      <w:r w:rsidRPr="2F082CB1">
        <w:rPr>
          <w:rFonts w:eastAsia="Calibri" w:cs="Calibri"/>
        </w:rPr>
        <w:t>the FOI Commissioner</w:t>
      </w:r>
      <w:r w:rsidR="001B5309">
        <w:rPr>
          <w:rFonts w:eastAsia="Calibri" w:cs="Calibri"/>
        </w:rPr>
        <w:t>,</w:t>
      </w:r>
      <w:r w:rsidRPr="2F082CB1">
        <w:rPr>
          <w:rFonts w:eastAsia="Calibri" w:cs="Calibri"/>
        </w:rPr>
        <w:t xml:space="preserve"> and </w:t>
      </w:r>
      <w:r w:rsidR="00DE173E">
        <w:rPr>
          <w:rFonts w:eastAsia="Calibri" w:cs="Calibri"/>
        </w:rPr>
        <w:t xml:space="preserve">one person as </w:t>
      </w:r>
      <w:r w:rsidRPr="2F082CB1">
        <w:rPr>
          <w:rFonts w:eastAsia="Calibri" w:cs="Calibri"/>
        </w:rPr>
        <w:t>the Privacy Commissioner and Ombudsman.</w:t>
      </w:r>
    </w:p>
    <w:p w14:paraId="58A59CFC" w14:textId="4AE55244" w:rsidR="00A55836" w:rsidRPr="00521C34" w:rsidRDefault="000C75D6" w:rsidP="00A55836">
      <w:pPr>
        <w:pStyle w:val="Heading3"/>
      </w:pPr>
      <w:bookmarkStart w:id="14" w:name="_Toc148091819"/>
      <w:r>
        <w:br w:type="column"/>
      </w:r>
      <w:r w:rsidR="00A55836" w:rsidRPr="590D3B52">
        <w:t>Progress in the Commonwealth Attorney</w:t>
      </w:r>
      <w:r w:rsidR="00EE33DC">
        <w:t>-</w:t>
      </w:r>
      <w:r w:rsidR="00A55836" w:rsidRPr="590D3B52">
        <w:t xml:space="preserve">General’s Review of the </w:t>
      </w:r>
      <w:r w:rsidR="00A55836" w:rsidRPr="0080151D">
        <w:rPr>
          <w:i/>
          <w:iCs/>
        </w:rPr>
        <w:t>Privacy Act 1988</w:t>
      </w:r>
      <w:bookmarkStart w:id="15" w:name="_Hlk49931926"/>
      <w:bookmarkEnd w:id="14"/>
    </w:p>
    <w:p w14:paraId="44982EC3" w14:textId="05E4B8AC" w:rsidR="00A55836" w:rsidRPr="00DF7217" w:rsidRDefault="00A55836" w:rsidP="00DF7217">
      <w:pPr>
        <w:rPr>
          <w:rFonts w:cstheme="minorHAnsi"/>
        </w:rPr>
      </w:pPr>
      <w:r w:rsidRPr="2F082CB1">
        <w:t>In November 2019</w:t>
      </w:r>
      <w:r w:rsidR="00050124">
        <w:t>,</w:t>
      </w:r>
      <w:r w:rsidRPr="2F082CB1">
        <w:t xml:space="preserve"> the Australian Government committed to a review of the </w:t>
      </w:r>
      <w:r w:rsidRPr="2F082CB1">
        <w:rPr>
          <w:i/>
          <w:iCs/>
        </w:rPr>
        <w:t xml:space="preserve">Privacy Act 1988. </w:t>
      </w:r>
      <w:r w:rsidRPr="2F082CB1">
        <w:t xml:space="preserve">The Review is part of the Commonwealth government’s response to the report of the Australian Competition and Consumer Commission’s </w:t>
      </w:r>
      <w:r w:rsidRPr="2F082CB1">
        <w:rPr>
          <w:i/>
          <w:iCs/>
        </w:rPr>
        <w:t>Digital Platform Inquiry.</w:t>
      </w:r>
      <w:r w:rsidRPr="2F082CB1">
        <w:t xml:space="preserve"> It is being led by the Commonwealth Attorney</w:t>
      </w:r>
      <w:r w:rsidR="00EE33DC">
        <w:t>-</w:t>
      </w:r>
      <w:r w:rsidRPr="2F082CB1">
        <w:t xml:space="preserve">General’s </w:t>
      </w:r>
      <w:r w:rsidR="003A33B2">
        <w:t>Department</w:t>
      </w:r>
      <w:r w:rsidRPr="2F082CB1">
        <w:t xml:space="preserve">. </w:t>
      </w:r>
    </w:p>
    <w:p w14:paraId="1D46CF5A" w14:textId="7B503257" w:rsidR="00A55836" w:rsidRPr="007F4CCF" w:rsidRDefault="00A55836" w:rsidP="003372BE">
      <w:pPr>
        <w:spacing w:after="0"/>
      </w:pPr>
      <w:r w:rsidRPr="2F082CB1">
        <w:t xml:space="preserve">The Government released a Discussion Paper in October 2021 with a call for submissions by January 2022. </w:t>
      </w:r>
      <w:r>
        <w:t xml:space="preserve">The Discussion Paper set out proposals and options for reform of the Privacy Act based on feedback received in response to its earlier Issues Paper. The Discussion Paper </w:t>
      </w:r>
      <w:r w:rsidR="00C33540">
        <w:t>covered</w:t>
      </w:r>
      <w:r>
        <w:t xml:space="preserve"> a broad range of topics, including:</w:t>
      </w:r>
    </w:p>
    <w:p w14:paraId="408D6160" w14:textId="058078EE" w:rsidR="00A55836" w:rsidRPr="007F4CCF" w:rsidRDefault="00A55836" w:rsidP="003372BE">
      <w:pPr>
        <w:pStyle w:val="ListParagraph"/>
        <w:numPr>
          <w:ilvl w:val="0"/>
          <w:numId w:val="8"/>
        </w:numPr>
        <w:ind w:left="284" w:hanging="284"/>
      </w:pPr>
      <w:r w:rsidRPr="007F4CCF">
        <w:t>the scope and application of the Act</w:t>
      </w:r>
      <w:r w:rsidR="0093524E">
        <w:t>,</w:t>
      </w:r>
      <w:r>
        <w:t xml:space="preserve"> including considerations to clarify and broaden the definition of personal information to capture technical information such as IP addresses and other online identifiers;</w:t>
      </w:r>
    </w:p>
    <w:p w14:paraId="0ADD63C3" w14:textId="05E5473B" w:rsidR="00A55836" w:rsidRPr="007F4CCF" w:rsidRDefault="00A55836" w:rsidP="003372BE">
      <w:pPr>
        <w:pStyle w:val="ListParagraph"/>
        <w:numPr>
          <w:ilvl w:val="0"/>
          <w:numId w:val="8"/>
        </w:numPr>
        <w:ind w:left="284" w:hanging="284"/>
      </w:pPr>
      <w:r w:rsidRPr="007F4CCF">
        <w:t>the protections contained in the Australian Privacy Principles</w:t>
      </w:r>
      <w:r w:rsidR="0093524E">
        <w:t>,</w:t>
      </w:r>
      <w:r>
        <w:t xml:space="preserve"> including discussion on the collection, use and disclosure of personal information; and</w:t>
      </w:r>
    </w:p>
    <w:p w14:paraId="0C870699" w14:textId="2B3BD8D8" w:rsidR="00A55836" w:rsidRPr="003372BE" w:rsidRDefault="00A55836" w:rsidP="003372BE">
      <w:pPr>
        <w:pStyle w:val="ListParagraph"/>
        <w:numPr>
          <w:ilvl w:val="0"/>
          <w:numId w:val="8"/>
        </w:numPr>
        <w:ind w:left="284" w:hanging="284"/>
      </w:pPr>
      <w:r w:rsidRPr="007F4CCF">
        <w:t>how the Act is regulated and enforced</w:t>
      </w:r>
      <w:r>
        <w:t xml:space="preserve">, including consideration of introducing a direct right </w:t>
      </w:r>
      <w:r w:rsidR="00915889">
        <w:t>of</w:t>
      </w:r>
      <w:r>
        <w:t xml:space="preserve"> action for individuals whose privacy has been breached</w:t>
      </w:r>
      <w:r w:rsidRPr="007F4CCF">
        <w:t>.</w:t>
      </w:r>
    </w:p>
    <w:p w14:paraId="3F66CEFC" w14:textId="78FFB4F3" w:rsidR="00A55836" w:rsidRPr="003372BE" w:rsidRDefault="00A55836" w:rsidP="003372BE">
      <w:r w:rsidRPr="30AD0E7B">
        <w:t xml:space="preserve">The Government published its </w:t>
      </w:r>
      <w:r w:rsidR="007D72D1">
        <w:t>r</w:t>
      </w:r>
      <w:r w:rsidRPr="30AD0E7B">
        <w:t>eport on the Review in February 2023</w:t>
      </w:r>
      <w:r w:rsidR="00801E37">
        <w:t xml:space="preserve"> and the Government released its response on 28 September 2023</w:t>
      </w:r>
      <w:r w:rsidRPr="30AD0E7B">
        <w:t xml:space="preserve">. Copies of </w:t>
      </w:r>
      <w:r w:rsidR="001D33F9">
        <w:t xml:space="preserve">the submissions, </w:t>
      </w:r>
      <w:r w:rsidRPr="30AD0E7B">
        <w:t xml:space="preserve">the report and </w:t>
      </w:r>
      <w:r w:rsidR="001D33F9">
        <w:t xml:space="preserve">the Government’s response </w:t>
      </w:r>
      <w:r w:rsidRPr="30AD0E7B">
        <w:t>are on the Attorney</w:t>
      </w:r>
      <w:r w:rsidR="007176CD">
        <w:t>-</w:t>
      </w:r>
      <w:r w:rsidRPr="30AD0E7B">
        <w:t xml:space="preserve"> General’s </w:t>
      </w:r>
      <w:r w:rsidR="007176CD">
        <w:t>Department’s</w:t>
      </w:r>
      <w:r w:rsidR="007176CD" w:rsidRPr="30AD0E7B">
        <w:t xml:space="preserve"> </w:t>
      </w:r>
      <w:hyperlink r:id="rId21">
        <w:r w:rsidRPr="30AD0E7B">
          <w:rPr>
            <w:rStyle w:val="Hyperlink"/>
            <w:rFonts w:asciiTheme="minorHAnsi" w:hAnsiTheme="minorHAnsi" w:cstheme="minorBidi"/>
          </w:rPr>
          <w:t>website</w:t>
        </w:r>
      </w:hyperlink>
      <w:r w:rsidRPr="30AD0E7B">
        <w:t>.</w:t>
      </w:r>
      <w:r w:rsidR="007176CD">
        <w:t xml:space="preserve"> </w:t>
      </w:r>
    </w:p>
    <w:p w14:paraId="661F73D5" w14:textId="3B4198F8" w:rsidR="00A55836" w:rsidRDefault="00A55836" w:rsidP="003372BE">
      <w:r w:rsidRPr="00865084">
        <w:rPr>
          <w:rFonts w:cstheme="minorHAnsi"/>
        </w:rPr>
        <w:t xml:space="preserve">The </w:t>
      </w:r>
      <w:r>
        <w:rPr>
          <w:rFonts w:cstheme="minorHAnsi"/>
        </w:rPr>
        <w:t>N</w:t>
      </w:r>
      <w:r w:rsidRPr="00865084">
        <w:rPr>
          <w:rFonts w:cstheme="minorHAnsi"/>
        </w:rPr>
        <w:t>ECS Privacy Commissioner</w:t>
      </w:r>
      <w:r>
        <w:t xml:space="preserve"> will continue to monitor </w:t>
      </w:r>
      <w:r w:rsidR="0010694B">
        <w:t>progress on reforms</w:t>
      </w:r>
      <w:r>
        <w:t xml:space="preserve"> and advise Ministers and NQF agencies in due course about implications, if any, for the NQF agencies.</w:t>
      </w:r>
      <w:bookmarkEnd w:id="15"/>
      <w:r w:rsidR="00D22C38">
        <w:br/>
      </w:r>
    </w:p>
    <w:p w14:paraId="3952B5C0" w14:textId="78AD1743" w:rsidR="00A55836" w:rsidRPr="003372BE" w:rsidRDefault="00A55836" w:rsidP="003372BE">
      <w:pPr>
        <w:pStyle w:val="Heading3"/>
      </w:pPr>
      <w:bookmarkStart w:id="16" w:name="_Toc148091820"/>
      <w:r w:rsidRPr="590D3B52">
        <w:t>Compliance requirements for NQF agencies under Commonwealth legislation</w:t>
      </w:r>
      <w:bookmarkEnd w:id="16"/>
    </w:p>
    <w:p w14:paraId="351363BD" w14:textId="01CA719E" w:rsidR="00A55836" w:rsidRDefault="00A55836" w:rsidP="00B77D2B">
      <w:r>
        <w:t xml:space="preserve">Matters before the ECS Commissioners </w:t>
      </w:r>
      <w:r w:rsidR="003A51C2">
        <w:t>during the reporting</w:t>
      </w:r>
      <w:r>
        <w:t xml:space="preserve"> year highlighted the challenges faced at times by</w:t>
      </w:r>
      <w:r w:rsidRPr="00550B86">
        <w:t xml:space="preserve"> </w:t>
      </w:r>
      <w:r>
        <w:t>the NQF agencies</w:t>
      </w:r>
      <w:r w:rsidRPr="00886F90">
        <w:t xml:space="preserve"> </w:t>
      </w:r>
      <w:r w:rsidRPr="00550B86">
        <w:t xml:space="preserve">in having to apply </w:t>
      </w:r>
      <w:r>
        <w:t xml:space="preserve">the </w:t>
      </w:r>
      <w:r w:rsidRPr="00550B86">
        <w:t xml:space="preserve">Commonwealth </w:t>
      </w:r>
      <w:r w:rsidR="00EA2124">
        <w:t>FOI and p</w:t>
      </w:r>
      <w:r w:rsidRPr="00550B86">
        <w:t xml:space="preserve">rivacy </w:t>
      </w:r>
      <w:r>
        <w:t>legislation</w:t>
      </w:r>
      <w:r w:rsidRPr="00550B86">
        <w:t xml:space="preserve"> to aspects of their operations</w:t>
      </w:r>
      <w:r>
        <w:t>. Most of the NQF agencies are part of large</w:t>
      </w:r>
      <w:r w:rsidR="00EA2124">
        <w:t>r</w:t>
      </w:r>
      <w:r>
        <w:t xml:space="preserve"> state or territory government departments and rely on the services of departmental </w:t>
      </w:r>
      <w:r w:rsidR="003D40BF">
        <w:t xml:space="preserve">FOI and </w:t>
      </w:r>
      <w:r>
        <w:t>privacy officers who have commensurate responsibilities under their own jurisdiction’s legislation.</w:t>
      </w:r>
    </w:p>
    <w:p w14:paraId="43E60D19" w14:textId="48AF23BE" w:rsidR="00A55836" w:rsidRDefault="00A55836" w:rsidP="00B77D2B">
      <w:r w:rsidRPr="00550B86">
        <w:t xml:space="preserve">Whilst those challenges may sometimes cause difficulties, the Commonwealth legislation provides a consistent framework in which the same </w:t>
      </w:r>
      <w:r w:rsidR="003D40BF">
        <w:t xml:space="preserve">FOI and </w:t>
      </w:r>
      <w:r w:rsidRPr="00550B86">
        <w:t>privacy</w:t>
      </w:r>
      <w:r>
        <w:t xml:space="preserve"> </w:t>
      </w:r>
      <w:r w:rsidRPr="00550B86">
        <w:t xml:space="preserve">principles and legislation apply to the different jurisdictions when operating in the context of the National Law.  </w:t>
      </w:r>
    </w:p>
    <w:p w14:paraId="3DFE3F11" w14:textId="7F1C9A00" w:rsidR="00A55836" w:rsidRDefault="00A55836" w:rsidP="00B77D2B">
      <w:pPr>
        <w:rPr>
          <w:rFonts w:asciiTheme="minorHAnsi" w:hAnsiTheme="minorHAnsi"/>
          <w:color w:val="000000" w:themeColor="text1"/>
        </w:rPr>
      </w:pPr>
      <w:r>
        <w:rPr>
          <w:rFonts w:asciiTheme="minorHAnsi" w:hAnsiTheme="minorHAnsi"/>
          <w:color w:val="000000" w:themeColor="text1"/>
        </w:rPr>
        <w:t xml:space="preserve">The ECS FOI and Privacy Commissioners will continue to gradually build a suite of resources for the NQF agencies to support them in carrying out their responsibilities under the respective Acts. </w:t>
      </w:r>
    </w:p>
    <w:p w14:paraId="43873830" w14:textId="46F722D8" w:rsidR="00A55836" w:rsidRDefault="00A55836" w:rsidP="003372BE">
      <w:pPr>
        <w:rPr>
          <w:rFonts w:asciiTheme="minorHAnsi" w:hAnsiTheme="minorHAnsi" w:cstheme="minorBidi"/>
          <w:color w:val="000000" w:themeColor="text1"/>
        </w:rPr>
      </w:pPr>
      <w:r>
        <w:rPr>
          <w:rFonts w:asciiTheme="minorHAnsi" w:hAnsiTheme="minorHAnsi"/>
          <w:color w:val="000000" w:themeColor="text1"/>
        </w:rPr>
        <w:t xml:space="preserve">The ECS FOI Commissioner has </w:t>
      </w:r>
      <w:r w:rsidRPr="00F70F4D">
        <w:rPr>
          <w:rFonts w:asciiTheme="minorHAnsi" w:hAnsiTheme="minorHAnsi"/>
          <w:color w:val="000000" w:themeColor="text1"/>
        </w:rPr>
        <w:t>formally adop</w:t>
      </w:r>
      <w:r>
        <w:rPr>
          <w:rFonts w:asciiTheme="minorHAnsi" w:hAnsiTheme="minorHAnsi"/>
          <w:color w:val="000000" w:themeColor="text1"/>
        </w:rPr>
        <w:t xml:space="preserve">ted, by written instrument, </w:t>
      </w:r>
      <w:r w:rsidRPr="00F70F4D">
        <w:rPr>
          <w:rFonts w:asciiTheme="minorHAnsi" w:hAnsiTheme="minorHAnsi"/>
          <w:color w:val="000000" w:themeColor="text1"/>
        </w:rPr>
        <w:t>relevant sections of the</w:t>
      </w:r>
      <w:r>
        <w:rPr>
          <w:rFonts w:asciiTheme="minorHAnsi" w:hAnsiTheme="minorHAnsi"/>
          <w:color w:val="000000" w:themeColor="text1"/>
        </w:rPr>
        <w:t xml:space="preserve"> </w:t>
      </w:r>
      <w:r w:rsidRPr="00F70F4D">
        <w:rPr>
          <w:rFonts w:asciiTheme="minorHAnsi" w:hAnsiTheme="minorHAnsi"/>
          <w:color w:val="000000" w:themeColor="text1"/>
        </w:rPr>
        <w:t>A</w:t>
      </w:r>
      <w:r>
        <w:rPr>
          <w:rFonts w:asciiTheme="minorHAnsi" w:hAnsiTheme="minorHAnsi"/>
          <w:color w:val="000000" w:themeColor="text1"/>
        </w:rPr>
        <w:t xml:space="preserve">ustralian Information Commissioner </w:t>
      </w:r>
      <w:r w:rsidR="008C0A1A">
        <w:rPr>
          <w:rFonts w:asciiTheme="minorHAnsi" w:hAnsiTheme="minorHAnsi"/>
          <w:color w:val="000000" w:themeColor="text1"/>
        </w:rPr>
        <w:t>Freedom of Information</w:t>
      </w:r>
      <w:r w:rsidR="0068064E">
        <w:rPr>
          <w:rFonts w:asciiTheme="minorHAnsi" w:hAnsiTheme="minorHAnsi"/>
          <w:color w:val="000000" w:themeColor="text1"/>
        </w:rPr>
        <w:t xml:space="preserve"> </w:t>
      </w:r>
      <w:r w:rsidRPr="00F70F4D">
        <w:rPr>
          <w:rFonts w:asciiTheme="minorHAnsi" w:hAnsiTheme="minorHAnsi"/>
          <w:color w:val="000000" w:themeColor="text1"/>
        </w:rPr>
        <w:t>Guidelines</w:t>
      </w:r>
      <w:r w:rsidR="009B66C2">
        <w:rPr>
          <w:rStyle w:val="FootnoteReference"/>
          <w:rFonts w:asciiTheme="minorHAnsi" w:hAnsiTheme="minorHAnsi"/>
          <w:color w:val="000000" w:themeColor="text1"/>
        </w:rPr>
        <w:footnoteReference w:id="3"/>
      </w:r>
      <w:r>
        <w:rPr>
          <w:rFonts w:asciiTheme="minorHAnsi" w:hAnsiTheme="minorHAnsi"/>
          <w:color w:val="000000" w:themeColor="text1"/>
        </w:rPr>
        <w:t xml:space="preserve"> </w:t>
      </w:r>
      <w:r w:rsidRPr="00C73396">
        <w:rPr>
          <w:rFonts w:asciiTheme="minorHAnsi" w:hAnsiTheme="minorHAnsi"/>
          <w:color w:val="000000" w:themeColor="text1"/>
        </w:rPr>
        <w:t>on the interpretation, operation</w:t>
      </w:r>
      <w:r w:rsidR="001B405C">
        <w:rPr>
          <w:rFonts w:asciiTheme="minorHAnsi" w:hAnsiTheme="minorHAnsi"/>
          <w:color w:val="000000" w:themeColor="text1"/>
        </w:rPr>
        <w:t xml:space="preserve"> </w:t>
      </w:r>
      <w:r w:rsidRPr="00C73396">
        <w:rPr>
          <w:rFonts w:asciiTheme="minorHAnsi" w:hAnsiTheme="minorHAnsi"/>
          <w:color w:val="000000" w:themeColor="text1"/>
        </w:rPr>
        <w:t>and administration of the FOI Act</w:t>
      </w:r>
      <w:r w:rsidRPr="00F70F4D">
        <w:rPr>
          <w:rFonts w:asciiTheme="minorHAnsi" w:hAnsiTheme="minorHAnsi"/>
          <w:color w:val="000000" w:themeColor="text1"/>
        </w:rPr>
        <w:t>.</w:t>
      </w:r>
      <w:r>
        <w:rPr>
          <w:rFonts w:asciiTheme="minorHAnsi" w:hAnsiTheme="minorHAnsi"/>
          <w:color w:val="000000" w:themeColor="text1"/>
        </w:rPr>
        <w:t xml:space="preserve"> </w:t>
      </w:r>
      <w:r w:rsidRPr="411602C8">
        <w:rPr>
          <w:rFonts w:asciiTheme="minorHAnsi" w:hAnsiTheme="minorHAnsi"/>
          <w:color w:val="000000" w:themeColor="text1"/>
        </w:rPr>
        <w:t xml:space="preserve">NQF agencies must have regard to </w:t>
      </w:r>
      <w:r w:rsidR="005D7134" w:rsidRPr="411602C8">
        <w:rPr>
          <w:rFonts w:asciiTheme="minorHAnsi" w:hAnsiTheme="minorHAnsi"/>
          <w:color w:val="000000" w:themeColor="text1"/>
        </w:rPr>
        <w:t xml:space="preserve">the Guidelines </w:t>
      </w:r>
      <w:r w:rsidRPr="411602C8">
        <w:rPr>
          <w:rFonts w:asciiTheme="minorHAnsi" w:hAnsiTheme="minorHAnsi"/>
          <w:color w:val="000000" w:themeColor="text1"/>
        </w:rPr>
        <w:t xml:space="preserve">in </w:t>
      </w:r>
      <w:r w:rsidR="008453A2" w:rsidRPr="411602C8">
        <w:rPr>
          <w:rFonts w:asciiTheme="minorHAnsi" w:hAnsiTheme="minorHAnsi"/>
          <w:color w:val="000000" w:themeColor="text1"/>
        </w:rPr>
        <w:t xml:space="preserve">performing functions and exercising powers </w:t>
      </w:r>
      <w:r w:rsidRPr="411602C8">
        <w:rPr>
          <w:rFonts w:asciiTheme="minorHAnsi" w:hAnsiTheme="minorHAnsi"/>
          <w:color w:val="000000" w:themeColor="text1"/>
        </w:rPr>
        <w:t xml:space="preserve">under the FOI Act. </w:t>
      </w:r>
      <w:r w:rsidR="00DA290B" w:rsidRPr="411602C8">
        <w:rPr>
          <w:rFonts w:asciiTheme="minorHAnsi" w:hAnsiTheme="minorHAnsi"/>
          <w:color w:val="000000" w:themeColor="text1"/>
        </w:rPr>
        <w:t>The</w:t>
      </w:r>
      <w:r w:rsidR="00196FD1">
        <w:rPr>
          <w:rFonts w:asciiTheme="minorHAnsi" w:hAnsiTheme="minorHAnsi"/>
          <w:color w:val="000000" w:themeColor="text1"/>
        </w:rPr>
        <w:t xml:space="preserve"> Guidelines</w:t>
      </w:r>
      <w:r w:rsidR="005151ED" w:rsidRPr="411602C8">
        <w:rPr>
          <w:rFonts w:asciiTheme="minorHAnsi" w:hAnsiTheme="minorHAnsi"/>
          <w:color w:val="000000" w:themeColor="text1"/>
        </w:rPr>
        <w:t xml:space="preserve"> apply </w:t>
      </w:r>
      <w:r w:rsidR="006C4A3D" w:rsidRPr="411602C8">
        <w:rPr>
          <w:rFonts w:asciiTheme="minorHAnsi" w:hAnsiTheme="minorHAnsi"/>
          <w:color w:val="000000" w:themeColor="text1"/>
        </w:rPr>
        <w:t>as amended</w:t>
      </w:r>
      <w:r w:rsidR="00D26790" w:rsidRPr="411602C8">
        <w:rPr>
          <w:rFonts w:asciiTheme="minorHAnsi" w:hAnsiTheme="minorHAnsi"/>
          <w:color w:val="000000" w:themeColor="text1"/>
        </w:rPr>
        <w:t xml:space="preserve"> from time to time</w:t>
      </w:r>
      <w:r w:rsidR="006C4A3D" w:rsidRPr="411602C8">
        <w:rPr>
          <w:rFonts w:asciiTheme="minorHAnsi" w:hAnsiTheme="minorHAnsi"/>
          <w:color w:val="000000" w:themeColor="text1"/>
        </w:rPr>
        <w:t>.</w:t>
      </w:r>
      <w:r w:rsidR="00D26790" w:rsidRPr="411602C8">
        <w:rPr>
          <w:rFonts w:asciiTheme="minorHAnsi" w:hAnsiTheme="minorHAnsi"/>
          <w:color w:val="000000" w:themeColor="text1"/>
        </w:rPr>
        <w:t xml:space="preserve"> NQF agencies</w:t>
      </w:r>
      <w:r w:rsidR="00DA290B" w:rsidRPr="411602C8">
        <w:rPr>
          <w:rFonts w:asciiTheme="minorHAnsi" w:hAnsiTheme="minorHAnsi"/>
          <w:color w:val="000000" w:themeColor="text1"/>
        </w:rPr>
        <w:t xml:space="preserve"> </w:t>
      </w:r>
      <w:r w:rsidRPr="30AD0E7B">
        <w:rPr>
          <w:rFonts w:asciiTheme="minorHAnsi" w:hAnsiTheme="minorHAnsi" w:cstheme="minorBidi"/>
          <w:color w:val="000000" w:themeColor="text1"/>
        </w:rPr>
        <w:t xml:space="preserve">must </w:t>
      </w:r>
      <w:r w:rsidR="006C4A3D">
        <w:rPr>
          <w:rFonts w:asciiTheme="minorHAnsi" w:hAnsiTheme="minorHAnsi" w:cstheme="minorBidi"/>
          <w:color w:val="000000" w:themeColor="text1"/>
        </w:rPr>
        <w:t xml:space="preserve">therefore </w:t>
      </w:r>
      <w:r w:rsidRPr="30AD0E7B">
        <w:rPr>
          <w:rFonts w:asciiTheme="minorHAnsi" w:hAnsiTheme="minorHAnsi" w:cstheme="minorBidi"/>
          <w:color w:val="000000" w:themeColor="text1"/>
        </w:rPr>
        <w:t xml:space="preserve">be alert to </w:t>
      </w:r>
      <w:r w:rsidR="00AB157D">
        <w:rPr>
          <w:rFonts w:asciiTheme="minorHAnsi" w:hAnsiTheme="minorHAnsi" w:cstheme="minorBidi"/>
          <w:color w:val="000000" w:themeColor="text1"/>
        </w:rPr>
        <w:t>any updates to the</w:t>
      </w:r>
      <w:r w:rsidRPr="30AD0E7B">
        <w:rPr>
          <w:rFonts w:asciiTheme="minorHAnsi" w:hAnsiTheme="minorHAnsi" w:cstheme="minorBidi"/>
          <w:color w:val="000000" w:themeColor="text1"/>
        </w:rPr>
        <w:t xml:space="preserve"> </w:t>
      </w:r>
      <w:r w:rsidR="00D26790">
        <w:rPr>
          <w:rFonts w:asciiTheme="minorHAnsi" w:hAnsiTheme="minorHAnsi" w:cstheme="minorBidi"/>
          <w:color w:val="000000" w:themeColor="text1"/>
        </w:rPr>
        <w:t>G</w:t>
      </w:r>
      <w:r w:rsidRPr="30AD0E7B">
        <w:rPr>
          <w:rFonts w:asciiTheme="minorHAnsi" w:hAnsiTheme="minorHAnsi" w:cstheme="minorBidi"/>
          <w:color w:val="000000" w:themeColor="text1"/>
        </w:rPr>
        <w:t xml:space="preserve">uidelines in undertaking their responsibilities under the FOI Act. </w:t>
      </w:r>
    </w:p>
    <w:p w14:paraId="0C99FB89" w14:textId="0CBB0B90" w:rsidR="00A55836" w:rsidRDefault="00A55836" w:rsidP="003372BE">
      <w:pPr>
        <w:rPr>
          <w:rFonts w:asciiTheme="minorHAnsi" w:hAnsiTheme="minorHAnsi"/>
          <w:color w:val="000000" w:themeColor="text1"/>
        </w:rPr>
      </w:pPr>
      <w:r>
        <w:rPr>
          <w:rFonts w:asciiTheme="minorHAnsi" w:hAnsiTheme="minorHAnsi"/>
          <w:color w:val="000000" w:themeColor="text1"/>
        </w:rPr>
        <w:t xml:space="preserve">NQF agencies must also be aware that </w:t>
      </w:r>
      <w:r w:rsidR="00AB157D">
        <w:rPr>
          <w:rFonts w:asciiTheme="minorHAnsi" w:hAnsiTheme="minorHAnsi"/>
          <w:color w:val="000000" w:themeColor="text1"/>
        </w:rPr>
        <w:t xml:space="preserve">regulation 211 of the </w:t>
      </w:r>
      <w:r>
        <w:rPr>
          <w:rFonts w:asciiTheme="minorHAnsi" w:hAnsiTheme="minorHAnsi"/>
          <w:color w:val="000000" w:themeColor="text1"/>
        </w:rPr>
        <w:t>ECS Regulation</w:t>
      </w:r>
      <w:r w:rsidR="00C82B87">
        <w:rPr>
          <w:rFonts w:asciiTheme="minorHAnsi" w:hAnsiTheme="minorHAnsi"/>
          <w:color w:val="000000" w:themeColor="text1"/>
        </w:rPr>
        <w:t>s</w:t>
      </w:r>
      <w:r>
        <w:rPr>
          <w:rFonts w:asciiTheme="minorHAnsi" w:hAnsiTheme="minorHAnsi"/>
          <w:color w:val="000000" w:themeColor="text1"/>
        </w:rPr>
        <w:t xml:space="preserve"> applies the </w:t>
      </w:r>
      <w:hyperlink r:id="rId22" w:history="1">
        <w:r w:rsidRPr="00E2135C">
          <w:rPr>
            <w:rStyle w:val="Hyperlink"/>
            <w:rFonts w:asciiTheme="minorHAnsi" w:hAnsiTheme="minorHAnsi" w:cstheme="minorHAnsi"/>
            <w:i/>
            <w:iCs/>
          </w:rPr>
          <w:t>Freedom of Information (Charges) Regulations 2019</w:t>
        </w:r>
      </w:hyperlink>
      <w:r>
        <w:rPr>
          <w:rFonts w:asciiTheme="minorHAnsi" w:hAnsiTheme="minorHAnsi"/>
          <w:color w:val="000000" w:themeColor="text1"/>
        </w:rPr>
        <w:t xml:space="preserve"> </w:t>
      </w:r>
      <w:r w:rsidR="00213C72">
        <w:rPr>
          <w:rFonts w:asciiTheme="minorHAnsi" w:hAnsiTheme="minorHAnsi"/>
          <w:color w:val="000000" w:themeColor="text1"/>
        </w:rPr>
        <w:t>(</w:t>
      </w:r>
      <w:proofErr w:type="spellStart"/>
      <w:r w:rsidR="00213C72">
        <w:rPr>
          <w:rFonts w:asciiTheme="minorHAnsi" w:hAnsiTheme="minorHAnsi"/>
          <w:color w:val="000000" w:themeColor="text1"/>
        </w:rPr>
        <w:t>Cth</w:t>
      </w:r>
      <w:proofErr w:type="spellEnd"/>
      <w:r w:rsidR="00213C72">
        <w:rPr>
          <w:rFonts w:asciiTheme="minorHAnsi" w:hAnsiTheme="minorHAnsi"/>
          <w:color w:val="000000" w:themeColor="text1"/>
        </w:rPr>
        <w:t xml:space="preserve">) </w:t>
      </w:r>
      <w:r>
        <w:rPr>
          <w:rFonts w:asciiTheme="minorHAnsi" w:hAnsiTheme="minorHAnsi"/>
          <w:color w:val="000000" w:themeColor="text1"/>
        </w:rPr>
        <w:t>to the NQF agencies in handling FOI requests under the FOI Act. Part 4 of the Guidelines discusses the application of the Regulations by agencies.</w:t>
      </w:r>
    </w:p>
    <w:p w14:paraId="55466408" w14:textId="579CB61B" w:rsidR="00A55836" w:rsidRDefault="00A55836" w:rsidP="003372BE">
      <w:r>
        <w:rPr>
          <w:rFonts w:asciiTheme="minorHAnsi" w:hAnsiTheme="minorHAnsi"/>
          <w:color w:val="000000" w:themeColor="text1"/>
        </w:rPr>
        <w:t>The ECS Privacy Commissioner has similarly adopted</w:t>
      </w:r>
      <w:r w:rsidR="003603D5">
        <w:rPr>
          <w:rFonts w:asciiTheme="minorHAnsi" w:hAnsiTheme="minorHAnsi"/>
          <w:color w:val="000000" w:themeColor="text1"/>
        </w:rPr>
        <w:t>,</w:t>
      </w:r>
      <w:r>
        <w:rPr>
          <w:rFonts w:asciiTheme="minorHAnsi" w:hAnsiTheme="minorHAnsi"/>
          <w:color w:val="000000" w:themeColor="text1"/>
        </w:rPr>
        <w:t xml:space="preserve"> by written instrument</w:t>
      </w:r>
      <w:r w:rsidR="003603D5">
        <w:rPr>
          <w:rFonts w:asciiTheme="minorHAnsi" w:hAnsiTheme="minorHAnsi"/>
          <w:color w:val="000000" w:themeColor="text1"/>
        </w:rPr>
        <w:t>,</w:t>
      </w:r>
      <w:r>
        <w:rPr>
          <w:rFonts w:asciiTheme="minorHAnsi" w:hAnsiTheme="minorHAnsi"/>
          <w:color w:val="000000" w:themeColor="text1"/>
        </w:rPr>
        <w:t xml:space="preserve"> the </w:t>
      </w:r>
      <w:r w:rsidR="00F372FD">
        <w:rPr>
          <w:rFonts w:asciiTheme="minorHAnsi" w:hAnsiTheme="minorHAnsi"/>
          <w:color w:val="000000" w:themeColor="text1"/>
        </w:rPr>
        <w:t xml:space="preserve">Australian Information Commissioner </w:t>
      </w:r>
      <w:r>
        <w:rPr>
          <w:rFonts w:asciiTheme="minorHAnsi" w:hAnsiTheme="minorHAnsi"/>
          <w:color w:val="000000" w:themeColor="text1"/>
        </w:rPr>
        <w:t>Australian Privacy Principles Guidelines</w:t>
      </w:r>
      <w:r>
        <w:rPr>
          <w:rStyle w:val="FootnoteReference"/>
          <w:rFonts w:asciiTheme="minorHAnsi" w:hAnsiTheme="minorHAnsi"/>
          <w:color w:val="000000" w:themeColor="text1"/>
        </w:rPr>
        <w:footnoteReference w:id="4"/>
      </w:r>
      <w:r>
        <w:rPr>
          <w:rFonts w:asciiTheme="minorHAnsi" w:hAnsiTheme="minorHAnsi"/>
          <w:color w:val="000000" w:themeColor="text1"/>
        </w:rPr>
        <w:t xml:space="preserve"> for use by the NQF agencies in carrying out their responsibilities under the </w:t>
      </w:r>
      <w:r w:rsidRPr="0080151D">
        <w:rPr>
          <w:rFonts w:asciiTheme="minorHAnsi" w:hAnsiTheme="minorHAnsi"/>
          <w:iCs/>
          <w:color w:val="000000" w:themeColor="text1"/>
        </w:rPr>
        <w:t>Privacy Act</w:t>
      </w:r>
      <w:r w:rsidRPr="00C73396">
        <w:rPr>
          <w:rFonts w:asciiTheme="minorHAnsi" w:hAnsiTheme="minorHAnsi"/>
          <w:i/>
          <w:color w:val="000000" w:themeColor="text1"/>
        </w:rPr>
        <w:t>.</w:t>
      </w:r>
      <w:r>
        <w:rPr>
          <w:rFonts w:asciiTheme="minorHAnsi" w:hAnsiTheme="minorHAnsi"/>
          <w:color w:val="000000" w:themeColor="text1"/>
        </w:rPr>
        <w:t xml:space="preserve"> </w:t>
      </w:r>
      <w:r w:rsidRPr="00772CA5">
        <w:t xml:space="preserve">The </w:t>
      </w:r>
      <w:r w:rsidR="00A70D4B">
        <w:t xml:space="preserve">13 </w:t>
      </w:r>
      <w:r w:rsidR="00484FD1">
        <w:t xml:space="preserve">Australian Privacy </w:t>
      </w:r>
      <w:r w:rsidR="00B81B50">
        <w:t>Principles (</w:t>
      </w:r>
      <w:r w:rsidRPr="00772CA5">
        <w:t>APPs</w:t>
      </w:r>
      <w:r w:rsidR="00B81B50">
        <w:t>)</w:t>
      </w:r>
      <w:r w:rsidRPr="00772CA5">
        <w:t xml:space="preserve"> set out standards, rights and obligations in relation to handling, holding, accessing and correcting personal information</w:t>
      </w:r>
      <w:r>
        <w:t xml:space="preserve">. </w:t>
      </w:r>
      <w:r w:rsidRPr="00772CA5">
        <w:t xml:space="preserve"> </w:t>
      </w:r>
    </w:p>
    <w:p w14:paraId="08786339" w14:textId="2E16E54E" w:rsidR="00A55836" w:rsidRDefault="00A55836" w:rsidP="003372BE">
      <w:pPr>
        <w:rPr>
          <w:rStyle w:val="Hyperlink"/>
          <w:rFonts w:cs="Calibri"/>
          <w:color w:val="000000" w:themeColor="text1"/>
          <w:u w:val="none"/>
        </w:rPr>
      </w:pPr>
      <w:r>
        <w:t xml:space="preserve">The Privacy Act applies the APPs to </w:t>
      </w:r>
      <w:r w:rsidR="007F174A">
        <w:t xml:space="preserve">an </w:t>
      </w:r>
      <w:r>
        <w:t>APP entity</w:t>
      </w:r>
      <w:r w:rsidR="007F174A">
        <w:t xml:space="preserve"> which is</w:t>
      </w:r>
      <w:r>
        <w:t xml:space="preserve"> defined in </w:t>
      </w:r>
      <w:r w:rsidR="00322B83">
        <w:t xml:space="preserve">section </w:t>
      </w:r>
      <w:r>
        <w:t xml:space="preserve">6 of the Act as an </w:t>
      </w:r>
      <w:r w:rsidRPr="0080151D">
        <w:rPr>
          <w:iCs/>
          <w:color w:val="000000" w:themeColor="text1"/>
        </w:rPr>
        <w:t>agency</w:t>
      </w:r>
      <w:r w:rsidRPr="003D3C0D">
        <w:rPr>
          <w:color w:val="000000" w:themeColor="text1"/>
        </w:rPr>
        <w:t xml:space="preserve"> </w:t>
      </w:r>
      <w:r>
        <w:t xml:space="preserve">or </w:t>
      </w:r>
      <w:r w:rsidRPr="003D3C0D">
        <w:t>organisation</w:t>
      </w:r>
      <w:r>
        <w:t xml:space="preserve">. </w:t>
      </w:r>
      <w:r w:rsidR="00CA79F2">
        <w:t>Regulation 199 of the ECS R</w:t>
      </w:r>
      <w:r w:rsidRPr="00AF5DF7">
        <w:t>eg</w:t>
      </w:r>
      <w:r>
        <w:t>ulation</w:t>
      </w:r>
      <w:r w:rsidR="00CA79F2">
        <w:t>s</w:t>
      </w:r>
      <w:r w:rsidR="008A573A">
        <w:t xml:space="preserve"> modifies </w:t>
      </w:r>
      <w:r w:rsidRPr="00AF5DF7">
        <w:t xml:space="preserve">the Privacy </w:t>
      </w:r>
      <w:r>
        <w:t>A</w:t>
      </w:r>
      <w:r w:rsidRPr="00AF5DF7">
        <w:t xml:space="preserve">ct </w:t>
      </w:r>
      <w:r w:rsidR="00841007">
        <w:t xml:space="preserve">to provide that it applies </w:t>
      </w:r>
      <w:r w:rsidRPr="00AF5DF7">
        <w:t xml:space="preserve">only </w:t>
      </w:r>
      <w:r w:rsidR="00841007">
        <w:t>to</w:t>
      </w:r>
      <w:r>
        <w:t xml:space="preserve"> the NQF agencies</w:t>
      </w:r>
      <w:r w:rsidR="00262E6F">
        <w:t>:</w:t>
      </w:r>
      <w:r>
        <w:t xml:space="preserve"> ACECQA and the state and territory </w:t>
      </w:r>
      <w:r w:rsidR="000826A2">
        <w:t>R</w:t>
      </w:r>
      <w:r>
        <w:t xml:space="preserve">egulatory </w:t>
      </w:r>
      <w:r w:rsidR="000826A2">
        <w:t>A</w:t>
      </w:r>
      <w:r>
        <w:t xml:space="preserve">uthorities. </w:t>
      </w:r>
      <w:r w:rsidRPr="003D3C0D">
        <w:rPr>
          <w:rStyle w:val="Hyperlink"/>
          <w:rFonts w:cs="Calibri"/>
          <w:color w:val="auto"/>
          <w:u w:val="none"/>
        </w:rPr>
        <w:t xml:space="preserve">APPs </w:t>
      </w:r>
      <w:r w:rsidRPr="003D3C0D">
        <w:t>1 to 6, 8</w:t>
      </w:r>
      <w:r>
        <w:t>,</w:t>
      </w:r>
      <w:r w:rsidRPr="003D3C0D">
        <w:t xml:space="preserve"> and 10 to 13 </w:t>
      </w:r>
      <w:r w:rsidRPr="003D3C0D">
        <w:rPr>
          <w:rStyle w:val="Hyperlink"/>
          <w:rFonts w:cs="Calibri"/>
          <w:color w:val="auto"/>
          <w:u w:val="none"/>
        </w:rPr>
        <w:t xml:space="preserve">apply to </w:t>
      </w:r>
      <w:r w:rsidRPr="003B503D">
        <w:rPr>
          <w:rStyle w:val="Hyperlink"/>
          <w:rFonts w:cs="Calibri"/>
          <w:color w:val="000000" w:themeColor="text1"/>
          <w:u w:val="none"/>
        </w:rPr>
        <w:t>agencies. APPs 7 and 9 only apply to organisations and hence they do not apply to the NQF agencies.</w:t>
      </w:r>
    </w:p>
    <w:p w14:paraId="0D832CCB" w14:textId="3BF674C0" w:rsidR="00A55836" w:rsidRPr="00B3163E" w:rsidRDefault="00A55836" w:rsidP="003372BE">
      <w:pPr>
        <w:rPr>
          <w:color w:val="000000" w:themeColor="text1"/>
        </w:rPr>
      </w:pPr>
      <w:r>
        <w:rPr>
          <w:rStyle w:val="Hyperlink"/>
          <w:rFonts w:cs="Calibri"/>
          <w:color w:val="000000" w:themeColor="text1"/>
          <w:u w:val="none"/>
        </w:rPr>
        <w:t xml:space="preserve">The NQF agencies must ensure that their handling of personal information is in accordance with the requirements of the APPs, including having an </w:t>
      </w:r>
      <w:r w:rsidR="00981251">
        <w:rPr>
          <w:rStyle w:val="Hyperlink"/>
          <w:rFonts w:cs="Calibri"/>
          <w:color w:val="000000" w:themeColor="text1"/>
          <w:u w:val="none"/>
        </w:rPr>
        <w:t>APP Privacy</w:t>
      </w:r>
      <w:r>
        <w:rPr>
          <w:rStyle w:val="Hyperlink"/>
          <w:rFonts w:cs="Calibri"/>
          <w:color w:val="000000" w:themeColor="text1"/>
          <w:u w:val="none"/>
        </w:rPr>
        <w:t xml:space="preserve"> Policy in place as required by APPs 1.3 and 1.4.</w:t>
      </w:r>
    </w:p>
    <w:p w14:paraId="2A5FAE06" w14:textId="1E5926C4" w:rsidR="00A55836" w:rsidRDefault="00A55836" w:rsidP="003372BE">
      <w:pPr>
        <w:rPr>
          <w:rFonts w:asciiTheme="minorHAnsi" w:hAnsiTheme="minorHAnsi"/>
          <w:color w:val="000000" w:themeColor="text1"/>
        </w:rPr>
      </w:pPr>
      <w:r w:rsidRPr="00C73396">
        <w:rPr>
          <w:rFonts w:asciiTheme="minorHAnsi" w:hAnsiTheme="minorHAnsi"/>
          <w:color w:val="000000" w:themeColor="text1"/>
        </w:rPr>
        <w:t>The</w:t>
      </w:r>
      <w:r>
        <w:rPr>
          <w:rFonts w:asciiTheme="minorHAnsi" w:hAnsiTheme="minorHAnsi"/>
          <w:color w:val="000000" w:themeColor="text1"/>
        </w:rPr>
        <w:t xml:space="preserve"> </w:t>
      </w:r>
      <w:r w:rsidR="00C26A96">
        <w:rPr>
          <w:rFonts w:asciiTheme="minorHAnsi" w:hAnsiTheme="minorHAnsi"/>
          <w:color w:val="000000" w:themeColor="text1"/>
        </w:rPr>
        <w:t>Freedom of Information</w:t>
      </w:r>
      <w:r>
        <w:rPr>
          <w:rFonts w:asciiTheme="minorHAnsi" w:hAnsiTheme="minorHAnsi"/>
          <w:color w:val="000000" w:themeColor="text1"/>
        </w:rPr>
        <w:t xml:space="preserve"> and A</w:t>
      </w:r>
      <w:r w:rsidR="00C26A96">
        <w:rPr>
          <w:rFonts w:asciiTheme="minorHAnsi" w:hAnsiTheme="minorHAnsi"/>
          <w:color w:val="000000" w:themeColor="text1"/>
        </w:rPr>
        <w:t xml:space="preserve">ustralian </w:t>
      </w:r>
      <w:r>
        <w:rPr>
          <w:rFonts w:asciiTheme="minorHAnsi" w:hAnsiTheme="minorHAnsi"/>
          <w:color w:val="000000" w:themeColor="text1"/>
        </w:rPr>
        <w:t>P</w:t>
      </w:r>
      <w:r w:rsidR="00C26A96">
        <w:rPr>
          <w:rFonts w:asciiTheme="minorHAnsi" w:hAnsiTheme="minorHAnsi"/>
          <w:color w:val="000000" w:themeColor="text1"/>
        </w:rPr>
        <w:t xml:space="preserve">rivacy </w:t>
      </w:r>
      <w:r>
        <w:rPr>
          <w:rFonts w:asciiTheme="minorHAnsi" w:hAnsiTheme="minorHAnsi"/>
          <w:color w:val="000000" w:themeColor="text1"/>
        </w:rPr>
        <w:t>P</w:t>
      </w:r>
      <w:r w:rsidR="00C26A96">
        <w:rPr>
          <w:rFonts w:asciiTheme="minorHAnsi" w:hAnsiTheme="minorHAnsi"/>
          <w:color w:val="000000" w:themeColor="text1"/>
        </w:rPr>
        <w:t>rincip</w:t>
      </w:r>
      <w:r w:rsidR="00BC5FFF">
        <w:rPr>
          <w:rFonts w:asciiTheme="minorHAnsi" w:hAnsiTheme="minorHAnsi"/>
          <w:color w:val="000000" w:themeColor="text1"/>
        </w:rPr>
        <w:t>les</w:t>
      </w:r>
      <w:r>
        <w:rPr>
          <w:rFonts w:asciiTheme="minorHAnsi" w:hAnsiTheme="minorHAnsi"/>
          <w:color w:val="000000" w:themeColor="text1"/>
        </w:rPr>
        <w:t xml:space="preserve"> </w:t>
      </w:r>
      <w:r w:rsidRPr="00C73396">
        <w:rPr>
          <w:rFonts w:asciiTheme="minorHAnsi" w:hAnsiTheme="minorHAnsi"/>
          <w:color w:val="000000" w:themeColor="text1"/>
        </w:rPr>
        <w:t xml:space="preserve">Guidelines reflect accumulated knowledge derived from practice and relevant case law. </w:t>
      </w:r>
      <w:r>
        <w:rPr>
          <w:rFonts w:asciiTheme="minorHAnsi" w:hAnsiTheme="minorHAnsi"/>
          <w:color w:val="000000" w:themeColor="text1"/>
        </w:rPr>
        <w:t xml:space="preserve">The formal adoption of them is intended to </w:t>
      </w:r>
      <w:r w:rsidRPr="00675A0A">
        <w:rPr>
          <w:rFonts w:asciiTheme="minorHAnsi" w:hAnsiTheme="minorHAnsi"/>
          <w:color w:val="000000" w:themeColor="text1"/>
        </w:rPr>
        <w:t xml:space="preserve">ensure consistency in the interpretation </w:t>
      </w:r>
      <w:r>
        <w:rPr>
          <w:rFonts w:asciiTheme="minorHAnsi" w:hAnsiTheme="minorHAnsi"/>
          <w:color w:val="000000" w:themeColor="text1"/>
        </w:rPr>
        <w:t xml:space="preserve">and application </w:t>
      </w:r>
      <w:r w:rsidRPr="00675A0A">
        <w:rPr>
          <w:rFonts w:asciiTheme="minorHAnsi" w:hAnsiTheme="minorHAnsi"/>
          <w:color w:val="000000" w:themeColor="text1"/>
        </w:rPr>
        <w:t xml:space="preserve">of </w:t>
      </w:r>
      <w:r>
        <w:rPr>
          <w:rFonts w:asciiTheme="minorHAnsi" w:hAnsiTheme="minorHAnsi"/>
          <w:color w:val="000000" w:themeColor="text1"/>
        </w:rPr>
        <w:t xml:space="preserve">the </w:t>
      </w:r>
      <w:r w:rsidRPr="00675A0A">
        <w:rPr>
          <w:rFonts w:asciiTheme="minorHAnsi" w:hAnsiTheme="minorHAnsi"/>
          <w:color w:val="000000" w:themeColor="text1"/>
        </w:rPr>
        <w:t>legislation across agencies that are subject to the</w:t>
      </w:r>
      <w:r>
        <w:rPr>
          <w:rFonts w:asciiTheme="minorHAnsi" w:hAnsiTheme="minorHAnsi"/>
          <w:color w:val="000000" w:themeColor="text1"/>
        </w:rPr>
        <w:t xml:space="preserve"> </w:t>
      </w:r>
      <w:r w:rsidR="00BD65F2">
        <w:rPr>
          <w:rFonts w:asciiTheme="minorHAnsi" w:hAnsiTheme="minorHAnsi"/>
          <w:color w:val="000000" w:themeColor="text1"/>
        </w:rPr>
        <w:t>FOI Act</w:t>
      </w:r>
      <w:r w:rsidRPr="00675A0A">
        <w:rPr>
          <w:rFonts w:asciiTheme="minorHAnsi" w:hAnsiTheme="minorHAnsi"/>
          <w:color w:val="000000" w:themeColor="text1"/>
        </w:rPr>
        <w:t xml:space="preserve"> and </w:t>
      </w:r>
      <w:r>
        <w:rPr>
          <w:rFonts w:asciiTheme="minorHAnsi" w:hAnsiTheme="minorHAnsi"/>
          <w:color w:val="000000" w:themeColor="text1"/>
        </w:rPr>
        <w:t xml:space="preserve">the </w:t>
      </w:r>
      <w:r w:rsidRPr="0080151D">
        <w:rPr>
          <w:rFonts w:asciiTheme="minorHAnsi" w:hAnsiTheme="minorHAnsi"/>
          <w:color w:val="000000" w:themeColor="text1"/>
        </w:rPr>
        <w:t>Privacy Act</w:t>
      </w:r>
      <w:r w:rsidRPr="00675A0A">
        <w:rPr>
          <w:rFonts w:asciiTheme="minorHAnsi" w:hAnsiTheme="minorHAnsi"/>
          <w:color w:val="000000" w:themeColor="text1"/>
        </w:rPr>
        <w:t xml:space="preserve"> and </w:t>
      </w:r>
      <w:r>
        <w:rPr>
          <w:rFonts w:asciiTheme="minorHAnsi" w:hAnsiTheme="minorHAnsi"/>
          <w:color w:val="000000" w:themeColor="text1"/>
        </w:rPr>
        <w:t xml:space="preserve">remove any uncertainty for NQF agencies or the public as to the expectations of the ECS Commissioners in the application of the two Acts. </w:t>
      </w:r>
    </w:p>
    <w:p w14:paraId="31DD499D" w14:textId="44EEA4CB" w:rsidR="00A55836" w:rsidRPr="00C3709A" w:rsidRDefault="00A55836" w:rsidP="00C3709A">
      <w:pPr>
        <w:rPr>
          <w:rFonts w:asciiTheme="minorHAnsi" w:hAnsiTheme="minorHAnsi"/>
          <w:bCs/>
          <w:color w:val="000000" w:themeColor="text1"/>
        </w:rPr>
      </w:pPr>
      <w:r w:rsidRPr="00FE695D">
        <w:rPr>
          <w:rFonts w:asciiTheme="minorHAnsi" w:hAnsiTheme="minorHAnsi"/>
          <w:color w:val="000000" w:themeColor="text1"/>
        </w:rPr>
        <w:t xml:space="preserve">A copy of each of the adopting instruments is at </w:t>
      </w:r>
      <w:r w:rsidRPr="00FE695D">
        <w:rPr>
          <w:rFonts w:asciiTheme="minorHAnsi" w:hAnsiTheme="minorHAnsi"/>
          <w:b/>
          <w:color w:val="000000" w:themeColor="text1"/>
        </w:rPr>
        <w:t>Attachments 2 and 3</w:t>
      </w:r>
      <w:r>
        <w:rPr>
          <w:rFonts w:asciiTheme="minorHAnsi" w:hAnsiTheme="minorHAnsi"/>
          <w:b/>
          <w:color w:val="000000" w:themeColor="text1"/>
        </w:rPr>
        <w:t xml:space="preserve"> </w:t>
      </w:r>
      <w:r w:rsidRPr="00FE695D">
        <w:rPr>
          <w:rFonts w:asciiTheme="minorHAnsi" w:hAnsiTheme="minorHAnsi"/>
          <w:bCs/>
          <w:color w:val="000000" w:themeColor="text1"/>
        </w:rPr>
        <w:t>of this Report.</w:t>
      </w:r>
    </w:p>
    <w:p w14:paraId="115DD9E4" w14:textId="289BF831" w:rsidR="00A55836" w:rsidRPr="00521C34" w:rsidRDefault="00152B36" w:rsidP="00A55836">
      <w:pPr>
        <w:pStyle w:val="Heading3"/>
      </w:pPr>
      <w:bookmarkStart w:id="17" w:name="_Toc148091821"/>
      <w:r>
        <w:br w:type="column"/>
      </w:r>
      <w:r w:rsidR="00A55836" w:rsidRPr="590D3B52">
        <w:t>Supply of Services</w:t>
      </w:r>
      <w:bookmarkEnd w:id="17"/>
    </w:p>
    <w:p w14:paraId="2412B0D4" w14:textId="727D8726" w:rsidR="0022658D" w:rsidRDefault="00CE1E95" w:rsidP="003372BE">
      <w:r>
        <w:t xml:space="preserve">The ECS Commissioners are </w:t>
      </w:r>
      <w:r w:rsidR="0022658D">
        <w:t xml:space="preserve">supported in their role by the Education Ministers’ company, Education Services Australia (ESA). </w:t>
      </w:r>
      <w:r w:rsidR="004751AE">
        <w:t>This</w:t>
      </w:r>
      <w:r w:rsidR="007216D9">
        <w:t xml:space="preserve"> include</w:t>
      </w:r>
      <w:r w:rsidR="004751AE">
        <w:t>s</w:t>
      </w:r>
      <w:r w:rsidR="007216D9">
        <w:t xml:space="preserve"> the provision of financial and ICT services.</w:t>
      </w:r>
    </w:p>
    <w:p w14:paraId="70879888" w14:textId="1B55DAAE" w:rsidR="00A55836" w:rsidRDefault="007642CE" w:rsidP="003372BE">
      <w:r>
        <w:t>Until</w:t>
      </w:r>
      <w:r w:rsidR="00A55836">
        <w:t xml:space="preserve"> 31 December 2022</w:t>
      </w:r>
      <w:r w:rsidR="00E062AC">
        <w:t>,</w:t>
      </w:r>
      <w:r w:rsidR="00A55836">
        <w:t xml:space="preserve"> the ECS Commissioners leased office space from ESA. </w:t>
      </w:r>
      <w:r w:rsidR="004B2ED6">
        <w:t xml:space="preserve">Ms Foster </w:t>
      </w:r>
      <w:r w:rsidR="00A55836">
        <w:t xml:space="preserve">continued to co-locate with ESA </w:t>
      </w:r>
      <w:r w:rsidR="004B2ED6">
        <w:t xml:space="preserve">when they moved to </w:t>
      </w:r>
      <w:r w:rsidR="00A55836">
        <w:t xml:space="preserve">new premises at Level 22, 180 Lonsdale Street, Melbourne </w:t>
      </w:r>
      <w:r w:rsidR="00303D44">
        <w:t xml:space="preserve">in late 2022 </w:t>
      </w:r>
      <w:r w:rsidR="00A55836">
        <w:t>until the end of her terms.</w:t>
      </w:r>
      <w:r w:rsidR="00303D44">
        <w:t xml:space="preserve"> From </w:t>
      </w:r>
      <w:r w:rsidR="00A55836">
        <w:t>1 January 2023</w:t>
      </w:r>
      <w:r w:rsidR="00303D44">
        <w:t>,</w:t>
      </w:r>
      <w:r w:rsidR="00A55836">
        <w:t xml:space="preserve"> </w:t>
      </w:r>
      <w:r w:rsidR="0058121F">
        <w:t xml:space="preserve">Mr Grinsell-Jones worked </w:t>
      </w:r>
      <w:r w:rsidR="00A55836">
        <w:t>remotely.</w:t>
      </w:r>
    </w:p>
    <w:p w14:paraId="6E67B207" w14:textId="27B6922C" w:rsidR="00B477CF" w:rsidRDefault="00A55836" w:rsidP="003372BE">
      <w:r>
        <w:t xml:space="preserve">The Commissioners would like to acknowledge the support and assistance provided by </w:t>
      </w:r>
      <w:r w:rsidR="0058121F">
        <w:t>ESA</w:t>
      </w:r>
      <w:r>
        <w:t xml:space="preserve"> staff.</w:t>
      </w:r>
    </w:p>
    <w:p w14:paraId="4470746D" w14:textId="3C4BD612" w:rsidR="00A55836" w:rsidRPr="009B7586" w:rsidRDefault="00A55836" w:rsidP="009B7586">
      <w:pPr>
        <w:pStyle w:val="Heading2"/>
      </w:pPr>
      <w:bookmarkStart w:id="18" w:name="_Toc160544955"/>
      <w:r w:rsidRPr="009B7586">
        <w:t>Priorities for 2023</w:t>
      </w:r>
      <w:r w:rsidR="00845DBA">
        <w:t>–</w:t>
      </w:r>
      <w:r w:rsidRPr="009B7586">
        <w:t>2024</w:t>
      </w:r>
      <w:bookmarkEnd w:id="18"/>
    </w:p>
    <w:p w14:paraId="292F4248" w14:textId="7E392B88" w:rsidR="00A55836" w:rsidRDefault="00A55836" w:rsidP="003372BE">
      <w:pPr>
        <w:rPr>
          <w:lang w:val="en-US"/>
        </w:rPr>
      </w:pPr>
      <w:r>
        <w:rPr>
          <w:rFonts w:asciiTheme="minorHAnsi" w:hAnsiTheme="minorHAnsi"/>
          <w:color w:val="000000" w:themeColor="text1"/>
        </w:rPr>
        <w:t xml:space="preserve">The Strategic Plan for 2021-2024 for the ECS Commissioners is at </w:t>
      </w:r>
      <w:r w:rsidRPr="005F031E">
        <w:rPr>
          <w:rFonts w:asciiTheme="minorHAnsi" w:hAnsiTheme="minorHAnsi"/>
          <w:b/>
          <w:color w:val="000000" w:themeColor="text1"/>
        </w:rPr>
        <w:t xml:space="preserve">Attachment </w:t>
      </w:r>
      <w:r>
        <w:rPr>
          <w:rFonts w:asciiTheme="minorHAnsi" w:hAnsiTheme="minorHAnsi"/>
          <w:b/>
          <w:color w:val="000000" w:themeColor="text1"/>
        </w:rPr>
        <w:t>4</w:t>
      </w:r>
      <w:r w:rsidR="00906952">
        <w:rPr>
          <w:rFonts w:asciiTheme="minorHAnsi" w:hAnsiTheme="minorHAnsi"/>
          <w:b/>
          <w:color w:val="000000" w:themeColor="text1"/>
        </w:rPr>
        <w:t xml:space="preserve"> </w:t>
      </w:r>
      <w:r w:rsidR="00906952">
        <w:rPr>
          <w:rFonts w:asciiTheme="minorHAnsi" w:hAnsiTheme="minorHAnsi"/>
          <w:bCs/>
          <w:color w:val="000000" w:themeColor="text1"/>
        </w:rPr>
        <w:t>to this Report.</w:t>
      </w:r>
      <w:r>
        <w:rPr>
          <w:rFonts w:asciiTheme="minorHAnsi" w:hAnsiTheme="minorHAnsi"/>
          <w:b/>
          <w:color w:val="000000" w:themeColor="text1"/>
        </w:rPr>
        <w:t xml:space="preserve"> </w:t>
      </w:r>
      <w:r w:rsidRPr="001C7C93">
        <w:rPr>
          <w:rFonts w:eastAsia="Times"/>
        </w:rPr>
        <w:t xml:space="preserve">The Strategic Plan covers the period </w:t>
      </w:r>
      <w:r>
        <w:rPr>
          <w:rFonts w:eastAsia="Times"/>
        </w:rPr>
        <w:t xml:space="preserve">July 2021–July 2024. It </w:t>
      </w:r>
      <w:r>
        <w:rPr>
          <w:lang w:val="en-US"/>
        </w:rPr>
        <w:t>p</w:t>
      </w:r>
      <w:r w:rsidRPr="008B1CFD">
        <w:rPr>
          <w:lang w:val="en-US"/>
        </w:rPr>
        <w:t>resen</w:t>
      </w:r>
      <w:r>
        <w:rPr>
          <w:lang w:val="en-US"/>
        </w:rPr>
        <w:t xml:space="preserve">ts a </w:t>
      </w:r>
      <w:r w:rsidR="00BE4E84">
        <w:rPr>
          <w:lang w:val="en-US"/>
        </w:rPr>
        <w:t>3</w:t>
      </w:r>
      <w:r>
        <w:rPr>
          <w:lang w:val="en-US"/>
        </w:rPr>
        <w:t>-year outlook and i</w:t>
      </w:r>
      <w:r w:rsidRPr="008B1CFD">
        <w:rPr>
          <w:lang w:val="en-US"/>
        </w:rPr>
        <w:t>d</w:t>
      </w:r>
      <w:r>
        <w:rPr>
          <w:lang w:val="en-US"/>
        </w:rPr>
        <w:t xml:space="preserve">entifies key challenges and </w:t>
      </w:r>
      <w:r w:rsidR="00EC05D8">
        <w:rPr>
          <w:lang w:val="en-US"/>
        </w:rPr>
        <w:t>objectives</w:t>
      </w:r>
      <w:r>
        <w:rPr>
          <w:lang w:val="en-US"/>
        </w:rPr>
        <w:t xml:space="preserve"> for the period. </w:t>
      </w:r>
    </w:p>
    <w:p w14:paraId="150E7EFA" w14:textId="77777777" w:rsidR="00A55836" w:rsidRPr="00885CCA" w:rsidRDefault="00A55836" w:rsidP="003372BE">
      <w:pPr>
        <w:rPr>
          <w:rFonts w:asciiTheme="minorHAnsi" w:hAnsiTheme="minorHAnsi"/>
          <w:lang w:val="en-US"/>
        </w:rPr>
      </w:pPr>
      <w:r w:rsidRPr="00885CCA">
        <w:rPr>
          <w:rFonts w:asciiTheme="minorHAnsi" w:hAnsiTheme="minorHAnsi"/>
          <w:lang w:val="en-US"/>
        </w:rPr>
        <w:t xml:space="preserve">The powers, functions and jurisdiction of the Commissioners and Ombudsman are well defined by legislation; the roles are </w:t>
      </w:r>
      <w:r>
        <w:rPr>
          <w:rFonts w:asciiTheme="minorHAnsi" w:hAnsiTheme="minorHAnsi"/>
          <w:lang w:val="en-US"/>
        </w:rPr>
        <w:t xml:space="preserve">currently </w:t>
      </w:r>
      <w:r w:rsidRPr="00885CCA">
        <w:rPr>
          <w:rFonts w:asciiTheme="minorHAnsi" w:hAnsiTheme="minorHAnsi"/>
          <w:lang w:val="en-US"/>
        </w:rPr>
        <w:t>part-time. The objectives of the office and many of the strategies remain constant over the years. The focus is on quality, timely service delivery and support for agencies and the public.</w:t>
      </w:r>
    </w:p>
    <w:p w14:paraId="682A06D9" w14:textId="61323E14" w:rsidR="00A55836" w:rsidRDefault="00A55836" w:rsidP="003372BE">
      <w:pPr>
        <w:rPr>
          <w:rFonts w:asciiTheme="minorHAnsi" w:hAnsiTheme="minorHAnsi" w:cstheme="minorBidi"/>
        </w:rPr>
      </w:pPr>
      <w:r w:rsidRPr="2E92A1A1">
        <w:rPr>
          <w:rFonts w:asciiTheme="minorHAnsi" w:hAnsiTheme="minorHAnsi" w:cstheme="minorBidi"/>
        </w:rPr>
        <w:t>In addition to carrying out their legislated complaint handling, review and investigation responsibilities, the key priority for the ECS Commissioners for 2023</w:t>
      </w:r>
      <w:r w:rsidR="009A1D4D">
        <w:rPr>
          <w:rFonts w:asciiTheme="minorHAnsi" w:hAnsiTheme="minorHAnsi" w:cstheme="minorBidi"/>
        </w:rPr>
        <w:t>–</w:t>
      </w:r>
      <w:r w:rsidRPr="2E92A1A1">
        <w:rPr>
          <w:rFonts w:asciiTheme="minorHAnsi" w:hAnsiTheme="minorHAnsi" w:cstheme="minorBidi"/>
        </w:rPr>
        <w:t xml:space="preserve">2024 will be </w:t>
      </w:r>
      <w:r w:rsidR="00850E52">
        <w:rPr>
          <w:rFonts w:asciiTheme="minorHAnsi" w:hAnsiTheme="minorHAnsi" w:cstheme="minorBidi"/>
        </w:rPr>
        <w:t xml:space="preserve">to </w:t>
      </w:r>
      <w:r w:rsidRPr="2E92A1A1">
        <w:rPr>
          <w:rFonts w:asciiTheme="minorHAnsi" w:hAnsiTheme="minorHAnsi" w:cstheme="minorBidi"/>
        </w:rPr>
        <w:t xml:space="preserve">establish the working relationship between the </w:t>
      </w:r>
      <w:r w:rsidR="001A404E">
        <w:rPr>
          <w:rFonts w:asciiTheme="minorHAnsi" w:hAnsiTheme="minorHAnsi" w:cstheme="minorBidi"/>
        </w:rPr>
        <w:t>2</w:t>
      </w:r>
      <w:r w:rsidR="00B81095">
        <w:rPr>
          <w:rFonts w:asciiTheme="minorHAnsi" w:hAnsiTheme="minorHAnsi" w:cstheme="minorBidi"/>
        </w:rPr>
        <w:t> </w:t>
      </w:r>
      <w:r w:rsidRPr="2E92A1A1">
        <w:rPr>
          <w:rFonts w:asciiTheme="minorHAnsi" w:hAnsiTheme="minorHAnsi" w:cstheme="minorBidi"/>
        </w:rPr>
        <w:t>appointees. The Commissioners will continue to work with the Australian Education Senior Officials Committee to ensure the working arrangements for the offices support the business continuity of the ECS Commissioners’ roles.</w:t>
      </w:r>
    </w:p>
    <w:p w14:paraId="2F559E5B" w14:textId="77777777" w:rsidR="00A55836" w:rsidRPr="00E503DE" w:rsidRDefault="00A55836" w:rsidP="00A55836">
      <w:pPr>
        <w:pStyle w:val="Heading1"/>
        <w:shd w:val="clear" w:color="auto" w:fill="B8CCE4" w:themeFill="accent1" w:themeFillTint="66"/>
        <w:rPr>
          <w:rFonts w:cstheme="minorBidi"/>
          <w:b/>
          <w:bCs/>
          <w:lang w:val="en-US"/>
        </w:rPr>
      </w:pPr>
      <w:bookmarkStart w:id="19" w:name="_Toc160544956"/>
      <w:r w:rsidRPr="590D3B52">
        <w:rPr>
          <w:rFonts w:cstheme="minorBidi"/>
          <w:b/>
          <w:bCs/>
          <w:lang w:val="en-US"/>
        </w:rPr>
        <w:t xml:space="preserve">Functions of the </w:t>
      </w:r>
      <w:r w:rsidRPr="590D3B52">
        <w:rPr>
          <w:rFonts w:cstheme="minorBidi"/>
          <w:b/>
          <w:bCs/>
        </w:rPr>
        <w:t>ECS</w:t>
      </w:r>
      <w:r w:rsidRPr="590D3B52">
        <w:rPr>
          <w:rFonts w:cstheme="minorBidi"/>
          <w:b/>
          <w:bCs/>
          <w:lang w:val="en-US"/>
        </w:rPr>
        <w:t xml:space="preserve"> Commissioners</w:t>
      </w:r>
      <w:bookmarkEnd w:id="19"/>
      <w:r w:rsidRPr="590D3B52">
        <w:rPr>
          <w:rFonts w:cstheme="minorBidi"/>
          <w:b/>
          <w:bCs/>
          <w:lang w:val="en-US"/>
        </w:rPr>
        <w:t xml:space="preserve"> </w:t>
      </w:r>
    </w:p>
    <w:p w14:paraId="22189A1F" w14:textId="010F62CD" w:rsidR="00A55836" w:rsidRPr="004B618F" w:rsidRDefault="003372BE" w:rsidP="00A55836">
      <w:pPr>
        <w:pStyle w:val="Heading2"/>
      </w:pPr>
      <w:bookmarkStart w:id="20" w:name="_Hlk49687064"/>
      <w:r>
        <w:br/>
      </w:r>
      <w:bookmarkStart w:id="21" w:name="_Toc160544957"/>
      <w:r w:rsidR="00A55836" w:rsidRPr="004B618F">
        <w:t>Education and Care Services Ombudsman</w:t>
      </w:r>
      <w:bookmarkEnd w:id="20"/>
      <w:bookmarkEnd w:id="21"/>
    </w:p>
    <w:p w14:paraId="24DD4AD1" w14:textId="6F122959" w:rsidR="00A55836" w:rsidRPr="00EB6CE0" w:rsidRDefault="00A55836" w:rsidP="003372BE">
      <w:r w:rsidRPr="00513868">
        <w:rPr>
          <w:bCs/>
          <w:lang w:val="en-US"/>
        </w:rPr>
        <w:t xml:space="preserve">The Education and Care Services Ombudsman </w:t>
      </w:r>
      <w:r w:rsidRPr="00513868">
        <w:t xml:space="preserve">has the power to investigate, </w:t>
      </w:r>
      <w:bookmarkStart w:id="22" w:name="_Hlk49941980"/>
      <w:r w:rsidRPr="00513868">
        <w:t xml:space="preserve">either </w:t>
      </w:r>
      <w:r>
        <w:t xml:space="preserve">in response to </w:t>
      </w:r>
      <w:r w:rsidRPr="00513868">
        <w:t xml:space="preserve">a complaint received or </w:t>
      </w:r>
      <w:r>
        <w:t xml:space="preserve">on </w:t>
      </w:r>
      <w:r w:rsidRPr="00513868">
        <w:t>the Ombudsman’s own motion,</w:t>
      </w:r>
      <w:bookmarkEnd w:id="22"/>
      <w:r w:rsidRPr="00513868">
        <w:t xml:space="preserve"> </w:t>
      </w:r>
      <w:r>
        <w:t xml:space="preserve">administrative </w:t>
      </w:r>
      <w:r w:rsidRPr="00513868">
        <w:t>actio</w:t>
      </w:r>
      <w:r>
        <w:t>ns</w:t>
      </w:r>
      <w:r w:rsidRPr="00513868">
        <w:t xml:space="preserve"> taken by an employee, agent, staff member or contractor of </w:t>
      </w:r>
      <w:r>
        <w:t>ACECQA.  Administrative actions are any action taken, or not taken, in relation to ACECQA’s duties, functions or powers.</w:t>
      </w:r>
    </w:p>
    <w:p w14:paraId="588BFD34" w14:textId="77777777" w:rsidR="00A55836" w:rsidRDefault="00A55836" w:rsidP="003372BE">
      <w:r w:rsidRPr="004404FD">
        <w:t xml:space="preserve">The </w:t>
      </w:r>
      <w:r>
        <w:t xml:space="preserve">Ombudsman </w:t>
      </w:r>
      <w:r w:rsidRPr="004404FD">
        <w:t>may make findings and recommendations for actions to be taken or decisions to be made by ACECQA</w:t>
      </w:r>
      <w:r>
        <w:t xml:space="preserve"> but </w:t>
      </w:r>
      <w:r w:rsidRPr="004404FD">
        <w:t xml:space="preserve">may not override the decisions of ACECQA.  </w:t>
      </w:r>
    </w:p>
    <w:p w14:paraId="0D7DA676" w14:textId="26C92FC6" w:rsidR="00A55836" w:rsidRPr="004404FD" w:rsidRDefault="00A55836" w:rsidP="003372BE">
      <w:r w:rsidRPr="004404FD">
        <w:t xml:space="preserve">The </w:t>
      </w:r>
      <w:r>
        <w:t>Ombudsman</w:t>
      </w:r>
      <w:r w:rsidRPr="004404FD">
        <w:t xml:space="preserve"> cannot compel ACECQA to comply with </w:t>
      </w:r>
      <w:r>
        <w:t xml:space="preserve">their </w:t>
      </w:r>
      <w:r w:rsidRPr="004404FD">
        <w:t xml:space="preserve">recommendations nor change the law.  However, </w:t>
      </w:r>
      <w:r>
        <w:t xml:space="preserve">having concluded an investigation and reported on findings and recommendations, </w:t>
      </w:r>
      <w:r w:rsidRPr="004404FD">
        <w:t>the Ombudsman ma</w:t>
      </w:r>
      <w:r>
        <w:t xml:space="preserve">y </w:t>
      </w:r>
      <w:r w:rsidRPr="004404FD">
        <w:t xml:space="preserve">forward the report to the nominated member of the </w:t>
      </w:r>
      <w:r>
        <w:t>Education Ministers Meeting</w:t>
      </w:r>
      <w:r w:rsidRPr="004404FD">
        <w:t xml:space="preserve"> responsible for overseeing the </w:t>
      </w:r>
      <w:r>
        <w:t xml:space="preserve">National Law. </w:t>
      </w:r>
      <w:r w:rsidRPr="004404FD">
        <w:t xml:space="preserve">In addition, if appropriate action is not taken </w:t>
      </w:r>
      <w:r>
        <w:t>by ACECQA in response to an investigation,</w:t>
      </w:r>
      <w:r w:rsidRPr="004404FD">
        <w:t xml:space="preserve"> the Ombudsman may also formally report to the Parliaments of the Commonwealth and the</w:t>
      </w:r>
      <w:r>
        <w:t xml:space="preserve"> states and territories.</w:t>
      </w:r>
    </w:p>
    <w:p w14:paraId="2B55639E" w14:textId="3556DC5F" w:rsidR="00A55836" w:rsidRDefault="00A55836" w:rsidP="003372BE">
      <w:r w:rsidRPr="004404FD">
        <w:t xml:space="preserve">The </w:t>
      </w:r>
      <w:r>
        <w:t xml:space="preserve">Ombudsman </w:t>
      </w:r>
      <w:r w:rsidRPr="004404FD">
        <w:t>does not</w:t>
      </w:r>
      <w:r>
        <w:t xml:space="preserve"> have </w:t>
      </w:r>
      <w:r w:rsidRPr="004404FD">
        <w:t xml:space="preserve">powers in relation to how </w:t>
      </w:r>
      <w:r>
        <w:t>s</w:t>
      </w:r>
      <w:r w:rsidRPr="004404FD">
        <w:t xml:space="preserve">tate and </w:t>
      </w:r>
      <w:r>
        <w:t>t</w:t>
      </w:r>
      <w:r w:rsidRPr="004404FD">
        <w:t xml:space="preserve">erritory </w:t>
      </w:r>
      <w:r>
        <w:t>R</w:t>
      </w:r>
      <w:r w:rsidRPr="004404FD">
        <w:t xml:space="preserve">egulatory </w:t>
      </w:r>
      <w:r>
        <w:t>A</w:t>
      </w:r>
      <w:r w:rsidRPr="004404FD">
        <w:t xml:space="preserve">uthorities exercise their powers or functions under the </w:t>
      </w:r>
      <w:r>
        <w:t xml:space="preserve">National Law. </w:t>
      </w:r>
      <w:r w:rsidRPr="004404FD">
        <w:t xml:space="preserve">Complaints about </w:t>
      </w:r>
      <w:r>
        <w:t>R</w:t>
      </w:r>
      <w:r w:rsidRPr="004404FD">
        <w:t xml:space="preserve">egulatory </w:t>
      </w:r>
      <w:r>
        <w:t>A</w:t>
      </w:r>
      <w:r w:rsidRPr="004404FD">
        <w:t xml:space="preserve">uthorities are directed to the Ombudsman in the </w:t>
      </w:r>
      <w:r>
        <w:t>s</w:t>
      </w:r>
      <w:r w:rsidRPr="004404FD">
        <w:t xml:space="preserve">tate or </w:t>
      </w:r>
      <w:r>
        <w:t>t</w:t>
      </w:r>
      <w:r w:rsidRPr="004404FD">
        <w:t xml:space="preserve">erritory in which the </w:t>
      </w:r>
      <w:r>
        <w:t>r</w:t>
      </w:r>
      <w:r w:rsidRPr="004404FD">
        <w:t xml:space="preserve">egulatory </w:t>
      </w:r>
      <w:r>
        <w:t>a</w:t>
      </w:r>
      <w:r w:rsidRPr="004404FD">
        <w:t xml:space="preserve">uthority is located. </w:t>
      </w:r>
    </w:p>
    <w:p w14:paraId="05DB7B2B" w14:textId="62630D82" w:rsidR="00A55836" w:rsidRPr="004404FD" w:rsidRDefault="00A55836" w:rsidP="003372BE">
      <w:r>
        <w:t>As reported previously, t</w:t>
      </w:r>
      <w:r w:rsidRPr="004404FD">
        <w:t xml:space="preserve">his </w:t>
      </w:r>
      <w:r>
        <w:t xml:space="preserve">continues to </w:t>
      </w:r>
      <w:r w:rsidRPr="004404FD">
        <w:t xml:space="preserve">prove a source of confusion for complainants approaching the </w:t>
      </w:r>
      <w:r>
        <w:t>Ombudsman for</w:t>
      </w:r>
      <w:r w:rsidRPr="004404FD">
        <w:t xml:space="preserve"> services</w:t>
      </w:r>
      <w:r>
        <w:t xml:space="preserve">. </w:t>
      </w:r>
      <w:r w:rsidRPr="004404FD">
        <w:t xml:space="preserve">Advice included on the </w:t>
      </w:r>
      <w:r w:rsidR="0079430B">
        <w:t>o</w:t>
      </w:r>
      <w:r>
        <w:t xml:space="preserve">ffice </w:t>
      </w:r>
      <w:r w:rsidRPr="004404FD">
        <w:t>website aim</w:t>
      </w:r>
      <w:r>
        <w:t>s</w:t>
      </w:r>
      <w:r w:rsidRPr="004404FD">
        <w:t xml:space="preserve"> to mitigate this confusion. </w:t>
      </w:r>
    </w:p>
    <w:p w14:paraId="3299BE41" w14:textId="77777777" w:rsidR="00A55836" w:rsidRPr="004B618F" w:rsidRDefault="00A55836" w:rsidP="00A55836">
      <w:pPr>
        <w:pStyle w:val="Heading2"/>
      </w:pPr>
      <w:bookmarkStart w:id="23" w:name="_Toc160544958"/>
      <w:r w:rsidRPr="004B618F">
        <w:t>National Education and Care Services Freedom of Information Commissioner</w:t>
      </w:r>
      <w:bookmarkEnd w:id="23"/>
      <w:r w:rsidRPr="004B618F">
        <w:t xml:space="preserve"> </w:t>
      </w:r>
    </w:p>
    <w:p w14:paraId="46AE6B5F" w14:textId="3FF95AE7" w:rsidR="00A55836" w:rsidRDefault="00A55836" w:rsidP="003372BE">
      <w:r w:rsidRPr="0081563D">
        <w:t xml:space="preserve">The </w:t>
      </w:r>
      <w:r w:rsidR="0079430B">
        <w:t>FOI Act</w:t>
      </w:r>
      <w:r w:rsidRPr="0081563D">
        <w:t xml:space="preserve"> provides the public with a general right of access to documents in the possession of the NQF agencies subject to limited exceptions and exemptions. </w:t>
      </w:r>
      <w:r>
        <w:t xml:space="preserve">Each of the NQF </w:t>
      </w:r>
      <w:r w:rsidR="0091194B">
        <w:t>a</w:t>
      </w:r>
      <w:r>
        <w:t>gencies</w:t>
      </w:r>
      <w:r w:rsidRPr="004404FD">
        <w:t xml:space="preserve"> </w:t>
      </w:r>
      <w:r>
        <w:t xml:space="preserve">is </w:t>
      </w:r>
      <w:r w:rsidRPr="004404FD">
        <w:t xml:space="preserve">bound by, and must comply with, the requirements of the FOI Act when dealing with formal requests for access to documents </w:t>
      </w:r>
      <w:r w:rsidR="006D56A2">
        <w:t xml:space="preserve">or </w:t>
      </w:r>
      <w:r w:rsidR="00CD117A">
        <w:t xml:space="preserve">applications </w:t>
      </w:r>
      <w:r w:rsidR="006D56A2">
        <w:t>to amend</w:t>
      </w:r>
      <w:r w:rsidR="004F4312">
        <w:t xml:space="preserve"> or annotate</w:t>
      </w:r>
      <w:r w:rsidR="006D56A2">
        <w:t xml:space="preserve"> </w:t>
      </w:r>
      <w:r w:rsidR="00F23F26">
        <w:t xml:space="preserve">records of </w:t>
      </w:r>
      <w:r w:rsidR="006D56A2">
        <w:t>personal information</w:t>
      </w:r>
      <w:r w:rsidRPr="004404FD">
        <w:t>.</w:t>
      </w:r>
      <w:r>
        <w:t xml:space="preserve"> </w:t>
      </w:r>
    </w:p>
    <w:p w14:paraId="2C59E851" w14:textId="09FBA324" w:rsidR="00A55836" w:rsidRDefault="00A55836" w:rsidP="003372BE">
      <w:r w:rsidRPr="00B34F78">
        <w:t xml:space="preserve">The </w:t>
      </w:r>
      <w:r w:rsidR="00782C9B">
        <w:t xml:space="preserve">National Education and Care Services </w:t>
      </w:r>
      <w:r w:rsidR="00DE643D">
        <w:t>Freedom of Information</w:t>
      </w:r>
      <w:r w:rsidRPr="00B34F78">
        <w:t xml:space="preserve"> Commissioner </w:t>
      </w:r>
      <w:r w:rsidR="00DE643D">
        <w:t xml:space="preserve">(FOI Commissioner) </w:t>
      </w:r>
      <w:r w:rsidRPr="00B34F78">
        <w:t xml:space="preserve">has powers to investigate the performance of functions, or the exercise of powers, by </w:t>
      </w:r>
      <w:r>
        <w:t xml:space="preserve">the NQF agencies under the FOI Act, </w:t>
      </w:r>
      <w:r w:rsidRPr="00513868">
        <w:t xml:space="preserve">either </w:t>
      </w:r>
      <w:r>
        <w:t xml:space="preserve">in response to </w:t>
      </w:r>
      <w:r w:rsidRPr="00513868">
        <w:t xml:space="preserve">a complaint received or </w:t>
      </w:r>
      <w:r>
        <w:t xml:space="preserve">by </w:t>
      </w:r>
      <w:r w:rsidRPr="00513868">
        <w:t xml:space="preserve">the </w:t>
      </w:r>
      <w:r>
        <w:t>Commissioner’s</w:t>
      </w:r>
      <w:r w:rsidRPr="00513868">
        <w:t xml:space="preserve"> own</w:t>
      </w:r>
      <w:r>
        <w:t xml:space="preserve"> </w:t>
      </w:r>
      <w:r w:rsidRPr="00513868">
        <w:t>motion</w:t>
      </w:r>
      <w:r>
        <w:t>.</w:t>
      </w:r>
    </w:p>
    <w:p w14:paraId="103225E0" w14:textId="2F73D693" w:rsidR="00A55836" w:rsidRDefault="00A55836" w:rsidP="003372BE">
      <w:r>
        <w:t xml:space="preserve">The </w:t>
      </w:r>
      <w:r w:rsidR="004E7C48">
        <w:t xml:space="preserve">FOI </w:t>
      </w:r>
      <w:r>
        <w:t xml:space="preserve">Commissioner also has the power to review the </w:t>
      </w:r>
      <w:r w:rsidR="00F23F26">
        <w:t>FOI</w:t>
      </w:r>
      <w:r>
        <w:t xml:space="preserve"> decisions made by these agencies. The </w:t>
      </w:r>
      <w:r w:rsidRPr="00C21471">
        <w:t>Commissioner may affirm, vary</w:t>
      </w:r>
      <w:r>
        <w:t xml:space="preserve">, </w:t>
      </w:r>
      <w:r w:rsidRPr="00C21471">
        <w:t>or set aside and substitute a decision of an</w:t>
      </w:r>
      <w:r>
        <w:t xml:space="preserve"> NQF</w:t>
      </w:r>
      <w:r w:rsidRPr="00C21471">
        <w:t xml:space="preserve"> agency.</w:t>
      </w:r>
    </w:p>
    <w:p w14:paraId="7E686E05" w14:textId="77777777" w:rsidR="003372BE" w:rsidRPr="004404FD" w:rsidRDefault="003372BE" w:rsidP="00253F1A">
      <w:pPr>
        <w:spacing w:after="0"/>
      </w:pPr>
    </w:p>
    <w:p w14:paraId="6EE3A98F" w14:textId="77777777" w:rsidR="00A55836" w:rsidRPr="00493703" w:rsidRDefault="00A55836" w:rsidP="00493703">
      <w:pPr>
        <w:pStyle w:val="Heading2"/>
      </w:pPr>
      <w:bookmarkStart w:id="24" w:name="_Toc160544959"/>
      <w:r w:rsidRPr="00493703">
        <w:t>National Education and Care Services Privacy Commissioner</w:t>
      </w:r>
      <w:bookmarkEnd w:id="24"/>
    </w:p>
    <w:p w14:paraId="2EECD314" w14:textId="0BEB3656" w:rsidR="00A55836" w:rsidRDefault="00A55836" w:rsidP="003372BE">
      <w:r w:rsidRPr="004404FD">
        <w:t xml:space="preserve">The </w:t>
      </w:r>
      <w:r w:rsidR="00782C9B">
        <w:t xml:space="preserve">National Education and Care Services </w:t>
      </w:r>
      <w:r>
        <w:t xml:space="preserve">Privacy Commissioner </w:t>
      </w:r>
      <w:r w:rsidRPr="004404FD">
        <w:t xml:space="preserve">has the power to </w:t>
      </w:r>
      <w:r>
        <w:t xml:space="preserve">investigate </w:t>
      </w:r>
      <w:r w:rsidRPr="004404FD">
        <w:t xml:space="preserve">complaints alleging an interference with privacy arising from an alleged breach of the </w:t>
      </w:r>
      <w:r w:rsidR="004E49F8">
        <w:t>APPs</w:t>
      </w:r>
      <w:r>
        <w:t xml:space="preserve"> </w:t>
      </w:r>
      <w:r w:rsidRPr="004404FD">
        <w:t xml:space="preserve">by </w:t>
      </w:r>
      <w:r>
        <w:t>the NQF agencies.</w:t>
      </w:r>
      <w:r>
        <w:rPr>
          <w:i/>
        </w:rPr>
        <w:t xml:space="preserve"> </w:t>
      </w:r>
    </w:p>
    <w:p w14:paraId="4E6A711E" w14:textId="57085CD0" w:rsidR="00A55836" w:rsidRPr="004404FD" w:rsidRDefault="00A55836" w:rsidP="003372BE">
      <w:r w:rsidRPr="004404FD">
        <w:t xml:space="preserve">The </w:t>
      </w:r>
      <w:r w:rsidR="008F4B3E">
        <w:t xml:space="preserve">Privacy </w:t>
      </w:r>
      <w:r>
        <w:t xml:space="preserve">Commissioner </w:t>
      </w:r>
      <w:r w:rsidRPr="004404FD">
        <w:t xml:space="preserve">may also conduct own motion investigations into whether these agencies are complying with their obligations under the </w:t>
      </w:r>
      <w:r w:rsidRPr="0080151D">
        <w:rPr>
          <w:iCs/>
        </w:rPr>
        <w:t>Privacy Act</w:t>
      </w:r>
      <w:r>
        <w:t>.</w:t>
      </w:r>
      <w:r w:rsidRPr="004404FD">
        <w:t xml:space="preserve"> The </w:t>
      </w:r>
      <w:r>
        <w:t xml:space="preserve">Commissioner </w:t>
      </w:r>
      <w:r w:rsidRPr="004404FD">
        <w:t xml:space="preserve">may make various enforceable determinations </w:t>
      </w:r>
      <w:r>
        <w:t xml:space="preserve">resulting from these </w:t>
      </w:r>
      <w:r w:rsidRPr="004404FD">
        <w:t>investigations.</w:t>
      </w:r>
    </w:p>
    <w:p w14:paraId="64827758" w14:textId="77777777" w:rsidR="00A55836" w:rsidRDefault="00A55836" w:rsidP="003372BE">
      <w:r>
        <w:t xml:space="preserve">Each of the NQF agencies is </w:t>
      </w:r>
      <w:r w:rsidRPr="00692829">
        <w:t>bound by</w:t>
      </w:r>
      <w:r>
        <w:t>,</w:t>
      </w:r>
      <w:r w:rsidRPr="00692829">
        <w:t xml:space="preserve"> and must comply with</w:t>
      </w:r>
      <w:r>
        <w:t>,</w:t>
      </w:r>
      <w:r w:rsidRPr="00692829">
        <w:t xml:space="preserve"> the requirements of the Privacy Act</w:t>
      </w:r>
      <w:r>
        <w:t xml:space="preserve"> </w:t>
      </w:r>
      <w:r w:rsidRPr="00692829">
        <w:t>in relation to how they collect, use, store and otherwise handle personal information about individuals</w:t>
      </w:r>
      <w:r>
        <w:t>.</w:t>
      </w:r>
    </w:p>
    <w:p w14:paraId="58F92B93" w14:textId="32005912" w:rsidR="00A55836" w:rsidRPr="003372BE" w:rsidRDefault="00A55836" w:rsidP="003372BE">
      <w:pPr>
        <w:pStyle w:val="Heading1"/>
        <w:shd w:val="clear" w:color="auto" w:fill="B8CCE4" w:themeFill="accent1" w:themeFillTint="66"/>
        <w:rPr>
          <w:rFonts w:cstheme="minorBidi"/>
          <w:b/>
          <w:bCs/>
          <w:lang w:eastAsia="en-AU"/>
        </w:rPr>
      </w:pPr>
      <w:bookmarkStart w:id="25" w:name="_Toc160544960"/>
      <w:r w:rsidRPr="590D3B52">
        <w:rPr>
          <w:rFonts w:cstheme="minorBidi"/>
          <w:b/>
          <w:bCs/>
          <w:lang w:eastAsia="en-AU"/>
        </w:rPr>
        <w:t>Complaints and Enquiries</w:t>
      </w:r>
      <w:bookmarkEnd w:id="25"/>
    </w:p>
    <w:p w14:paraId="6A097FF0" w14:textId="7789D600" w:rsidR="00A55836" w:rsidRDefault="003372BE" w:rsidP="003372BE">
      <w:r>
        <w:br/>
      </w:r>
      <w:r w:rsidR="00A55836">
        <w:t xml:space="preserve">For the purposes of </w:t>
      </w:r>
      <w:r w:rsidR="008447E9">
        <w:t xml:space="preserve">this </w:t>
      </w:r>
      <w:r w:rsidR="007638DF">
        <w:t>R</w:t>
      </w:r>
      <w:r w:rsidR="008447E9">
        <w:t>eport</w:t>
      </w:r>
      <w:r w:rsidR="00A55836">
        <w:t xml:space="preserve">, “complaints” are defined as matters that fall within the jurisdiction of one or more of the ECS Commissioners. </w:t>
      </w:r>
    </w:p>
    <w:p w14:paraId="097E1CB7" w14:textId="61A2FBAB" w:rsidR="00A55836" w:rsidRPr="00D33644" w:rsidRDefault="00A55836" w:rsidP="003372BE">
      <w:pPr>
        <w:rPr>
          <w:rFonts w:cstheme="minorBidi"/>
        </w:rPr>
      </w:pPr>
      <w:r w:rsidRPr="30AD0E7B">
        <w:rPr>
          <w:rFonts w:cstheme="minorBidi"/>
        </w:rPr>
        <w:t>During the 2022</w:t>
      </w:r>
      <w:r w:rsidR="008447E9">
        <w:rPr>
          <w:rFonts w:cstheme="minorBidi"/>
        </w:rPr>
        <w:t>–2023</w:t>
      </w:r>
      <w:r w:rsidRPr="30AD0E7B">
        <w:rPr>
          <w:rFonts w:cstheme="minorBidi"/>
        </w:rPr>
        <w:t xml:space="preserve"> reporting period, one formal complaint was received by the office of the Ombudsman in relation to the administrative actions of ACECQA. That complaint concerned advice given by ACECQA which resulted in the complainant completing a course which was not accredited. The office of ECS Ombudsman was able to secure a refund of course fees for the complainant.</w:t>
      </w:r>
    </w:p>
    <w:p w14:paraId="6275EC00" w14:textId="75B65439" w:rsidR="00A55836" w:rsidRDefault="00A55836" w:rsidP="003372BE">
      <w:pPr>
        <w:rPr>
          <w:rFonts w:cstheme="minorBidi"/>
        </w:rPr>
      </w:pPr>
      <w:r w:rsidRPr="4E93F910">
        <w:rPr>
          <w:rFonts w:cstheme="minorBidi"/>
        </w:rPr>
        <w:t>As reported in the 2021</w:t>
      </w:r>
      <w:r w:rsidR="001A704A">
        <w:rPr>
          <w:rFonts w:cstheme="minorBidi"/>
        </w:rPr>
        <w:t>–</w:t>
      </w:r>
      <w:r w:rsidRPr="4E93F910">
        <w:rPr>
          <w:rFonts w:cstheme="minorBidi"/>
        </w:rPr>
        <w:t>2022 Annual Report</w:t>
      </w:r>
      <w:r w:rsidR="007C5E58">
        <w:rPr>
          <w:rFonts w:cstheme="minorBidi"/>
        </w:rPr>
        <w:t>,</w:t>
      </w:r>
      <w:r w:rsidRPr="4E93F910">
        <w:rPr>
          <w:rFonts w:cstheme="minorBidi"/>
        </w:rPr>
        <w:t xml:space="preserve"> </w:t>
      </w:r>
      <w:r w:rsidR="007C5E58">
        <w:rPr>
          <w:rFonts w:cstheme="minorBidi"/>
        </w:rPr>
        <w:t>2 </w:t>
      </w:r>
      <w:r w:rsidRPr="4E93F910">
        <w:rPr>
          <w:rFonts w:cstheme="minorBidi"/>
        </w:rPr>
        <w:t xml:space="preserve">complaints were received by the Privacy Commissioner, both in relation to one NQF agency carrying out its responsibilities under the Privacy Act. </w:t>
      </w:r>
      <w:r w:rsidRPr="78F79D6F">
        <w:rPr>
          <w:rFonts w:cstheme="minorBidi"/>
        </w:rPr>
        <w:t xml:space="preserve"> The final decisions in relation to </w:t>
      </w:r>
      <w:r w:rsidR="007C5E58">
        <w:rPr>
          <w:rFonts w:cstheme="minorBidi"/>
        </w:rPr>
        <w:t>those complaints</w:t>
      </w:r>
      <w:r w:rsidR="007C5E58" w:rsidRPr="78F79D6F">
        <w:rPr>
          <w:rFonts w:cstheme="minorBidi"/>
        </w:rPr>
        <w:t xml:space="preserve"> </w:t>
      </w:r>
      <w:r w:rsidRPr="78F79D6F">
        <w:rPr>
          <w:rFonts w:cstheme="minorBidi"/>
        </w:rPr>
        <w:t>were made in the 2022</w:t>
      </w:r>
      <w:r w:rsidR="007C5E58">
        <w:rPr>
          <w:rFonts w:cstheme="minorBidi"/>
        </w:rPr>
        <w:t>–</w:t>
      </w:r>
      <w:r w:rsidRPr="78F79D6F">
        <w:rPr>
          <w:rFonts w:cstheme="minorBidi"/>
        </w:rPr>
        <w:t>2023 reporting period. In one of them</w:t>
      </w:r>
      <w:r w:rsidR="003F3C31">
        <w:rPr>
          <w:rFonts w:cstheme="minorBidi"/>
        </w:rPr>
        <w:t>,</w:t>
      </w:r>
      <w:r w:rsidRPr="78F79D6F">
        <w:rPr>
          <w:rFonts w:cstheme="minorBidi"/>
        </w:rPr>
        <w:t xml:space="preserve"> a breach of privacy was found to have occurred principally due to misunderstanding that the Commonwealth Privacy Act applied to the complaint. Compensation was awarded to the complainant along with orders to provide the information sought. In the other matter</w:t>
      </w:r>
      <w:r w:rsidR="00D85CDB">
        <w:rPr>
          <w:rFonts w:cstheme="minorBidi"/>
        </w:rPr>
        <w:t>,</w:t>
      </w:r>
      <w:r w:rsidRPr="78F79D6F">
        <w:rPr>
          <w:rFonts w:cstheme="minorBidi"/>
        </w:rPr>
        <w:t xml:space="preserve"> it was found that there was no breach of privacy. That decision has been referred to the </w:t>
      </w:r>
      <w:r w:rsidR="008106F0">
        <w:rPr>
          <w:rFonts w:cstheme="minorBidi"/>
        </w:rPr>
        <w:t>jurisdiction’s civil and administrative tribunal</w:t>
      </w:r>
      <w:r w:rsidRPr="78F79D6F">
        <w:rPr>
          <w:rFonts w:cstheme="minorBidi"/>
        </w:rPr>
        <w:t xml:space="preserve"> by the complainant. Both decisions will be published on the </w:t>
      </w:r>
      <w:r w:rsidR="00BB72DA" w:rsidRPr="5A58C911">
        <w:rPr>
          <w:rFonts w:cstheme="minorBidi"/>
        </w:rPr>
        <w:t xml:space="preserve">ECS Commissioners website at </w:t>
      </w:r>
      <w:hyperlink r:id="rId23">
        <w:r w:rsidR="009C6A6E">
          <w:rPr>
            <w:rStyle w:val="Hyperlink"/>
            <w:rFonts w:asciiTheme="minorHAnsi" w:hAnsiTheme="minorHAnsi" w:cstheme="minorBidi"/>
          </w:rPr>
          <w:t>www.necsopic.edu.au</w:t>
        </w:r>
      </w:hyperlink>
      <w:r w:rsidRPr="78F79D6F">
        <w:rPr>
          <w:rFonts w:cstheme="minorBidi"/>
        </w:rPr>
        <w:t xml:space="preserve"> once all avenues of appeal have been exhausted. </w:t>
      </w:r>
    </w:p>
    <w:p w14:paraId="60EB95D6" w14:textId="48BD440B" w:rsidR="00A55836" w:rsidRPr="00B26F44" w:rsidRDefault="00A55836" w:rsidP="003372BE">
      <w:pPr>
        <w:rPr>
          <w:rFonts w:cstheme="minorBidi"/>
        </w:rPr>
      </w:pPr>
      <w:r w:rsidRPr="44FB6EB3">
        <w:rPr>
          <w:rFonts w:cstheme="minorBidi"/>
        </w:rPr>
        <w:t xml:space="preserve">Two complaints were received by the </w:t>
      </w:r>
      <w:r w:rsidR="00F35F6A">
        <w:rPr>
          <w:rFonts w:cstheme="minorBidi"/>
        </w:rPr>
        <w:t>FOI</w:t>
      </w:r>
      <w:r w:rsidRPr="44FB6EB3">
        <w:rPr>
          <w:rFonts w:cstheme="minorBidi"/>
        </w:rPr>
        <w:t xml:space="preserve"> Commissioner with respect to an NQF agency carrying out its responsibilities under the FOI Act. In one of these</w:t>
      </w:r>
      <w:r w:rsidR="00312226">
        <w:rPr>
          <w:rFonts w:cstheme="minorBidi"/>
        </w:rPr>
        <w:t>,</w:t>
      </w:r>
      <w:r w:rsidRPr="44FB6EB3">
        <w:rPr>
          <w:rFonts w:cstheme="minorBidi"/>
        </w:rPr>
        <w:t xml:space="preserve"> the Commissioner determined not to investigate the complaint. The other complaint was investigated and resulted in an application being made for FOI Commissioner review. The decision on that application had not been finalised at the end of the reporting period.</w:t>
      </w:r>
    </w:p>
    <w:p w14:paraId="48E02AC7" w14:textId="21AEE920" w:rsidR="00A55836" w:rsidRDefault="00A55836" w:rsidP="003372BE">
      <w:pPr>
        <w:rPr>
          <w:rFonts w:cstheme="minorBidi"/>
        </w:rPr>
      </w:pPr>
      <w:r w:rsidRPr="7299276A">
        <w:rPr>
          <w:rFonts w:cstheme="minorBidi"/>
        </w:rPr>
        <w:t xml:space="preserve">For the purposes of </w:t>
      </w:r>
      <w:r w:rsidR="0020706E">
        <w:rPr>
          <w:rFonts w:cstheme="minorBidi"/>
        </w:rPr>
        <w:t xml:space="preserve">this </w:t>
      </w:r>
      <w:r w:rsidR="007638DF">
        <w:rPr>
          <w:rFonts w:cstheme="minorBidi"/>
        </w:rPr>
        <w:t>R</w:t>
      </w:r>
      <w:r w:rsidR="0020706E">
        <w:rPr>
          <w:rFonts w:cstheme="minorBidi"/>
        </w:rPr>
        <w:t>eport</w:t>
      </w:r>
      <w:r w:rsidRPr="7299276A">
        <w:rPr>
          <w:rFonts w:cstheme="minorBidi"/>
        </w:rPr>
        <w:t>, “enquiries” are defined as matters raised with the office that fall outside the jurisdiction of the ECS Commissioners. The office continued to receive a steady stream of such enquiries during the reporting period.</w:t>
      </w:r>
    </w:p>
    <w:p w14:paraId="5AD5EDAE" w14:textId="3A033669" w:rsidR="00A55836" w:rsidRDefault="00A55836" w:rsidP="003372BE">
      <w:pPr>
        <w:rPr>
          <w:rFonts w:cstheme="minorBidi"/>
        </w:rPr>
      </w:pPr>
      <w:r w:rsidRPr="081BF724">
        <w:rPr>
          <w:rFonts w:cstheme="minorBidi"/>
        </w:rPr>
        <w:t xml:space="preserve">The </w:t>
      </w:r>
      <w:r w:rsidR="00802833">
        <w:rPr>
          <w:rFonts w:cstheme="minorBidi"/>
        </w:rPr>
        <w:t>majority</w:t>
      </w:r>
      <w:r w:rsidRPr="081BF724">
        <w:rPr>
          <w:rFonts w:cstheme="minorBidi"/>
        </w:rPr>
        <w:t xml:space="preserve"> of enquiries (72%) were about individual service provider behaviour. Unlike previous years</w:t>
      </w:r>
      <w:r w:rsidR="00802833">
        <w:rPr>
          <w:rFonts w:cstheme="minorBidi"/>
        </w:rPr>
        <w:t>,</w:t>
      </w:r>
      <w:r w:rsidRPr="081BF724">
        <w:rPr>
          <w:rFonts w:cstheme="minorBidi"/>
        </w:rPr>
        <w:t xml:space="preserve"> only a small number (24%) concerned issues about fees.</w:t>
      </w:r>
    </w:p>
    <w:p w14:paraId="5C0C20CC" w14:textId="0E0DC7BC" w:rsidR="00A55836" w:rsidRPr="00D37A15" w:rsidRDefault="00A55836" w:rsidP="003372BE">
      <w:pPr>
        <w:rPr>
          <w:rFonts w:cstheme="minorBidi"/>
        </w:rPr>
      </w:pPr>
      <w:r w:rsidRPr="369D6AD5">
        <w:rPr>
          <w:rFonts w:cstheme="minorBidi"/>
        </w:rPr>
        <w:t xml:space="preserve">Other enquiries received by the office included matters related to the health and safety of </w:t>
      </w:r>
      <w:r w:rsidRPr="00A57C8B">
        <w:rPr>
          <w:rFonts w:cstheme="minorBidi"/>
        </w:rPr>
        <w:t xml:space="preserve">children in </w:t>
      </w:r>
      <w:r w:rsidR="00307F1E" w:rsidRPr="00A57C8B">
        <w:rPr>
          <w:rFonts w:cstheme="minorBidi"/>
        </w:rPr>
        <w:t xml:space="preserve">early childhood </w:t>
      </w:r>
      <w:r w:rsidRPr="00A57C8B">
        <w:rPr>
          <w:rFonts w:cstheme="minorBidi"/>
        </w:rPr>
        <w:t>services</w:t>
      </w:r>
      <w:r w:rsidR="00C72844">
        <w:rPr>
          <w:rFonts w:cstheme="minorBidi"/>
        </w:rPr>
        <w:t>,</w:t>
      </w:r>
      <w:r w:rsidRPr="00A57C8B">
        <w:rPr>
          <w:rFonts w:cstheme="minorBidi"/>
        </w:rPr>
        <w:t xml:space="preserve"> the operations of services and </w:t>
      </w:r>
      <w:r w:rsidR="007A5230" w:rsidRPr="00A57C8B">
        <w:rPr>
          <w:rFonts w:cstheme="minorBidi"/>
        </w:rPr>
        <w:t xml:space="preserve">the </w:t>
      </w:r>
      <w:r w:rsidRPr="00A57C8B">
        <w:rPr>
          <w:rFonts w:cstheme="minorBidi"/>
        </w:rPr>
        <w:t>closure of services.</w:t>
      </w:r>
      <w:r w:rsidRPr="369D6AD5">
        <w:rPr>
          <w:rFonts w:cstheme="minorBidi"/>
        </w:rPr>
        <w:t xml:space="preserve"> Matters raised that were unrelated to early childhood education and care included disputes with schools; concerns over </w:t>
      </w:r>
      <w:r w:rsidR="00CC6575">
        <w:rPr>
          <w:rFonts w:cstheme="minorBidi"/>
        </w:rPr>
        <w:t>R</w:t>
      </w:r>
      <w:r w:rsidRPr="369D6AD5">
        <w:rPr>
          <w:rFonts w:cstheme="minorBidi"/>
        </w:rPr>
        <w:t xml:space="preserve">egulatory </w:t>
      </w:r>
      <w:r w:rsidR="00CC6575">
        <w:rPr>
          <w:rFonts w:cstheme="minorBidi"/>
        </w:rPr>
        <w:t>A</w:t>
      </w:r>
      <w:r w:rsidRPr="369D6AD5">
        <w:rPr>
          <w:rFonts w:cstheme="minorBidi"/>
        </w:rPr>
        <w:t xml:space="preserve">uthority activities; ACECQA assessment processes; issues with a TAFE and a complaint against the Office of the Australian Information Commissioner. In all cases such complaints were redirected to relevant bodies. </w:t>
      </w:r>
    </w:p>
    <w:p w14:paraId="58532439" w14:textId="77777777" w:rsidR="00A55836" w:rsidRDefault="00A55836" w:rsidP="003372BE">
      <w:r>
        <w:t>General enquiries were also made to the office about its operations.</w:t>
      </w:r>
    </w:p>
    <w:p w14:paraId="08A1910D" w14:textId="77777777" w:rsidR="00A55836" w:rsidRDefault="00A55836" w:rsidP="00A55836">
      <w:pPr>
        <w:spacing w:after="80"/>
        <w:rPr>
          <w:rFonts w:asciiTheme="minorHAnsi" w:hAnsiTheme="minorHAnsi" w:cstheme="minorHAnsi"/>
        </w:rPr>
      </w:pPr>
    </w:p>
    <w:p w14:paraId="39465A3E" w14:textId="77777777" w:rsidR="00A55836" w:rsidRPr="00E503DE" w:rsidRDefault="00A55836" w:rsidP="00A55836">
      <w:pPr>
        <w:pStyle w:val="Heading1"/>
        <w:shd w:val="clear" w:color="auto" w:fill="B8CCE4" w:themeFill="accent1" w:themeFillTint="66"/>
        <w:spacing w:line="240" w:lineRule="auto"/>
        <w:rPr>
          <w:rFonts w:cstheme="minorBidi"/>
          <w:b/>
          <w:bCs/>
        </w:rPr>
      </w:pPr>
      <w:bookmarkStart w:id="26" w:name="_Toc160544961"/>
      <w:r w:rsidRPr="590D3B52">
        <w:rPr>
          <w:rFonts w:cstheme="minorBidi"/>
          <w:b/>
          <w:bCs/>
        </w:rPr>
        <w:t>Freedom of Information (FOI)</w:t>
      </w:r>
      <w:bookmarkEnd w:id="26"/>
    </w:p>
    <w:p w14:paraId="496068A4" w14:textId="1EE95269" w:rsidR="00A55836" w:rsidRDefault="003372BE" w:rsidP="00B77D2B">
      <w:r>
        <w:br/>
      </w:r>
      <w:r w:rsidR="00A55836" w:rsidRPr="001717DC">
        <w:t xml:space="preserve">The </w:t>
      </w:r>
      <w:r w:rsidR="00C10B13">
        <w:t>FOI</w:t>
      </w:r>
      <w:r w:rsidR="00A55836" w:rsidRPr="001717DC">
        <w:t xml:space="preserve"> Commissioner</w:t>
      </w:r>
      <w:r w:rsidR="00A55836">
        <w:t xml:space="preserve"> </w:t>
      </w:r>
      <w:r w:rsidR="00A55836" w:rsidRPr="001717DC">
        <w:t xml:space="preserve">is required each financial year to report on the operation of the </w:t>
      </w:r>
      <w:r w:rsidR="000E18FB">
        <w:rPr>
          <w:iCs/>
        </w:rPr>
        <w:t>FOI Act</w:t>
      </w:r>
      <w:r w:rsidR="00A55836">
        <w:t xml:space="preserve"> </w:t>
      </w:r>
      <w:r w:rsidR="00A55836" w:rsidRPr="001717DC">
        <w:t xml:space="preserve">as modified by the </w:t>
      </w:r>
      <w:r w:rsidR="000E18FB">
        <w:rPr>
          <w:iCs/>
        </w:rPr>
        <w:t>ECSNL</w:t>
      </w:r>
      <w:r w:rsidR="00A55836" w:rsidRPr="001717DC">
        <w:rPr>
          <w:i/>
        </w:rPr>
        <w:t xml:space="preserve"> </w:t>
      </w:r>
      <w:r w:rsidR="00A55836" w:rsidRPr="001717DC">
        <w:t xml:space="preserve">and </w:t>
      </w:r>
      <w:r w:rsidR="000E18FB">
        <w:t xml:space="preserve">ECS </w:t>
      </w:r>
      <w:r w:rsidR="00A55836" w:rsidRPr="0080151D">
        <w:t>Regulations</w:t>
      </w:r>
      <w:r w:rsidR="00A55836" w:rsidRPr="001717DC">
        <w:t xml:space="preserve">.  </w:t>
      </w:r>
      <w:bookmarkStart w:id="27" w:name="_Hlk51585054"/>
    </w:p>
    <w:p w14:paraId="129B26A9" w14:textId="6785C3AB" w:rsidR="00A55836" w:rsidRDefault="00A55836" w:rsidP="00B77D2B">
      <w:r>
        <w:t>Each of the NQF agencies</w:t>
      </w:r>
      <w:r w:rsidRPr="001717DC">
        <w:t xml:space="preserve"> </w:t>
      </w:r>
      <w:r>
        <w:t>is</w:t>
      </w:r>
      <w:r w:rsidRPr="001717DC">
        <w:t xml:space="preserve"> required to report to the </w:t>
      </w:r>
      <w:r w:rsidR="00737CAC">
        <w:t xml:space="preserve">FOI </w:t>
      </w:r>
      <w:r>
        <w:t xml:space="preserve">Commissioner </w:t>
      </w:r>
      <w:r w:rsidRPr="001717DC">
        <w:t xml:space="preserve">on </w:t>
      </w:r>
      <w:r w:rsidR="000E18FB">
        <w:t>FOI</w:t>
      </w:r>
      <w:r>
        <w:t xml:space="preserve"> </w:t>
      </w:r>
      <w:r w:rsidRPr="001717DC">
        <w:t xml:space="preserve">matters </w:t>
      </w:r>
      <w:r>
        <w:t>relating to its jurisdiction</w:t>
      </w:r>
      <w:r w:rsidR="00E04B10">
        <w:t>,</w:t>
      </w:r>
      <w:r>
        <w:t xml:space="preserve"> </w:t>
      </w:r>
      <w:r w:rsidRPr="001717DC">
        <w:t>including: the number of FOI requests for access to documents received</w:t>
      </w:r>
      <w:r>
        <w:t xml:space="preserve"> and </w:t>
      </w:r>
      <w:r w:rsidR="007A36E7">
        <w:t>the</w:t>
      </w:r>
      <w:r>
        <w:t xml:space="preserve"> outcomes</w:t>
      </w:r>
      <w:r w:rsidR="007A36E7">
        <w:t xml:space="preserve"> of finalised requests</w:t>
      </w:r>
      <w:r w:rsidRPr="001717DC">
        <w:t xml:space="preserve">; the number of </w:t>
      </w:r>
      <w:r w:rsidR="005422E8">
        <w:t>applications</w:t>
      </w:r>
      <w:r>
        <w:t xml:space="preserve"> </w:t>
      </w:r>
      <w:r w:rsidRPr="001717DC">
        <w:t xml:space="preserve">received for amendment </w:t>
      </w:r>
      <w:r w:rsidR="00553CDE">
        <w:t xml:space="preserve">or annotation </w:t>
      </w:r>
      <w:r w:rsidR="008F6159">
        <w:t>of</w:t>
      </w:r>
      <w:r w:rsidRPr="001717DC">
        <w:t xml:space="preserve"> personal information and </w:t>
      </w:r>
      <w:r w:rsidR="007A36E7">
        <w:t xml:space="preserve">the outcomes of finalised </w:t>
      </w:r>
      <w:r w:rsidR="00133763">
        <w:t>applications</w:t>
      </w:r>
      <w:r w:rsidRPr="001717DC">
        <w:t xml:space="preserve">; the total charges collected during the year; and the number of </w:t>
      </w:r>
      <w:r>
        <w:t xml:space="preserve">requests </w:t>
      </w:r>
      <w:r w:rsidRPr="001717DC">
        <w:t xml:space="preserve">for internal review of FOI decisions and the </w:t>
      </w:r>
      <w:r w:rsidR="00674E5F">
        <w:t>outcomes of finalised requests</w:t>
      </w:r>
      <w:r w:rsidRPr="001717DC">
        <w:t xml:space="preserve">. </w:t>
      </w:r>
    </w:p>
    <w:bookmarkEnd w:id="27"/>
    <w:p w14:paraId="6D35F9D7" w14:textId="6EEFF179" w:rsidR="0059002A" w:rsidRDefault="00A55836" w:rsidP="00B77D2B">
      <w:pPr>
        <w:rPr>
          <w:rFonts w:cstheme="minorBidi"/>
        </w:rPr>
      </w:pPr>
      <w:r w:rsidRPr="78F79D6F">
        <w:rPr>
          <w:rFonts w:cstheme="minorBidi"/>
        </w:rPr>
        <w:t>Data by jurisdiction for the 2022</w:t>
      </w:r>
      <w:r w:rsidR="00143DD7">
        <w:rPr>
          <w:rFonts w:cstheme="minorBidi"/>
        </w:rPr>
        <w:t>–</w:t>
      </w:r>
      <w:r w:rsidRPr="78F79D6F">
        <w:rPr>
          <w:rFonts w:cstheme="minorBidi"/>
        </w:rPr>
        <w:t xml:space="preserve">2023 reporting period is provided in Table 1 of </w:t>
      </w:r>
      <w:r w:rsidRPr="78F79D6F">
        <w:rPr>
          <w:rFonts w:cstheme="minorBidi"/>
          <w:b/>
          <w:bCs/>
        </w:rPr>
        <w:t>Attachment 6</w:t>
      </w:r>
      <w:r w:rsidRPr="78F79D6F">
        <w:rPr>
          <w:rFonts w:cstheme="minorBidi"/>
        </w:rPr>
        <w:t xml:space="preserve"> to this </w:t>
      </w:r>
      <w:r w:rsidR="0024125D">
        <w:rPr>
          <w:rFonts w:cstheme="minorBidi"/>
        </w:rPr>
        <w:t>R</w:t>
      </w:r>
      <w:r w:rsidRPr="78F79D6F">
        <w:rPr>
          <w:rFonts w:cstheme="minorBidi"/>
        </w:rPr>
        <w:t xml:space="preserve">eport. </w:t>
      </w:r>
    </w:p>
    <w:p w14:paraId="6526D505" w14:textId="409D7F29" w:rsidR="00A55836" w:rsidRDefault="00A55836" w:rsidP="00B77D2B">
      <w:pPr>
        <w:rPr>
          <w:rFonts w:cstheme="minorBidi"/>
        </w:rPr>
      </w:pPr>
      <w:r w:rsidRPr="78F79D6F">
        <w:rPr>
          <w:rFonts w:cstheme="minorBidi"/>
        </w:rPr>
        <w:t>In summary</w:t>
      </w:r>
      <w:r w:rsidR="00143DD7">
        <w:rPr>
          <w:rFonts w:cstheme="minorBidi"/>
        </w:rPr>
        <w:t>,</w:t>
      </w:r>
      <w:r w:rsidRPr="78F79D6F">
        <w:rPr>
          <w:rFonts w:cstheme="minorBidi"/>
        </w:rPr>
        <w:t xml:space="preserve"> the </w:t>
      </w:r>
      <w:r w:rsidR="00143DD7">
        <w:rPr>
          <w:rFonts w:cstheme="minorBidi"/>
        </w:rPr>
        <w:t>9</w:t>
      </w:r>
      <w:r w:rsidR="00143DD7" w:rsidRPr="78F79D6F">
        <w:rPr>
          <w:rFonts w:cstheme="minorBidi"/>
        </w:rPr>
        <w:t xml:space="preserve"> </w:t>
      </w:r>
      <w:r w:rsidRPr="78F79D6F">
        <w:rPr>
          <w:rFonts w:cstheme="minorBidi"/>
        </w:rPr>
        <w:t xml:space="preserve">NQF agencies collectively received 73 </w:t>
      </w:r>
      <w:r w:rsidR="00BD2F27">
        <w:rPr>
          <w:rFonts w:cstheme="minorBidi"/>
          <w:i/>
          <w:iCs/>
        </w:rPr>
        <w:t xml:space="preserve">new </w:t>
      </w:r>
      <w:r w:rsidRPr="78F79D6F">
        <w:rPr>
          <w:rFonts w:cstheme="minorBidi"/>
        </w:rPr>
        <w:t xml:space="preserve">FOI requests </w:t>
      </w:r>
      <w:r w:rsidR="00BD2F27">
        <w:rPr>
          <w:rFonts w:cstheme="minorBidi"/>
        </w:rPr>
        <w:t xml:space="preserve">in 2022–2023, a 16% decrease </w:t>
      </w:r>
      <w:r w:rsidR="00046E34">
        <w:rPr>
          <w:rFonts w:cstheme="minorBidi"/>
        </w:rPr>
        <w:t>compared to the last reporting period (87). They</w:t>
      </w:r>
      <w:r w:rsidRPr="78F79D6F">
        <w:rPr>
          <w:rFonts w:cstheme="minorBidi"/>
        </w:rPr>
        <w:t xml:space="preserve"> had a further 13 requests </w:t>
      </w:r>
      <w:r w:rsidR="00AE3D2A">
        <w:rPr>
          <w:rFonts w:cstheme="minorBidi"/>
        </w:rPr>
        <w:t>on</w:t>
      </w:r>
      <w:r w:rsidR="00AE3D2A" w:rsidRPr="78F79D6F">
        <w:rPr>
          <w:rFonts w:cstheme="minorBidi"/>
        </w:rPr>
        <w:t xml:space="preserve"> </w:t>
      </w:r>
      <w:r w:rsidRPr="78F79D6F">
        <w:rPr>
          <w:rFonts w:cstheme="minorBidi"/>
        </w:rPr>
        <w:t>hand from the previous reporting year – a total of 86 requests requiring decision during 2022</w:t>
      </w:r>
      <w:r w:rsidR="007868E3">
        <w:rPr>
          <w:rFonts w:cstheme="minorBidi"/>
        </w:rPr>
        <w:t>–</w:t>
      </w:r>
      <w:r w:rsidRPr="78F79D6F">
        <w:rPr>
          <w:rFonts w:cstheme="minorBidi"/>
        </w:rPr>
        <w:t xml:space="preserve">23.   </w:t>
      </w:r>
    </w:p>
    <w:p w14:paraId="7BD8D93A" w14:textId="7885E347" w:rsidR="007625C3" w:rsidRDefault="003F010B" w:rsidP="00B77D2B">
      <w:pPr>
        <w:rPr>
          <w:rFonts w:cstheme="minorBidi"/>
        </w:rPr>
      </w:pPr>
      <w:r>
        <w:rPr>
          <w:rFonts w:cstheme="minorBidi"/>
        </w:rPr>
        <w:t>Of th</w:t>
      </w:r>
      <w:r w:rsidR="005A0E25">
        <w:rPr>
          <w:rFonts w:cstheme="minorBidi"/>
        </w:rPr>
        <w:t>os</w:t>
      </w:r>
      <w:r>
        <w:rPr>
          <w:rFonts w:cstheme="minorBidi"/>
        </w:rPr>
        <w:t xml:space="preserve">e 86 requests, </w:t>
      </w:r>
      <w:r w:rsidR="00A55836" w:rsidRPr="081BF724">
        <w:rPr>
          <w:rFonts w:cstheme="minorBidi"/>
        </w:rPr>
        <w:t xml:space="preserve">71 </w:t>
      </w:r>
      <w:r>
        <w:rPr>
          <w:rFonts w:cstheme="minorBidi"/>
        </w:rPr>
        <w:t>(</w:t>
      </w:r>
      <w:r w:rsidR="00A55836" w:rsidRPr="081BF724">
        <w:rPr>
          <w:rFonts w:cstheme="minorBidi"/>
        </w:rPr>
        <w:t>83</w:t>
      </w:r>
      <w:r>
        <w:rPr>
          <w:rFonts w:cstheme="minorBidi"/>
        </w:rPr>
        <w:t>%)</w:t>
      </w:r>
      <w:r w:rsidR="00A55836" w:rsidRPr="081BF724">
        <w:rPr>
          <w:rFonts w:cstheme="minorBidi"/>
        </w:rPr>
        <w:t xml:space="preserve"> were finalised by </w:t>
      </w:r>
      <w:r w:rsidRPr="081BF724">
        <w:rPr>
          <w:rFonts w:cstheme="minorBidi"/>
        </w:rPr>
        <w:t>30</w:t>
      </w:r>
      <w:r>
        <w:rPr>
          <w:rFonts w:cstheme="minorBidi"/>
        </w:rPr>
        <w:t> </w:t>
      </w:r>
      <w:r w:rsidR="00A55836" w:rsidRPr="081BF724">
        <w:rPr>
          <w:rFonts w:cstheme="minorBidi"/>
        </w:rPr>
        <w:t>June 2023. Of those finalised</w:t>
      </w:r>
      <w:r w:rsidR="007625C3">
        <w:rPr>
          <w:rFonts w:cstheme="minorBidi"/>
        </w:rPr>
        <w:t>:</w:t>
      </w:r>
    </w:p>
    <w:p w14:paraId="0BF33BDD" w14:textId="1B0AFCAC" w:rsidR="00F75490" w:rsidRDefault="007625C3" w:rsidP="007625C3">
      <w:pPr>
        <w:pStyle w:val="ListParagraph"/>
        <w:numPr>
          <w:ilvl w:val="0"/>
          <w:numId w:val="9"/>
        </w:numPr>
        <w:rPr>
          <w:rFonts w:cstheme="minorBidi"/>
        </w:rPr>
      </w:pPr>
      <w:r w:rsidRPr="007625C3">
        <w:rPr>
          <w:rFonts w:cstheme="minorBidi"/>
        </w:rPr>
        <w:t xml:space="preserve">full access was granted in relation to </w:t>
      </w:r>
      <w:r w:rsidR="00A55836" w:rsidRPr="007625C3">
        <w:rPr>
          <w:rFonts w:cstheme="minorBidi"/>
        </w:rPr>
        <w:t>11</w:t>
      </w:r>
      <w:r w:rsidR="003F010B" w:rsidRPr="007625C3">
        <w:rPr>
          <w:rFonts w:cstheme="minorBidi"/>
        </w:rPr>
        <w:t xml:space="preserve">% </w:t>
      </w:r>
      <w:r w:rsidRPr="007625C3">
        <w:rPr>
          <w:rFonts w:cstheme="minorBidi"/>
        </w:rPr>
        <w:t>of requests</w:t>
      </w:r>
      <w:r w:rsidR="00A55836" w:rsidRPr="007625C3">
        <w:rPr>
          <w:rFonts w:cstheme="minorBidi"/>
        </w:rPr>
        <w:t xml:space="preserve"> </w:t>
      </w:r>
    </w:p>
    <w:p w14:paraId="0BAB15B7" w14:textId="0F8C1D57" w:rsidR="00F75490" w:rsidRDefault="00A55836" w:rsidP="007625C3">
      <w:pPr>
        <w:pStyle w:val="ListParagraph"/>
        <w:numPr>
          <w:ilvl w:val="0"/>
          <w:numId w:val="9"/>
        </w:numPr>
        <w:rPr>
          <w:rFonts w:cstheme="minorBidi"/>
        </w:rPr>
      </w:pPr>
      <w:r w:rsidRPr="007625C3">
        <w:rPr>
          <w:rFonts w:cstheme="minorBidi"/>
        </w:rPr>
        <w:t>partial access</w:t>
      </w:r>
      <w:r w:rsidR="00F75490">
        <w:rPr>
          <w:rFonts w:cstheme="minorBidi"/>
        </w:rPr>
        <w:t xml:space="preserve"> was granted in relation to 68% of requests</w:t>
      </w:r>
      <w:r w:rsidRPr="007625C3">
        <w:rPr>
          <w:rFonts w:cstheme="minorBidi"/>
        </w:rPr>
        <w:t xml:space="preserve"> </w:t>
      </w:r>
    </w:p>
    <w:p w14:paraId="70BF5ED4" w14:textId="0D4E57B1" w:rsidR="00007626" w:rsidRDefault="00F75490" w:rsidP="007625C3">
      <w:pPr>
        <w:pStyle w:val="ListParagraph"/>
        <w:numPr>
          <w:ilvl w:val="0"/>
          <w:numId w:val="9"/>
        </w:numPr>
        <w:rPr>
          <w:rFonts w:cstheme="minorBidi"/>
        </w:rPr>
      </w:pPr>
      <w:r>
        <w:rPr>
          <w:rFonts w:cstheme="minorBidi"/>
        </w:rPr>
        <w:t>access was refused in full in 6%</w:t>
      </w:r>
      <w:r w:rsidR="00007626">
        <w:rPr>
          <w:rFonts w:cstheme="minorBidi"/>
        </w:rPr>
        <w:t xml:space="preserve"> of requests</w:t>
      </w:r>
      <w:r w:rsidR="00A55836" w:rsidRPr="007625C3">
        <w:rPr>
          <w:rFonts w:cstheme="minorBidi"/>
        </w:rPr>
        <w:t xml:space="preserve">, and </w:t>
      </w:r>
    </w:p>
    <w:p w14:paraId="1DC7006D" w14:textId="7F5548AA" w:rsidR="00A55836" w:rsidRPr="007625C3" w:rsidRDefault="00007626" w:rsidP="00FA0BF4">
      <w:pPr>
        <w:pStyle w:val="ListParagraph"/>
        <w:numPr>
          <w:ilvl w:val="0"/>
          <w:numId w:val="9"/>
        </w:numPr>
        <w:rPr>
          <w:rFonts w:cstheme="minorBidi"/>
        </w:rPr>
      </w:pPr>
      <w:r w:rsidRPr="411602C8">
        <w:rPr>
          <w:rFonts w:cstheme="minorBidi"/>
        </w:rPr>
        <w:t xml:space="preserve">the request was withdrawn in </w:t>
      </w:r>
      <w:r w:rsidR="00A55836" w:rsidRPr="411602C8">
        <w:rPr>
          <w:rFonts w:cstheme="minorBidi"/>
        </w:rPr>
        <w:t>15</w:t>
      </w:r>
      <w:r w:rsidRPr="411602C8">
        <w:rPr>
          <w:rFonts w:cstheme="minorBidi"/>
        </w:rPr>
        <w:t>%</w:t>
      </w:r>
      <w:r w:rsidR="00A55836" w:rsidRPr="411602C8">
        <w:rPr>
          <w:rFonts w:cstheme="minorBidi"/>
        </w:rPr>
        <w:t xml:space="preserve"> of requests.</w:t>
      </w:r>
    </w:p>
    <w:p w14:paraId="1E367CDD" w14:textId="73215AF1" w:rsidR="00EA52D9" w:rsidRDefault="00EA52D9" w:rsidP="00B77D2B">
      <w:pPr>
        <w:rPr>
          <w:rFonts w:cstheme="minorBidi"/>
        </w:rPr>
      </w:pPr>
      <w:r w:rsidRPr="5F240E4F">
        <w:rPr>
          <w:rFonts w:cstheme="minorBidi"/>
        </w:rPr>
        <w:t>Collectively, the NQF agencies reported that 93</w:t>
      </w:r>
      <w:r>
        <w:rPr>
          <w:rFonts w:cstheme="minorBidi"/>
        </w:rPr>
        <w:t>%</w:t>
      </w:r>
      <w:r w:rsidRPr="5F240E4F">
        <w:rPr>
          <w:rFonts w:cstheme="minorBidi"/>
        </w:rPr>
        <w:t xml:space="preserve"> of FOI decisions were made within the statutory time</w:t>
      </w:r>
      <w:r w:rsidR="00427524">
        <w:rPr>
          <w:rFonts w:cstheme="minorBidi"/>
        </w:rPr>
        <w:t>frame</w:t>
      </w:r>
      <w:r w:rsidRPr="5F240E4F">
        <w:rPr>
          <w:rFonts w:cstheme="minorBidi"/>
        </w:rPr>
        <w:t>, 3</w:t>
      </w:r>
      <w:r w:rsidR="00E465EF">
        <w:rPr>
          <w:rFonts w:cstheme="minorBidi"/>
        </w:rPr>
        <w:t>%</w:t>
      </w:r>
      <w:r w:rsidRPr="5F240E4F">
        <w:rPr>
          <w:rFonts w:cstheme="minorBidi"/>
        </w:rPr>
        <w:t xml:space="preserve"> were up to 30 days overdue, and 4</w:t>
      </w:r>
      <w:r w:rsidR="00E465EF">
        <w:rPr>
          <w:rFonts w:cstheme="minorBidi"/>
        </w:rPr>
        <w:t>%</w:t>
      </w:r>
      <w:r w:rsidRPr="5F240E4F">
        <w:rPr>
          <w:rFonts w:cstheme="minorBidi"/>
        </w:rPr>
        <w:t xml:space="preserve"> were over 30 days overdue.</w:t>
      </w:r>
    </w:p>
    <w:p w14:paraId="766826BE" w14:textId="237E4F10" w:rsidR="00A55836" w:rsidRPr="00AE0801" w:rsidRDefault="00423EFB" w:rsidP="00B77D2B">
      <w:pPr>
        <w:rPr>
          <w:bCs/>
          <w:iCs/>
          <w:highlight w:val="yellow"/>
        </w:rPr>
      </w:pPr>
      <w:r>
        <w:rPr>
          <w:bCs/>
          <w:iCs/>
        </w:rPr>
        <w:t xml:space="preserve">While there is no charge to make a request </w:t>
      </w:r>
      <w:r w:rsidR="00A001EB">
        <w:rPr>
          <w:bCs/>
          <w:iCs/>
        </w:rPr>
        <w:t>under the FOI Act, a</w:t>
      </w:r>
      <w:r w:rsidR="00A55836" w:rsidRPr="00AE0801">
        <w:rPr>
          <w:bCs/>
          <w:iCs/>
        </w:rPr>
        <w:t xml:space="preserve">n NQF agency has discretion as to whether or not to impose a charge for </w:t>
      </w:r>
      <w:r w:rsidR="007C2020">
        <w:rPr>
          <w:bCs/>
          <w:iCs/>
        </w:rPr>
        <w:t xml:space="preserve">processing a request for </w:t>
      </w:r>
      <w:r w:rsidR="00A55836" w:rsidRPr="00AE0801">
        <w:rPr>
          <w:bCs/>
          <w:iCs/>
        </w:rPr>
        <w:t xml:space="preserve">access to </w:t>
      </w:r>
      <w:r w:rsidR="00925849">
        <w:rPr>
          <w:bCs/>
          <w:iCs/>
        </w:rPr>
        <w:t xml:space="preserve">certain </w:t>
      </w:r>
      <w:r w:rsidR="00A55836" w:rsidRPr="00AE0801">
        <w:rPr>
          <w:bCs/>
          <w:iCs/>
        </w:rPr>
        <w:t>document</w:t>
      </w:r>
      <w:r w:rsidR="00925849">
        <w:rPr>
          <w:bCs/>
          <w:iCs/>
        </w:rPr>
        <w:t>s</w:t>
      </w:r>
      <w:r w:rsidR="00A55836" w:rsidRPr="00AE0801">
        <w:rPr>
          <w:bCs/>
          <w:iCs/>
        </w:rPr>
        <w:t xml:space="preserve"> under the </w:t>
      </w:r>
      <w:r w:rsidR="00A55836" w:rsidRPr="00AE0801">
        <w:rPr>
          <w:bCs/>
          <w:i/>
          <w:iCs/>
        </w:rPr>
        <w:t>Freedom of Information (Charges) Regulations 1982</w:t>
      </w:r>
      <w:r w:rsidR="00A55836" w:rsidRPr="00AE0801">
        <w:rPr>
          <w:bCs/>
          <w:iCs/>
        </w:rPr>
        <w:t xml:space="preserve">. A charge can be imposed for the staff time (over and above the first </w:t>
      </w:r>
      <w:r w:rsidR="00D614D8">
        <w:rPr>
          <w:bCs/>
          <w:iCs/>
        </w:rPr>
        <w:t>5</w:t>
      </w:r>
      <w:r w:rsidR="00D614D8" w:rsidRPr="00AE0801">
        <w:rPr>
          <w:bCs/>
          <w:iCs/>
        </w:rPr>
        <w:t xml:space="preserve"> </w:t>
      </w:r>
      <w:r w:rsidR="00A55836" w:rsidRPr="00AE0801">
        <w:rPr>
          <w:bCs/>
          <w:iCs/>
        </w:rPr>
        <w:t xml:space="preserve">hours which are free) and resources expended in processing </w:t>
      </w:r>
      <w:r w:rsidR="006C43FD">
        <w:rPr>
          <w:bCs/>
          <w:iCs/>
        </w:rPr>
        <w:t>a</w:t>
      </w:r>
      <w:r w:rsidR="00A55836" w:rsidRPr="00AE0801">
        <w:rPr>
          <w:bCs/>
          <w:iCs/>
        </w:rPr>
        <w:t xml:space="preserve"> request and for </w:t>
      </w:r>
      <w:r w:rsidR="00A55836">
        <w:rPr>
          <w:bCs/>
          <w:iCs/>
        </w:rPr>
        <w:t xml:space="preserve">costs such as </w:t>
      </w:r>
      <w:r w:rsidR="00A55836" w:rsidRPr="00AE0801">
        <w:rPr>
          <w:bCs/>
          <w:iCs/>
        </w:rPr>
        <w:t xml:space="preserve">postage, photocopying or reducing information to a written document. No fees can be charged </w:t>
      </w:r>
      <w:r w:rsidR="00790186">
        <w:rPr>
          <w:bCs/>
          <w:iCs/>
        </w:rPr>
        <w:t>in relation to a</w:t>
      </w:r>
      <w:r w:rsidR="00A55836" w:rsidRPr="00AE0801">
        <w:rPr>
          <w:bCs/>
          <w:iCs/>
        </w:rPr>
        <w:t xml:space="preserve"> request </w:t>
      </w:r>
      <w:r w:rsidR="007E78B6">
        <w:rPr>
          <w:bCs/>
          <w:iCs/>
        </w:rPr>
        <w:t>for</w:t>
      </w:r>
      <w:r w:rsidR="006B3949">
        <w:rPr>
          <w:bCs/>
          <w:iCs/>
        </w:rPr>
        <w:t xml:space="preserve"> access to</w:t>
      </w:r>
      <w:r w:rsidR="002F0363">
        <w:rPr>
          <w:bCs/>
          <w:iCs/>
        </w:rPr>
        <w:t xml:space="preserve">, </w:t>
      </w:r>
      <w:r w:rsidR="00A55836" w:rsidRPr="00AE0801">
        <w:rPr>
          <w:bCs/>
          <w:iCs/>
        </w:rPr>
        <w:t xml:space="preserve">or </w:t>
      </w:r>
      <w:r w:rsidR="00F61AE5">
        <w:rPr>
          <w:bCs/>
          <w:iCs/>
        </w:rPr>
        <w:t>an application</w:t>
      </w:r>
      <w:r w:rsidR="000C74D7">
        <w:rPr>
          <w:bCs/>
          <w:iCs/>
        </w:rPr>
        <w:t xml:space="preserve"> </w:t>
      </w:r>
      <w:r w:rsidR="00A55836" w:rsidRPr="00AE0801">
        <w:rPr>
          <w:bCs/>
          <w:iCs/>
        </w:rPr>
        <w:t>to</w:t>
      </w:r>
      <w:r w:rsidR="000C74D7">
        <w:rPr>
          <w:bCs/>
          <w:iCs/>
        </w:rPr>
        <w:t xml:space="preserve"> amend</w:t>
      </w:r>
      <w:r w:rsidR="00B23A92">
        <w:rPr>
          <w:bCs/>
          <w:iCs/>
        </w:rPr>
        <w:t xml:space="preserve"> or annotate</w:t>
      </w:r>
      <w:r w:rsidR="002F0363">
        <w:rPr>
          <w:bCs/>
          <w:iCs/>
        </w:rPr>
        <w:t>, a</w:t>
      </w:r>
      <w:r w:rsidR="00A55836" w:rsidRPr="00AE0801">
        <w:rPr>
          <w:bCs/>
          <w:iCs/>
        </w:rPr>
        <w:t xml:space="preserve"> </w:t>
      </w:r>
      <w:r w:rsidR="002F0363">
        <w:rPr>
          <w:bCs/>
          <w:iCs/>
        </w:rPr>
        <w:t xml:space="preserve">person’s </w:t>
      </w:r>
      <w:r w:rsidR="00F61AE5">
        <w:rPr>
          <w:bCs/>
          <w:iCs/>
        </w:rPr>
        <w:t xml:space="preserve">personal </w:t>
      </w:r>
      <w:r w:rsidR="002F0363">
        <w:rPr>
          <w:bCs/>
          <w:iCs/>
        </w:rPr>
        <w:t>information</w:t>
      </w:r>
      <w:r w:rsidR="00A55836" w:rsidRPr="00AE0801">
        <w:rPr>
          <w:bCs/>
          <w:iCs/>
        </w:rPr>
        <w:t xml:space="preserve">, or for seeking </w:t>
      </w:r>
      <w:r w:rsidR="00A55836">
        <w:rPr>
          <w:bCs/>
          <w:iCs/>
        </w:rPr>
        <w:t xml:space="preserve">an </w:t>
      </w:r>
      <w:r w:rsidR="00A55836" w:rsidRPr="00AE0801">
        <w:rPr>
          <w:bCs/>
          <w:iCs/>
        </w:rPr>
        <w:t xml:space="preserve">internal review or review by the FOI Commissioner. The Regulations set out the maximum </w:t>
      </w:r>
      <w:r w:rsidR="00A55836">
        <w:rPr>
          <w:bCs/>
          <w:iCs/>
        </w:rPr>
        <w:t xml:space="preserve">charges </w:t>
      </w:r>
      <w:r w:rsidR="00A55836" w:rsidRPr="00AE0801">
        <w:rPr>
          <w:bCs/>
          <w:iCs/>
        </w:rPr>
        <w:t>rates that apply and no agency may exceed those levels</w:t>
      </w:r>
      <w:r w:rsidR="00A55836">
        <w:rPr>
          <w:bCs/>
          <w:iCs/>
        </w:rPr>
        <w:t xml:space="preserve"> </w:t>
      </w:r>
      <w:r w:rsidR="00CF5214">
        <w:rPr>
          <w:bCs/>
          <w:iCs/>
        </w:rPr>
        <w:t>–</w:t>
      </w:r>
      <w:r w:rsidR="00A55836" w:rsidRPr="00AE0801">
        <w:rPr>
          <w:bCs/>
          <w:iCs/>
        </w:rPr>
        <w:t xml:space="preserve"> although they may impose a lower charge</w:t>
      </w:r>
      <w:r w:rsidR="00A55836">
        <w:rPr>
          <w:bCs/>
          <w:iCs/>
        </w:rPr>
        <w:t xml:space="preserve"> (consistent with the </w:t>
      </w:r>
      <w:r w:rsidR="00A55836" w:rsidRPr="00AE0801">
        <w:rPr>
          <w:bCs/>
          <w:iCs/>
        </w:rPr>
        <w:t>‘lowest reasonable cost’ objective of the FOI Act</w:t>
      </w:r>
      <w:r w:rsidR="00A55836">
        <w:rPr>
          <w:bCs/>
          <w:iCs/>
        </w:rPr>
        <w:t>)</w:t>
      </w:r>
      <w:r w:rsidR="00A55836" w:rsidRPr="00AE0801">
        <w:rPr>
          <w:bCs/>
          <w:iCs/>
        </w:rPr>
        <w:t>.</w:t>
      </w:r>
    </w:p>
    <w:p w14:paraId="14A33C5D" w14:textId="129D3ED6" w:rsidR="00A55836" w:rsidRDefault="007F31CC" w:rsidP="00B77D2B">
      <w:pPr>
        <w:rPr>
          <w:rFonts w:cstheme="minorBidi"/>
        </w:rPr>
      </w:pPr>
      <w:r>
        <w:rPr>
          <w:rFonts w:cstheme="minorBidi"/>
        </w:rPr>
        <w:t>Two</w:t>
      </w:r>
      <w:r w:rsidRPr="081BF724">
        <w:rPr>
          <w:rFonts w:cstheme="minorBidi"/>
        </w:rPr>
        <w:t xml:space="preserve"> </w:t>
      </w:r>
      <w:r w:rsidR="00A55836" w:rsidRPr="081BF724">
        <w:rPr>
          <w:rFonts w:cstheme="minorBidi"/>
        </w:rPr>
        <w:t>jurisdiction</w:t>
      </w:r>
      <w:r>
        <w:rPr>
          <w:rFonts w:cstheme="minorBidi"/>
        </w:rPr>
        <w:t>s</w:t>
      </w:r>
      <w:r w:rsidR="00A55836" w:rsidRPr="081BF724">
        <w:rPr>
          <w:rFonts w:cstheme="minorBidi"/>
        </w:rPr>
        <w:t xml:space="preserve"> reported </w:t>
      </w:r>
      <w:r w:rsidR="00A03405">
        <w:rPr>
          <w:rFonts w:cstheme="minorBidi"/>
        </w:rPr>
        <w:t xml:space="preserve">that </w:t>
      </w:r>
      <w:r w:rsidR="00A55836" w:rsidRPr="081BF724">
        <w:rPr>
          <w:rFonts w:cstheme="minorBidi"/>
        </w:rPr>
        <w:t>they imposed a charge</w:t>
      </w:r>
      <w:r w:rsidR="00932824">
        <w:rPr>
          <w:rFonts w:cstheme="minorBidi"/>
        </w:rPr>
        <w:t>. They</w:t>
      </w:r>
      <w:r w:rsidR="00A55836" w:rsidRPr="081BF724">
        <w:rPr>
          <w:rFonts w:cstheme="minorBidi"/>
        </w:rPr>
        <w:t xml:space="preserve"> collected a total of $</w:t>
      </w:r>
      <w:r>
        <w:rPr>
          <w:rFonts w:cstheme="minorBidi"/>
        </w:rPr>
        <w:t>292</w:t>
      </w:r>
      <w:r w:rsidR="00CB1224">
        <w:rPr>
          <w:rFonts w:cstheme="minorBidi"/>
        </w:rPr>
        <w:t>.92</w:t>
      </w:r>
      <w:r w:rsidR="00A55836" w:rsidRPr="081BF724">
        <w:rPr>
          <w:rFonts w:cstheme="minorBidi"/>
        </w:rPr>
        <w:t xml:space="preserve"> for the reporting period.</w:t>
      </w:r>
    </w:p>
    <w:p w14:paraId="554F80A5" w14:textId="6EE89FAA" w:rsidR="00A55836" w:rsidRDefault="00A55836" w:rsidP="411602C8">
      <w:pPr>
        <w:rPr>
          <w:rFonts w:cstheme="minorBidi"/>
        </w:rPr>
      </w:pPr>
      <w:r w:rsidRPr="411602C8">
        <w:rPr>
          <w:rFonts w:cstheme="minorBidi"/>
        </w:rPr>
        <w:t xml:space="preserve">No applications for amendment </w:t>
      </w:r>
      <w:r w:rsidR="006503B8">
        <w:rPr>
          <w:rFonts w:cstheme="minorBidi"/>
        </w:rPr>
        <w:t xml:space="preserve">or annotation </w:t>
      </w:r>
      <w:r w:rsidR="00EC1F6D">
        <w:rPr>
          <w:rFonts w:cstheme="minorBidi"/>
        </w:rPr>
        <w:t>of</w:t>
      </w:r>
      <w:r w:rsidRPr="411602C8">
        <w:rPr>
          <w:rFonts w:cstheme="minorBidi"/>
        </w:rPr>
        <w:t xml:space="preserve"> personal information were reported for the period. </w:t>
      </w:r>
      <w:r>
        <w:br/>
      </w:r>
    </w:p>
    <w:p w14:paraId="66071102" w14:textId="77777777" w:rsidR="00A55836" w:rsidRPr="00E503DE" w:rsidRDefault="00A55836" w:rsidP="004B53C3">
      <w:pPr>
        <w:pStyle w:val="Heading2"/>
      </w:pPr>
      <w:bookmarkStart w:id="28" w:name="_Toc160544962"/>
      <w:r w:rsidRPr="00E503DE">
        <w:t>Exemptions and Conditional Exemptions</w:t>
      </w:r>
      <w:bookmarkEnd w:id="28"/>
    </w:p>
    <w:p w14:paraId="3824561D" w14:textId="2C9B6408" w:rsidR="00A55836" w:rsidRDefault="00A55836" w:rsidP="00B77D2B">
      <w:r w:rsidRPr="00260C94">
        <w:t xml:space="preserve">Section 11A of the FOI Act requires access to be given to a document unless the document at the time of the request is an exempt document. An exempt document includes documents that meet the criteria for an exemption provision under Part IV of the FOI Act. Divisions 2 and 3 of the Act set out the </w:t>
      </w:r>
      <w:r w:rsidR="00310644">
        <w:t xml:space="preserve">10 </w:t>
      </w:r>
      <w:r w:rsidRPr="00260C94">
        <w:t xml:space="preserve">Exemption and </w:t>
      </w:r>
      <w:r w:rsidR="00310644">
        <w:t xml:space="preserve">8 </w:t>
      </w:r>
      <w:r w:rsidRPr="00260C94">
        <w:t>Conditional Exemption</w:t>
      </w:r>
      <w:r w:rsidR="00310644">
        <w:t xml:space="preserve"> </w:t>
      </w:r>
      <w:r w:rsidRPr="00260C94">
        <w:t xml:space="preserve">provisions which can be applied by a decision maker when considering </w:t>
      </w:r>
      <w:r w:rsidR="003708C6">
        <w:t>an FOI</w:t>
      </w:r>
      <w:r w:rsidRPr="00260C94">
        <w:t xml:space="preserve"> request. </w:t>
      </w:r>
    </w:p>
    <w:p w14:paraId="65086EF3" w14:textId="52374C92" w:rsidR="00A55836" w:rsidRDefault="00A55836" w:rsidP="00B77D2B">
      <w:r w:rsidRPr="00260C94">
        <w:t>If a requested document meets the criteria of one of the Exemptions provisions</w:t>
      </w:r>
      <w:r w:rsidR="00D50DEE">
        <w:t>,</w:t>
      </w:r>
      <w:r>
        <w:t xml:space="preserve"> </w:t>
      </w:r>
      <w:r w:rsidRPr="00260C94">
        <w:t>an agency can refuse to release it. If a document meets the criteria of a Conditional Exemption provision</w:t>
      </w:r>
      <w:r w:rsidR="00D50DEE">
        <w:t>,</w:t>
      </w:r>
      <w:r w:rsidRPr="00260C94">
        <w:t xml:space="preserve"> the decision maker must apply </w:t>
      </w:r>
      <w:r w:rsidR="00E5333F">
        <w:t>the</w:t>
      </w:r>
      <w:r w:rsidRPr="00260C94">
        <w:t xml:space="preserve"> public interest test. Access cannot be refused simply because a document falls within a </w:t>
      </w:r>
      <w:r w:rsidR="00797C99">
        <w:t>C</w:t>
      </w:r>
      <w:r w:rsidRPr="00260C94">
        <w:t xml:space="preserve">onditional </w:t>
      </w:r>
      <w:r w:rsidR="00797C99">
        <w:t>E</w:t>
      </w:r>
      <w:r w:rsidRPr="00260C94">
        <w:t>xemption provision. It must also be contrary to the public interest to release the document</w:t>
      </w:r>
      <w:r>
        <w:t xml:space="preserve">, </w:t>
      </w:r>
      <w:r w:rsidRPr="00260C94">
        <w:t>otherwise access must be granted. The</w:t>
      </w:r>
      <w:r>
        <w:t xml:space="preserve"> FOI Act is weighted towards disclosure of information and redactions may be applied to parts of a document to enable its partial release. </w:t>
      </w:r>
    </w:p>
    <w:p w14:paraId="0F954702" w14:textId="605950A2" w:rsidR="00A55836" w:rsidRDefault="00A55836" w:rsidP="00B77D2B">
      <w:pPr>
        <w:rPr>
          <w:rFonts w:cstheme="minorBidi"/>
        </w:rPr>
      </w:pPr>
      <w:r w:rsidRPr="5F240E4F">
        <w:rPr>
          <w:rFonts w:cstheme="minorBidi"/>
        </w:rPr>
        <w:t>During the reporting period</w:t>
      </w:r>
      <w:r w:rsidR="008D4010">
        <w:rPr>
          <w:rFonts w:cstheme="minorBidi"/>
        </w:rPr>
        <w:t>,</w:t>
      </w:r>
      <w:r w:rsidRPr="5F240E4F">
        <w:rPr>
          <w:rFonts w:cstheme="minorBidi"/>
        </w:rPr>
        <w:t xml:space="preserve"> the NQF agencies applied Exemptions or Conditional Exemptions provisions to requested documents a total of 103 times. Table 2 of </w:t>
      </w:r>
      <w:r w:rsidRPr="5F240E4F">
        <w:rPr>
          <w:rFonts w:cstheme="minorBidi"/>
          <w:b/>
          <w:bCs/>
        </w:rPr>
        <w:t xml:space="preserve">Attachment </w:t>
      </w:r>
      <w:r w:rsidR="00797C99">
        <w:rPr>
          <w:rFonts w:cstheme="minorBidi"/>
          <w:b/>
          <w:bCs/>
        </w:rPr>
        <w:t>6</w:t>
      </w:r>
      <w:r w:rsidRPr="5F240E4F">
        <w:rPr>
          <w:rFonts w:cstheme="minorBidi"/>
          <w:b/>
          <w:bCs/>
        </w:rPr>
        <w:t xml:space="preserve"> </w:t>
      </w:r>
      <w:r w:rsidRPr="5F240E4F">
        <w:rPr>
          <w:rFonts w:cstheme="minorBidi"/>
        </w:rPr>
        <w:t>details the Exemptions and Conditional Exemptions provisions that were applied and the frequency of their use. It is important to note that more than one Exemption or Conditional Exemption provision may be applied to a document.</w:t>
      </w:r>
    </w:p>
    <w:p w14:paraId="6CD1CC53" w14:textId="0D2A50DC" w:rsidR="00A55836" w:rsidRDefault="00A55836" w:rsidP="00B77D2B">
      <w:r w:rsidRPr="00C21471">
        <w:t>Overall</w:t>
      </w:r>
      <w:r>
        <w:t xml:space="preserve">, </w:t>
      </w:r>
      <w:r w:rsidR="008D4010">
        <w:t xml:space="preserve">3 </w:t>
      </w:r>
      <w:r w:rsidRPr="00C21471">
        <w:t xml:space="preserve">Exemption provisions and </w:t>
      </w:r>
      <w:r w:rsidR="008D4010">
        <w:t xml:space="preserve">4 </w:t>
      </w:r>
      <w:r w:rsidRPr="00C21471">
        <w:t>Conditional Exemption provisions were applied by the agencies</w:t>
      </w:r>
      <w:r w:rsidR="006D15A7">
        <w:t xml:space="preserve"> during the reporting period</w:t>
      </w:r>
      <w:r w:rsidRPr="00C21471">
        <w:t xml:space="preserve">. </w:t>
      </w:r>
    </w:p>
    <w:p w14:paraId="4798799F" w14:textId="5BE22D50" w:rsidR="00A55836" w:rsidRDefault="00A55836" w:rsidP="00B77D2B">
      <w:pPr>
        <w:rPr>
          <w:rFonts w:cstheme="minorBidi"/>
        </w:rPr>
      </w:pPr>
      <w:r w:rsidRPr="5F240E4F">
        <w:rPr>
          <w:rFonts w:cstheme="minorBidi"/>
        </w:rPr>
        <w:t>Of these, the most frequently applied Exemption provision related to “documents containing material obtained in confidence</w:t>
      </w:r>
      <w:r w:rsidR="00753284">
        <w:rPr>
          <w:rFonts w:cstheme="minorBidi"/>
        </w:rPr>
        <w:t>”</w:t>
      </w:r>
      <w:r w:rsidR="00AC4D46">
        <w:rPr>
          <w:rFonts w:cstheme="minorBidi"/>
        </w:rPr>
        <w:t xml:space="preserve">: </w:t>
      </w:r>
      <w:r w:rsidRPr="5F240E4F">
        <w:rPr>
          <w:rFonts w:cstheme="minorBidi"/>
        </w:rPr>
        <w:t>5</w:t>
      </w:r>
      <w:r w:rsidR="00AC4D46">
        <w:rPr>
          <w:rFonts w:cstheme="minorBidi"/>
        </w:rPr>
        <w:t>%</w:t>
      </w:r>
      <w:r w:rsidRPr="5F240E4F">
        <w:rPr>
          <w:rFonts w:cstheme="minorBidi"/>
        </w:rPr>
        <w:t xml:space="preserve"> of the total.  Section 45 of the FOI Act exempts document</w:t>
      </w:r>
      <w:r w:rsidR="005736A4">
        <w:rPr>
          <w:rFonts w:cstheme="minorBidi"/>
        </w:rPr>
        <w:t>s</w:t>
      </w:r>
      <w:r w:rsidRPr="5F240E4F">
        <w:rPr>
          <w:rFonts w:cstheme="minorBidi"/>
        </w:rPr>
        <w:t xml:space="preserve"> from disclosure if </w:t>
      </w:r>
      <w:r w:rsidR="005736A4">
        <w:rPr>
          <w:rFonts w:cstheme="minorBidi"/>
        </w:rPr>
        <w:t>their</w:t>
      </w:r>
      <w:r w:rsidRPr="5F240E4F">
        <w:rPr>
          <w:rFonts w:cstheme="minorBidi"/>
        </w:rPr>
        <w:t xml:space="preserve"> disclosure would </w:t>
      </w:r>
      <w:bookmarkStart w:id="29" w:name="_Int_2hUkQ823"/>
      <w:r w:rsidRPr="5F240E4F">
        <w:rPr>
          <w:rFonts w:cstheme="minorBidi"/>
        </w:rPr>
        <w:t>found</w:t>
      </w:r>
      <w:bookmarkEnd w:id="29"/>
      <w:r w:rsidRPr="5F240E4F">
        <w:rPr>
          <w:rFonts w:cstheme="minorBidi"/>
        </w:rPr>
        <w:t xml:space="preserve"> an action for breach of confidence.</w:t>
      </w:r>
    </w:p>
    <w:p w14:paraId="7A5E6686" w14:textId="063C19C2" w:rsidR="00A55836" w:rsidRPr="00192F5F" w:rsidRDefault="00A55836" w:rsidP="00B77D2B">
      <w:pPr>
        <w:rPr>
          <w:rFonts w:cstheme="minorBidi"/>
        </w:rPr>
      </w:pPr>
      <w:r w:rsidRPr="5F240E4F">
        <w:rPr>
          <w:rFonts w:cstheme="minorBidi"/>
        </w:rPr>
        <w:t>The second most frequently applied Exemption provision related to “documents affecting law enforcement or the protection of public safety”</w:t>
      </w:r>
      <w:r w:rsidR="00E410AD">
        <w:rPr>
          <w:rFonts w:cstheme="minorBidi"/>
        </w:rPr>
        <w:t xml:space="preserve">: </w:t>
      </w:r>
      <w:r w:rsidRPr="5F240E4F">
        <w:rPr>
          <w:rFonts w:cstheme="minorBidi"/>
        </w:rPr>
        <w:t>3</w:t>
      </w:r>
      <w:r w:rsidR="00E410AD">
        <w:rPr>
          <w:rFonts w:cstheme="minorBidi"/>
        </w:rPr>
        <w:t>%</w:t>
      </w:r>
      <w:r w:rsidRPr="5F240E4F">
        <w:rPr>
          <w:rFonts w:cstheme="minorBidi"/>
        </w:rPr>
        <w:t xml:space="preserve"> of the total.</w:t>
      </w:r>
      <w:r w:rsidR="00E410AD">
        <w:rPr>
          <w:rFonts w:cstheme="minorBidi"/>
        </w:rPr>
        <w:t xml:space="preserve"> </w:t>
      </w:r>
      <w:r w:rsidRPr="5F240E4F">
        <w:rPr>
          <w:rFonts w:cstheme="minorBidi"/>
        </w:rPr>
        <w:t xml:space="preserve">Section 37 of the FOI Act applies to documents which, if released, would or could reasonably be expected to affect law enforcement or public safety in any of </w:t>
      </w:r>
      <w:r w:rsidR="00935E7B">
        <w:rPr>
          <w:rFonts w:cstheme="minorBidi"/>
        </w:rPr>
        <w:t>the</w:t>
      </w:r>
      <w:r w:rsidRPr="5F240E4F">
        <w:rPr>
          <w:rFonts w:cstheme="minorBidi"/>
        </w:rPr>
        <w:t xml:space="preserve"> circumstances listed in the section. These include: prejudice the conduct of an investigation of a breach, or possible breach, of the law; prejudice the enforcement, or the proper administration, of the law in a particular instance; endanger the life or physical safety of any person; and prejudice the maintenance or enforcement of lawful methods for the protection of public safety. </w:t>
      </w:r>
    </w:p>
    <w:p w14:paraId="3F718005" w14:textId="7AB43A48" w:rsidR="00A55836" w:rsidRDefault="00A55836" w:rsidP="00B77D2B">
      <w:pPr>
        <w:rPr>
          <w:rFonts w:cstheme="minorBidi"/>
        </w:rPr>
      </w:pPr>
      <w:r w:rsidRPr="78F79D6F">
        <w:rPr>
          <w:rFonts w:cstheme="minorBidi"/>
        </w:rPr>
        <w:t xml:space="preserve">The final Exemption </w:t>
      </w:r>
      <w:r w:rsidR="00257D58">
        <w:rPr>
          <w:rFonts w:cstheme="minorBidi"/>
        </w:rPr>
        <w:t xml:space="preserve">provision </w:t>
      </w:r>
      <w:r w:rsidRPr="78F79D6F">
        <w:rPr>
          <w:rFonts w:cstheme="minorBidi"/>
        </w:rPr>
        <w:t>was for documents subject to “legal professional privilege”</w:t>
      </w:r>
      <w:r w:rsidR="00257D58">
        <w:rPr>
          <w:rFonts w:cstheme="minorBidi"/>
        </w:rPr>
        <w:t>:</w:t>
      </w:r>
      <w:r w:rsidRPr="78F79D6F">
        <w:rPr>
          <w:rFonts w:cstheme="minorBidi"/>
        </w:rPr>
        <w:t xml:space="preserve"> 2</w:t>
      </w:r>
      <w:r w:rsidR="00257D58">
        <w:rPr>
          <w:rFonts w:cstheme="minorBidi"/>
        </w:rPr>
        <w:t xml:space="preserve">% </w:t>
      </w:r>
      <w:r w:rsidRPr="78F79D6F">
        <w:rPr>
          <w:rFonts w:cstheme="minorBidi"/>
        </w:rPr>
        <w:t>of the total). Section 42 of the FOI Act exempts documents from disclosure if they are of such a nature that they would be privileged from production in legal proceedings on the grounds of legal professional privilege. The protection provided by legal professional privilege does not apply to all communications between legal advisers and clients. It is the purpose of the communication, between a lawyer and their client, not the information itself, that is determinative. The document must have been made for the dominant purpose of giving or obtaining legal advice or the provision of legal services, including representation in legal proceedings.</w:t>
      </w:r>
    </w:p>
    <w:p w14:paraId="004919E2" w14:textId="66667C94" w:rsidR="00A55836" w:rsidRPr="008C3E0A" w:rsidRDefault="00A55836" w:rsidP="00B77D2B">
      <w:pPr>
        <w:rPr>
          <w:rFonts w:cstheme="minorBidi"/>
        </w:rPr>
      </w:pPr>
      <w:r w:rsidRPr="5F240E4F">
        <w:rPr>
          <w:rFonts w:cstheme="minorBidi"/>
        </w:rPr>
        <w:t>The most frequently applied Conditional Exemption provision related to “personal privacy”</w:t>
      </w:r>
      <w:r w:rsidR="00B40855">
        <w:rPr>
          <w:rFonts w:cstheme="minorBidi"/>
        </w:rPr>
        <w:t xml:space="preserve">: </w:t>
      </w:r>
      <w:r w:rsidRPr="5F240E4F">
        <w:rPr>
          <w:rFonts w:cstheme="minorBidi"/>
        </w:rPr>
        <w:t>4</w:t>
      </w:r>
      <w:r w:rsidR="004312BB">
        <w:rPr>
          <w:rFonts w:cstheme="minorBidi"/>
        </w:rPr>
        <w:t>4</w:t>
      </w:r>
      <w:r w:rsidR="00B40855">
        <w:rPr>
          <w:rFonts w:cstheme="minorBidi"/>
        </w:rPr>
        <w:t>%</w:t>
      </w:r>
      <w:r w:rsidRPr="5F240E4F">
        <w:rPr>
          <w:rFonts w:cstheme="minorBidi"/>
        </w:rPr>
        <w:t xml:space="preserve"> of the total. Section 47F of the FOI Act conditionally exempts documents where disclosure would involve the unreasonable disclosure of personal information of any person (including a deceased person). This exemption is intended to protect the personal privacy of individuals. Personal information means information or an opinion about an identified individual or an individual who is reasonably identifiable. </w:t>
      </w:r>
    </w:p>
    <w:p w14:paraId="0F72B352" w14:textId="537BCDE4" w:rsidR="00A55836" w:rsidRDefault="00A55836" w:rsidP="00B77D2B">
      <w:pPr>
        <w:rPr>
          <w:rFonts w:cstheme="minorBidi"/>
        </w:rPr>
      </w:pPr>
      <w:r w:rsidRPr="5F240E4F">
        <w:rPr>
          <w:rFonts w:cstheme="minorBidi"/>
        </w:rPr>
        <w:t>The second most frequently applied Conditional Exemption provision related to “certain operations of agencies”</w:t>
      </w:r>
      <w:r w:rsidR="00EA1C9F">
        <w:rPr>
          <w:rFonts w:cstheme="minorBidi"/>
        </w:rPr>
        <w:t xml:space="preserve">: </w:t>
      </w:r>
      <w:r w:rsidRPr="5F240E4F">
        <w:rPr>
          <w:rFonts w:cstheme="minorBidi"/>
        </w:rPr>
        <w:t>2</w:t>
      </w:r>
      <w:r w:rsidR="001522FC">
        <w:rPr>
          <w:rFonts w:cstheme="minorBidi"/>
        </w:rPr>
        <w:t>7</w:t>
      </w:r>
      <w:r w:rsidR="00EA1C9F">
        <w:rPr>
          <w:rFonts w:cstheme="minorBidi"/>
        </w:rPr>
        <w:t>%</w:t>
      </w:r>
      <w:r w:rsidRPr="5F240E4F">
        <w:rPr>
          <w:rFonts w:cstheme="minorBidi"/>
        </w:rPr>
        <w:t xml:space="preserve"> of the total. Section</w:t>
      </w:r>
      <w:r w:rsidR="000C6A6C">
        <w:rPr>
          <w:rFonts w:cstheme="minorBidi"/>
        </w:rPr>
        <w:t> </w:t>
      </w:r>
      <w:r w:rsidRPr="5F240E4F">
        <w:rPr>
          <w:rFonts w:cstheme="minorBidi"/>
        </w:rPr>
        <w:t>47E of the FOI Act conditionally exempts documents from disclosure where such disclosure would, or could reasonably be expected to</w:t>
      </w:r>
      <w:r w:rsidR="00B41B64">
        <w:rPr>
          <w:rFonts w:cstheme="minorBidi"/>
        </w:rPr>
        <w:t>,</w:t>
      </w:r>
      <w:r w:rsidRPr="5F240E4F">
        <w:rPr>
          <w:rFonts w:cstheme="minorBidi"/>
        </w:rPr>
        <w:t xml:space="preserve"> do any of the following: prejudice the effectiveness of procedures or methods for, or the attainment of the objects of, the conduct of tests, examinations or audits by an agency; have a substantial adverse effect on the management or assessment of personnel by an agency; or have a substantial adverse effect on the proper and efficient conduct of the operations of an agency.</w:t>
      </w:r>
    </w:p>
    <w:p w14:paraId="00C6A317" w14:textId="280781C1" w:rsidR="00B201D2" w:rsidRDefault="00A55836" w:rsidP="00B77D2B">
      <w:r w:rsidRPr="337D8009">
        <w:rPr>
          <w:rFonts w:cstheme="minorBidi"/>
        </w:rPr>
        <w:t>The third most frequently applied Conditional Exemption related to “the business affairs of an individual or organisation”</w:t>
      </w:r>
      <w:r w:rsidR="00B8039F">
        <w:rPr>
          <w:rFonts w:cstheme="minorBidi"/>
        </w:rPr>
        <w:t>:</w:t>
      </w:r>
      <w:r w:rsidRPr="337D8009">
        <w:rPr>
          <w:rFonts w:cstheme="minorBidi"/>
        </w:rPr>
        <w:t xml:space="preserve"> 16</w:t>
      </w:r>
      <w:r w:rsidR="00B8039F">
        <w:rPr>
          <w:rFonts w:cstheme="minorBidi"/>
        </w:rPr>
        <w:t>%</w:t>
      </w:r>
      <w:r w:rsidRPr="337D8009">
        <w:rPr>
          <w:rFonts w:cstheme="minorBidi"/>
        </w:rPr>
        <w:t xml:space="preserve"> of the total.  Section 47G of the FOI Act conditionally exempts documents from disclosure where such disclosure </w:t>
      </w:r>
      <w:r w:rsidRPr="337D8009">
        <w:t>“would disclose information concerning a person in respect of his or her business or professional affairs or concerning the business, commercial or financial affairs of an organisation or undertaking...” and the disclosure of the information</w:t>
      </w:r>
      <w:r w:rsidR="00B201D2">
        <w:t>:</w:t>
      </w:r>
      <w:r w:rsidRPr="337D8009">
        <w:t xml:space="preserve"> </w:t>
      </w:r>
    </w:p>
    <w:p w14:paraId="18257923" w14:textId="77777777" w:rsidR="00B201D2" w:rsidRDefault="00A55836" w:rsidP="00B201D2">
      <w:pPr>
        <w:pStyle w:val="ListParagraph"/>
        <w:numPr>
          <w:ilvl w:val="0"/>
          <w:numId w:val="10"/>
        </w:numPr>
      </w:pPr>
      <w:r w:rsidRPr="337D8009">
        <w:t xml:space="preserve">“would or could reasonably be expected to unreasonably affect that person adversely in respect of his or her lawful business or professional affairs or that organisation or undertaking in respect of its lawful business, commercial or financial affairs;” or </w:t>
      </w:r>
    </w:p>
    <w:p w14:paraId="3E55F774" w14:textId="06918845" w:rsidR="00A55836" w:rsidRDefault="00A55836" w:rsidP="00071A97">
      <w:pPr>
        <w:pStyle w:val="ListParagraph"/>
        <w:numPr>
          <w:ilvl w:val="0"/>
          <w:numId w:val="10"/>
        </w:numPr>
      </w:pPr>
      <w:r>
        <w:t>“could reasonably be expected to prejudice the future supply of information to the Commonwealth or an agency.”</w:t>
      </w:r>
    </w:p>
    <w:p w14:paraId="0302FADC" w14:textId="1BCD48F4" w:rsidR="00A55836" w:rsidRDefault="00A55836" w:rsidP="00B77D2B">
      <w:r>
        <w:t>The final Conditional Exemption related to “deliberative processes”</w:t>
      </w:r>
      <w:r w:rsidR="00B201D2">
        <w:t xml:space="preserve">: </w:t>
      </w:r>
      <w:r>
        <w:t>4</w:t>
      </w:r>
      <w:r w:rsidR="00B201D2">
        <w:t>%</w:t>
      </w:r>
      <w:r>
        <w:t xml:space="preserve"> of the total. Section 47C of the FOI Act conditionally exempts documents if their disclosure would disclose </w:t>
      </w:r>
      <w:proofErr w:type="gramStart"/>
      <w:r>
        <w:t>matter in the nature of, or</w:t>
      </w:r>
      <w:proofErr w:type="gramEnd"/>
      <w:r>
        <w:t xml:space="preserve"> relating to, opinion, advice or recommendation obtained, prepared or recorded or consultation or deliberation that has taken place, in the course of, or for the purposes of, the deliberative processes involved in the functions of an agency.</w:t>
      </w:r>
      <w:r w:rsidR="00DF56A3">
        <w:br/>
      </w:r>
    </w:p>
    <w:p w14:paraId="245E8E2F" w14:textId="12C1C413" w:rsidR="00A55836" w:rsidRPr="00366220" w:rsidRDefault="00A55836" w:rsidP="00366220">
      <w:pPr>
        <w:pStyle w:val="Heading2"/>
      </w:pPr>
      <w:bookmarkStart w:id="30" w:name="_Toc160544963"/>
      <w:r w:rsidRPr="00366220">
        <w:t xml:space="preserve">Volume of FOI applications and outcomes over </w:t>
      </w:r>
      <w:r w:rsidR="00B8255B">
        <w:t>3</w:t>
      </w:r>
      <w:r w:rsidRPr="00366220">
        <w:t xml:space="preserve"> years</w:t>
      </w:r>
      <w:bookmarkEnd w:id="30"/>
    </w:p>
    <w:p w14:paraId="4394BE70" w14:textId="3FBB3420" w:rsidR="00EF74AD" w:rsidRDefault="00A55836" w:rsidP="00366220">
      <w:r w:rsidRPr="44FB6EB3">
        <w:t xml:space="preserve">Table 3 in </w:t>
      </w:r>
      <w:r w:rsidRPr="44FB6EB3">
        <w:rPr>
          <w:b/>
          <w:bCs/>
        </w:rPr>
        <w:t xml:space="preserve">Attachment </w:t>
      </w:r>
      <w:r w:rsidR="00797C99">
        <w:rPr>
          <w:b/>
          <w:bCs/>
        </w:rPr>
        <w:t>6</w:t>
      </w:r>
      <w:r w:rsidRPr="44FB6EB3">
        <w:t xml:space="preserve"> provides a snapshot of FOI applications over the </w:t>
      </w:r>
      <w:r w:rsidR="00C23087">
        <w:t>3</w:t>
      </w:r>
      <w:r w:rsidR="00C23087" w:rsidRPr="44FB6EB3">
        <w:t xml:space="preserve"> </w:t>
      </w:r>
      <w:r w:rsidRPr="44FB6EB3">
        <w:t xml:space="preserve">reporting years from </w:t>
      </w:r>
      <w:r w:rsidRPr="00307A2A">
        <w:t>2020</w:t>
      </w:r>
      <w:r w:rsidR="00D876B3" w:rsidRPr="00307A2A">
        <w:t>–2021</w:t>
      </w:r>
      <w:r w:rsidRPr="00307A2A">
        <w:t xml:space="preserve"> to </w:t>
      </w:r>
      <w:r w:rsidR="00D876B3" w:rsidRPr="00307A2A">
        <w:t>2022–2023</w:t>
      </w:r>
      <w:r w:rsidRPr="44FB6EB3">
        <w:t>. There has been an overall 32</w:t>
      </w:r>
      <w:r w:rsidR="007919F7">
        <w:t>%</w:t>
      </w:r>
      <w:r w:rsidRPr="44FB6EB3">
        <w:t xml:space="preserve"> </w:t>
      </w:r>
      <w:r w:rsidRPr="44FB6EB3">
        <w:rPr>
          <w:i/>
          <w:iCs/>
        </w:rPr>
        <w:t xml:space="preserve">increase </w:t>
      </w:r>
      <w:r w:rsidRPr="44FB6EB3">
        <w:t xml:space="preserve">in the number of </w:t>
      </w:r>
      <w:r w:rsidR="007919F7">
        <w:t>requests</w:t>
      </w:r>
      <w:r w:rsidR="007919F7" w:rsidRPr="44FB6EB3">
        <w:t xml:space="preserve"> </w:t>
      </w:r>
      <w:r w:rsidRPr="44FB6EB3">
        <w:rPr>
          <w:i/>
          <w:iCs/>
        </w:rPr>
        <w:t>requiring decision</w:t>
      </w:r>
      <w:r w:rsidRPr="44FB6EB3">
        <w:t xml:space="preserve"> over the </w:t>
      </w:r>
      <w:r w:rsidR="007919F7">
        <w:t>3</w:t>
      </w:r>
      <w:r w:rsidRPr="44FB6EB3">
        <w:t xml:space="preserve">-year period (that is requests </w:t>
      </w:r>
      <w:r w:rsidR="007919F7">
        <w:t>on</w:t>
      </w:r>
      <w:r w:rsidR="007919F7" w:rsidRPr="44FB6EB3">
        <w:t xml:space="preserve"> </w:t>
      </w:r>
      <w:r w:rsidRPr="44FB6EB3">
        <w:t xml:space="preserve">hand from a previous reporting year plus new requests received during the reporting year). However, following the </w:t>
      </w:r>
      <w:r w:rsidR="00C70F0A">
        <w:t>16%</w:t>
      </w:r>
      <w:r w:rsidR="000C6F09">
        <w:t xml:space="preserve"> decrease</w:t>
      </w:r>
      <w:r w:rsidRPr="44FB6EB3">
        <w:t xml:space="preserve"> in the total number of </w:t>
      </w:r>
      <w:r w:rsidRPr="44FB6EB3">
        <w:rPr>
          <w:i/>
          <w:iCs/>
        </w:rPr>
        <w:t xml:space="preserve">new </w:t>
      </w:r>
      <w:r w:rsidRPr="44FB6EB3">
        <w:t xml:space="preserve">FOI requests received by the agencies during the </w:t>
      </w:r>
      <w:r w:rsidR="00C70F0A">
        <w:t>2022–2023</w:t>
      </w:r>
      <w:r w:rsidRPr="44FB6EB3">
        <w:t xml:space="preserve"> reporting period</w:t>
      </w:r>
      <w:r w:rsidR="00E728F1">
        <w:t>,</w:t>
      </w:r>
      <w:r w:rsidRPr="44FB6EB3">
        <w:t xml:space="preserve"> there was a 12</w:t>
      </w:r>
      <w:r w:rsidR="00C70F0A">
        <w:t>%</w:t>
      </w:r>
      <w:r w:rsidRPr="44FB6EB3">
        <w:t xml:space="preserve"> decline </w:t>
      </w:r>
      <w:r w:rsidR="00B14B98">
        <w:t>in the number of</w:t>
      </w:r>
      <w:r w:rsidRPr="44FB6EB3">
        <w:t xml:space="preserve"> </w:t>
      </w:r>
      <w:r w:rsidR="00054A43">
        <w:t>requests</w:t>
      </w:r>
      <w:r w:rsidR="000C6F09">
        <w:t xml:space="preserve"> requiring </w:t>
      </w:r>
      <w:r w:rsidR="00EF74AD">
        <w:t>decision</w:t>
      </w:r>
      <w:r w:rsidRPr="44FB6EB3">
        <w:t xml:space="preserve"> in the current reporting period. </w:t>
      </w:r>
    </w:p>
    <w:p w14:paraId="5A8166C2" w14:textId="78E6CDE8" w:rsidR="00A55836" w:rsidRDefault="00A55836" w:rsidP="00366220">
      <w:r w:rsidRPr="44FB6EB3">
        <w:t xml:space="preserve">ACECQA and the </w:t>
      </w:r>
      <w:r w:rsidRPr="008C3C4E">
        <w:t>ACT</w:t>
      </w:r>
      <w:r w:rsidRPr="44FB6EB3">
        <w:t xml:space="preserve"> have recorded decreases in the number of FOI requests requiring decision over the </w:t>
      </w:r>
      <w:r w:rsidR="00A3384D">
        <w:t>3</w:t>
      </w:r>
      <w:r w:rsidRPr="44FB6EB3">
        <w:t xml:space="preserve">-year period. NSW and Queensland have recorded increases in </w:t>
      </w:r>
      <w:r w:rsidR="00A05416">
        <w:t xml:space="preserve">the number of </w:t>
      </w:r>
      <w:r w:rsidRPr="44FB6EB3">
        <w:t xml:space="preserve">such requests. The Northern Territory, </w:t>
      </w:r>
      <w:r w:rsidR="008558D1">
        <w:t xml:space="preserve">Tasmania, Victoria and </w:t>
      </w:r>
      <w:r w:rsidRPr="44FB6EB3">
        <w:t>Western Australia have recorded little or no change.</w:t>
      </w:r>
    </w:p>
    <w:p w14:paraId="7BDFDA69" w14:textId="77777777" w:rsidR="00366220" w:rsidRPr="00CD1A8C" w:rsidRDefault="00366220" w:rsidP="00366220"/>
    <w:p w14:paraId="31500E79" w14:textId="77777777" w:rsidR="00A55836" w:rsidRPr="0013244E" w:rsidRDefault="00A55836" w:rsidP="00DA4994">
      <w:pPr>
        <w:pStyle w:val="Heading2"/>
      </w:pPr>
      <w:bookmarkStart w:id="31" w:name="_Toc160544964"/>
      <w:r w:rsidRPr="0013244E">
        <w:t>National Education and Care Services Freedom of Information Commissioner Reviews</w:t>
      </w:r>
      <w:bookmarkEnd w:id="31"/>
    </w:p>
    <w:p w14:paraId="6748044F" w14:textId="5B2C80F5" w:rsidR="00A55836" w:rsidRDefault="00A55836" w:rsidP="00366220">
      <w:r w:rsidRPr="001717DC">
        <w:t xml:space="preserve">The </w:t>
      </w:r>
      <w:r w:rsidR="008558D1">
        <w:t>FOI</w:t>
      </w:r>
      <w:r>
        <w:t xml:space="preserve"> Commissioner</w:t>
      </w:r>
      <w:r w:rsidRPr="001717DC">
        <w:t xml:space="preserve"> </w:t>
      </w:r>
      <w:r>
        <w:t xml:space="preserve">has the power to review </w:t>
      </w:r>
      <w:r w:rsidRPr="001717DC">
        <w:t xml:space="preserve">decisions that have been made by </w:t>
      </w:r>
      <w:r>
        <w:t>NQF agencies</w:t>
      </w:r>
      <w:r w:rsidRPr="001717DC">
        <w:t xml:space="preserve"> with respect to </w:t>
      </w:r>
      <w:r w:rsidR="00F21FC6">
        <w:t xml:space="preserve">requests for </w:t>
      </w:r>
      <w:r w:rsidRPr="001717DC">
        <w:t xml:space="preserve">access to documents or </w:t>
      </w:r>
      <w:r w:rsidR="000B7133">
        <w:t>applications</w:t>
      </w:r>
      <w:r w:rsidR="00F21FC6" w:rsidRPr="001717DC">
        <w:t xml:space="preserve"> </w:t>
      </w:r>
      <w:r w:rsidRPr="001717DC">
        <w:t xml:space="preserve">regarding </w:t>
      </w:r>
      <w:r>
        <w:t xml:space="preserve">the </w:t>
      </w:r>
      <w:r w:rsidRPr="001717DC">
        <w:t xml:space="preserve">amendment or annotation </w:t>
      </w:r>
      <w:r w:rsidR="009B4AC1">
        <w:t>of</w:t>
      </w:r>
      <w:r w:rsidRPr="001717DC">
        <w:t xml:space="preserve"> personal </w:t>
      </w:r>
      <w:r w:rsidR="009B4AC1">
        <w:t>information</w:t>
      </w:r>
      <w:r w:rsidRPr="001717DC">
        <w:t xml:space="preserve">. </w:t>
      </w:r>
    </w:p>
    <w:p w14:paraId="50DA280F" w14:textId="5D428E69" w:rsidR="00A55836" w:rsidRPr="00EF5AE9" w:rsidRDefault="00A55836" w:rsidP="00366220">
      <w:pPr>
        <w:rPr>
          <w:rFonts w:cstheme="minorBidi"/>
        </w:rPr>
      </w:pPr>
      <w:r w:rsidRPr="3E6BE518">
        <w:rPr>
          <w:rFonts w:cstheme="minorBidi"/>
        </w:rPr>
        <w:t xml:space="preserve">Four </w:t>
      </w:r>
      <w:r w:rsidR="00F21FC6">
        <w:rPr>
          <w:rFonts w:cstheme="minorBidi"/>
        </w:rPr>
        <w:t>applications</w:t>
      </w:r>
      <w:r w:rsidR="00F21FC6" w:rsidRPr="3E6BE518">
        <w:rPr>
          <w:rFonts w:cstheme="minorBidi"/>
        </w:rPr>
        <w:t xml:space="preserve"> </w:t>
      </w:r>
      <w:r w:rsidRPr="3E6BE518">
        <w:rPr>
          <w:rFonts w:cstheme="minorBidi"/>
        </w:rPr>
        <w:t xml:space="preserve">for FOI Commissioner </w:t>
      </w:r>
      <w:r w:rsidR="00F21FC6">
        <w:rPr>
          <w:rFonts w:cstheme="minorBidi"/>
        </w:rPr>
        <w:t>r</w:t>
      </w:r>
      <w:r w:rsidRPr="3E6BE518">
        <w:rPr>
          <w:rFonts w:cstheme="minorBidi"/>
        </w:rPr>
        <w:t xml:space="preserve">eviews of decisions made by NQF agencies under the FOI Act were received during the reporting period. One request was for review of a decision by an NQF </w:t>
      </w:r>
      <w:r w:rsidR="0024578B">
        <w:rPr>
          <w:rFonts w:cstheme="minorBidi"/>
        </w:rPr>
        <w:t>a</w:t>
      </w:r>
      <w:r w:rsidRPr="3E6BE518">
        <w:rPr>
          <w:rFonts w:cstheme="minorBidi"/>
        </w:rPr>
        <w:t xml:space="preserve">gency not to grant an extension of time to seek internal review. That decision was overturned.  Of the remaining </w:t>
      </w:r>
      <w:r w:rsidR="00814AD8">
        <w:rPr>
          <w:rFonts w:cstheme="minorBidi"/>
        </w:rPr>
        <w:t>3</w:t>
      </w:r>
      <w:r w:rsidR="00814AD8" w:rsidRPr="3E6BE518">
        <w:rPr>
          <w:rFonts w:cstheme="minorBidi"/>
        </w:rPr>
        <w:t xml:space="preserve"> </w:t>
      </w:r>
      <w:r w:rsidRPr="3E6BE518">
        <w:rPr>
          <w:rFonts w:cstheme="minorBidi"/>
        </w:rPr>
        <w:t xml:space="preserve">requests, the Commissioner varied one decision and the other </w:t>
      </w:r>
      <w:r w:rsidR="00DC0C84">
        <w:rPr>
          <w:rFonts w:cstheme="minorBidi"/>
        </w:rPr>
        <w:t>2 </w:t>
      </w:r>
      <w:r w:rsidRPr="3E6BE518">
        <w:rPr>
          <w:rFonts w:cstheme="minorBidi"/>
        </w:rPr>
        <w:t>are yet to be finalised.</w:t>
      </w:r>
    </w:p>
    <w:p w14:paraId="5C3FADBA" w14:textId="41805E9E" w:rsidR="00A55836" w:rsidRPr="00EF5AE9" w:rsidRDefault="00A55836" w:rsidP="00366220">
      <w:pPr>
        <w:rPr>
          <w:rFonts w:cstheme="minorBidi"/>
        </w:rPr>
      </w:pPr>
      <w:r w:rsidRPr="5A58C911">
        <w:rPr>
          <w:rFonts w:cstheme="minorBidi"/>
        </w:rPr>
        <w:t xml:space="preserve">Copies of these decisions will be published on the ECS Commissioners website at </w:t>
      </w:r>
      <w:hyperlink r:id="rId24">
        <w:r w:rsidR="009C6A6E">
          <w:rPr>
            <w:rStyle w:val="Hyperlink"/>
            <w:rFonts w:asciiTheme="minorHAnsi" w:hAnsiTheme="minorHAnsi" w:cstheme="minorBidi"/>
          </w:rPr>
          <w:t>www.necsopic.edu.au</w:t>
        </w:r>
      </w:hyperlink>
      <w:r w:rsidRPr="5A58C911">
        <w:rPr>
          <w:rFonts w:cstheme="minorBidi"/>
        </w:rPr>
        <w:t xml:space="preserve"> </w:t>
      </w:r>
      <w:r w:rsidR="008044EE">
        <w:rPr>
          <w:rFonts w:cstheme="minorBidi"/>
        </w:rPr>
        <w:t>once</w:t>
      </w:r>
      <w:r w:rsidRPr="5A58C911">
        <w:rPr>
          <w:rFonts w:cstheme="minorBidi"/>
        </w:rPr>
        <w:t xml:space="preserve"> all appeal rights have been exhausted. </w:t>
      </w:r>
    </w:p>
    <w:p w14:paraId="11F89017" w14:textId="242EE9FF" w:rsidR="00A55836" w:rsidRDefault="00A55836" w:rsidP="411602C8">
      <w:pPr>
        <w:rPr>
          <w:rFonts w:cstheme="minorBidi"/>
        </w:rPr>
      </w:pPr>
      <w:r w:rsidRPr="411602C8">
        <w:rPr>
          <w:rFonts w:cstheme="minorBidi"/>
        </w:rPr>
        <w:t xml:space="preserve">Parties to </w:t>
      </w:r>
      <w:r w:rsidR="000225A9">
        <w:rPr>
          <w:rFonts w:cstheme="minorBidi"/>
        </w:rPr>
        <w:t>an</w:t>
      </w:r>
      <w:r w:rsidRPr="411602C8">
        <w:rPr>
          <w:rFonts w:cstheme="minorBidi"/>
        </w:rPr>
        <w:t xml:space="preserve"> FOI Commissioner review have the right to appeal the Commissioner’s decision to the relevant administrative appeals tribunal. Each </w:t>
      </w:r>
      <w:r w:rsidR="000C697D" w:rsidRPr="411602C8">
        <w:rPr>
          <w:rFonts w:cstheme="minorBidi"/>
        </w:rPr>
        <w:t xml:space="preserve">relevant </w:t>
      </w:r>
      <w:r w:rsidRPr="411602C8">
        <w:rPr>
          <w:rFonts w:cstheme="minorBidi"/>
        </w:rPr>
        <w:t xml:space="preserve">state and territory </w:t>
      </w:r>
      <w:r w:rsidR="000C697D" w:rsidRPr="411602C8">
        <w:rPr>
          <w:rFonts w:cstheme="minorBidi"/>
        </w:rPr>
        <w:t>tribunal</w:t>
      </w:r>
      <w:r w:rsidRPr="411602C8">
        <w:rPr>
          <w:rFonts w:cstheme="minorBidi"/>
        </w:rPr>
        <w:t xml:space="preserve"> (as listed in </w:t>
      </w:r>
      <w:r w:rsidR="000C697D" w:rsidRPr="411602C8">
        <w:rPr>
          <w:rFonts w:cstheme="minorBidi"/>
        </w:rPr>
        <w:t>r</w:t>
      </w:r>
      <w:r w:rsidRPr="411602C8">
        <w:rPr>
          <w:rFonts w:cstheme="minorBidi"/>
        </w:rPr>
        <w:t xml:space="preserve">egulation 210 of the </w:t>
      </w:r>
      <w:r w:rsidR="000C697D" w:rsidRPr="411602C8">
        <w:rPr>
          <w:rFonts w:cstheme="minorBidi"/>
        </w:rPr>
        <w:t xml:space="preserve">ECS </w:t>
      </w:r>
      <w:r w:rsidRPr="0080151D">
        <w:rPr>
          <w:rFonts w:cstheme="minorBidi"/>
        </w:rPr>
        <w:t>Regulations</w:t>
      </w:r>
      <w:r w:rsidRPr="411602C8">
        <w:rPr>
          <w:rFonts w:cstheme="minorBidi"/>
        </w:rPr>
        <w:t xml:space="preserve">) is required to provide information to the Commissioner on applications received by the </w:t>
      </w:r>
      <w:r w:rsidR="003C11CD" w:rsidRPr="411602C8">
        <w:rPr>
          <w:rFonts w:cstheme="minorBidi"/>
        </w:rPr>
        <w:t>t</w:t>
      </w:r>
      <w:r w:rsidRPr="411602C8">
        <w:rPr>
          <w:rFonts w:cstheme="minorBidi"/>
        </w:rPr>
        <w:t>ribunal for a review of a Commissioner’s decision</w:t>
      </w:r>
      <w:r w:rsidR="70C7A5ED" w:rsidRPr="411602C8">
        <w:rPr>
          <w:rFonts w:cstheme="minorBidi"/>
        </w:rPr>
        <w:t>.</w:t>
      </w:r>
    </w:p>
    <w:p w14:paraId="7E893A74" w14:textId="18FF280B" w:rsidR="00DF56A3" w:rsidRDefault="00A55836" w:rsidP="00366220">
      <w:pPr>
        <w:rPr>
          <w:rFonts w:cstheme="minorBidi"/>
        </w:rPr>
      </w:pPr>
      <w:r w:rsidRPr="5A58C911">
        <w:rPr>
          <w:rFonts w:cstheme="minorBidi"/>
        </w:rPr>
        <w:t xml:space="preserve">No applications for a </w:t>
      </w:r>
      <w:r w:rsidR="003C11CD">
        <w:rPr>
          <w:rFonts w:cstheme="minorBidi"/>
        </w:rPr>
        <w:t>t</w:t>
      </w:r>
      <w:r w:rsidRPr="5A58C911">
        <w:rPr>
          <w:rFonts w:cstheme="minorBidi"/>
        </w:rPr>
        <w:t xml:space="preserve">ribunal review of </w:t>
      </w:r>
      <w:r w:rsidR="00390B96">
        <w:rPr>
          <w:rFonts w:cstheme="minorBidi"/>
        </w:rPr>
        <w:t>an</w:t>
      </w:r>
      <w:r w:rsidRPr="5A58C911">
        <w:rPr>
          <w:rFonts w:cstheme="minorBidi"/>
        </w:rPr>
        <w:t xml:space="preserve"> FOI Commissioner </w:t>
      </w:r>
      <w:r w:rsidR="003C11CD">
        <w:rPr>
          <w:rFonts w:cstheme="minorBidi"/>
        </w:rPr>
        <w:t>r</w:t>
      </w:r>
      <w:r w:rsidRPr="5A58C911">
        <w:rPr>
          <w:rFonts w:cstheme="minorBidi"/>
        </w:rPr>
        <w:t xml:space="preserve">eview </w:t>
      </w:r>
      <w:r w:rsidR="003C11CD">
        <w:rPr>
          <w:rFonts w:cstheme="minorBidi"/>
        </w:rPr>
        <w:t>d</w:t>
      </w:r>
      <w:r w:rsidRPr="5A58C911">
        <w:rPr>
          <w:rFonts w:cstheme="minorBidi"/>
        </w:rPr>
        <w:t xml:space="preserve">ecision were reported for the period. </w:t>
      </w:r>
    </w:p>
    <w:p w14:paraId="5B021615" w14:textId="34ED2B79" w:rsidR="00A55836" w:rsidRPr="00EE2944" w:rsidRDefault="001008E3" w:rsidP="00366220">
      <w:pPr>
        <w:rPr>
          <w:rFonts w:cstheme="minorBidi"/>
        </w:rPr>
      </w:pPr>
      <w:r>
        <w:rPr>
          <w:rFonts w:cstheme="minorBidi"/>
        </w:rPr>
        <w:br w:type="column"/>
      </w:r>
    </w:p>
    <w:p w14:paraId="64E733B4" w14:textId="17D577A8" w:rsidR="00A55836" w:rsidRPr="00E503DE" w:rsidRDefault="00A55836" w:rsidP="00A55836">
      <w:pPr>
        <w:pStyle w:val="Heading1"/>
        <w:shd w:val="clear" w:color="auto" w:fill="B8CCE4" w:themeFill="accent1" w:themeFillTint="66"/>
        <w:spacing w:after="240"/>
        <w:rPr>
          <w:rFonts w:eastAsia="Times New Roman" w:cstheme="minorBidi"/>
          <w:b/>
          <w:bCs/>
          <w:color w:val="auto"/>
          <w:sz w:val="20"/>
          <w:szCs w:val="20"/>
        </w:rPr>
      </w:pPr>
      <w:bookmarkStart w:id="32" w:name="_Toc160544965"/>
      <w:r w:rsidRPr="590D3B52">
        <w:rPr>
          <w:rFonts w:cstheme="minorBidi"/>
          <w:b/>
          <w:bCs/>
        </w:rPr>
        <w:t>Audited Financial Report and Budget</w:t>
      </w:r>
      <w:bookmarkEnd w:id="32"/>
      <w:r w:rsidRPr="590D3B52">
        <w:rPr>
          <w:rFonts w:cstheme="minorBidi"/>
          <w:b/>
          <w:bCs/>
        </w:rPr>
        <w:t xml:space="preserve"> </w:t>
      </w:r>
    </w:p>
    <w:p w14:paraId="5B5200FB" w14:textId="3B842F73" w:rsidR="00A55836" w:rsidRPr="00366220" w:rsidRDefault="00A55836" w:rsidP="00366220">
      <w:r w:rsidRPr="5A58C911">
        <w:t>The annual budget for the ECS office was $200,000 for the reporting period. The financial report for 2022</w:t>
      </w:r>
      <w:r w:rsidR="0082591B">
        <w:t>–</w:t>
      </w:r>
      <w:r w:rsidRPr="5A58C911">
        <w:t xml:space="preserve">2023 has been prepared by auditors PKF Melbourne and the audit statement is at </w:t>
      </w:r>
      <w:r w:rsidRPr="5A58C911">
        <w:rPr>
          <w:b/>
          <w:bCs/>
        </w:rPr>
        <w:t>Attachment 5</w:t>
      </w:r>
      <w:r w:rsidR="00192DEB" w:rsidRPr="00192DEB">
        <w:t xml:space="preserve"> to this Report</w:t>
      </w:r>
      <w:r w:rsidRPr="00192DEB">
        <w:t>.</w:t>
      </w:r>
      <w:r w:rsidRPr="5A58C911">
        <w:rPr>
          <w:b/>
          <w:bCs/>
        </w:rPr>
        <w:t xml:space="preserve"> </w:t>
      </w:r>
      <w:r w:rsidRPr="5A58C911">
        <w:t>PKF are also the auditors for Education Services Australia.</w:t>
      </w:r>
    </w:p>
    <w:p w14:paraId="73FC821C" w14:textId="77777777" w:rsidR="00A55836" w:rsidRPr="00755CD5" w:rsidRDefault="00A55836" w:rsidP="00366220">
      <w:pPr>
        <w:rPr>
          <w:b/>
          <w:bCs/>
        </w:rPr>
      </w:pPr>
      <w:r w:rsidRPr="5A58C911">
        <w:t xml:space="preserve">The office has continued to operate within a tight annual budget over the past 7 years and has maintained a small but diminishing surplus over that time. </w:t>
      </w:r>
    </w:p>
    <w:p w14:paraId="68B4451A" w14:textId="07CAFB8F" w:rsidR="002E4517" w:rsidRDefault="00A55836" w:rsidP="00366220">
      <w:r w:rsidRPr="3E6BE518">
        <w:t xml:space="preserve">Salary and on costs, legal fees and </w:t>
      </w:r>
      <w:r w:rsidR="00D93FBF">
        <w:t>the service fee</w:t>
      </w:r>
      <w:r w:rsidR="001D3A9A">
        <w:t xml:space="preserve"> payable to ESA</w:t>
      </w:r>
      <w:r w:rsidRPr="3E6BE518">
        <w:t xml:space="preserve"> remain the bulk of the office costs. Legal costs </w:t>
      </w:r>
      <w:proofErr w:type="gramStart"/>
      <w:r w:rsidRPr="3E6BE518">
        <w:t>in particular have</w:t>
      </w:r>
      <w:proofErr w:type="gramEnd"/>
      <w:r w:rsidRPr="3E6BE518">
        <w:t xml:space="preserve"> escalated during the reporting period due to an increase in the need for external legal advice in relation to matters before the Commissioners. The office does not have internal legal support. Increases in salary costs reflect an increase in the hours worked by the Commissioners and the engagement of additional staff at the end of 2022. </w:t>
      </w:r>
    </w:p>
    <w:p w14:paraId="73319EFB" w14:textId="77777777" w:rsidR="002E4517" w:rsidRDefault="002E4517" w:rsidP="00366220"/>
    <w:p w14:paraId="39185FB6" w14:textId="77777777" w:rsidR="002E4517" w:rsidRDefault="002E4517" w:rsidP="00366220">
      <w:pPr>
        <w:sectPr w:rsidR="002E4517" w:rsidSect="00512E04">
          <w:footerReference w:type="even" r:id="rId25"/>
          <w:footerReference w:type="default" r:id="rId26"/>
          <w:headerReference w:type="first" r:id="rId27"/>
          <w:pgSz w:w="11907" w:h="16840" w:code="9"/>
          <w:pgMar w:top="1134" w:right="1080" w:bottom="1701" w:left="1080" w:header="709" w:footer="496" w:gutter="0"/>
          <w:cols w:num="2" w:space="708"/>
          <w:docGrid w:linePitch="360"/>
        </w:sectPr>
      </w:pPr>
    </w:p>
    <w:p w14:paraId="212E5C78" w14:textId="69F10AEE" w:rsidR="00A55836" w:rsidRPr="0013244E" w:rsidRDefault="00A55836" w:rsidP="0013244E">
      <w:pPr>
        <w:pStyle w:val="Heading1"/>
        <w:shd w:val="clear" w:color="auto" w:fill="B8CCE4" w:themeFill="accent1" w:themeFillTint="66"/>
        <w:spacing w:after="240"/>
        <w:rPr>
          <w:rFonts w:cstheme="minorBidi"/>
          <w:b/>
          <w:bCs/>
        </w:rPr>
      </w:pPr>
      <w:bookmarkStart w:id="33" w:name="_Toc160544966"/>
      <w:r w:rsidRPr="0013244E">
        <w:rPr>
          <w:rFonts w:cstheme="minorBidi"/>
          <w:b/>
          <w:bCs/>
        </w:rPr>
        <w:t>A</w:t>
      </w:r>
      <w:r w:rsidR="00612488" w:rsidRPr="0013244E">
        <w:rPr>
          <w:rFonts w:cstheme="minorBidi"/>
          <w:b/>
          <w:bCs/>
        </w:rPr>
        <w:t>ttachments</w:t>
      </w:r>
      <w:bookmarkEnd w:id="33"/>
    </w:p>
    <w:p w14:paraId="134249F3" w14:textId="77777777" w:rsidR="00953693" w:rsidRDefault="00953693" w:rsidP="00953693">
      <w:bookmarkStart w:id="34" w:name="_Toc49076695"/>
      <w:bookmarkStart w:id="35" w:name="_Hlk148090199"/>
    </w:p>
    <w:p w14:paraId="734F9BDB" w14:textId="0097572A" w:rsidR="00A55836" w:rsidRPr="001B6002" w:rsidRDefault="001B6002" w:rsidP="00953693">
      <w:pPr>
        <w:rPr>
          <w:rStyle w:val="Hyperlink"/>
          <w:lang w:val="en-US"/>
        </w:rPr>
      </w:pPr>
      <w:r>
        <w:fldChar w:fldCharType="begin"/>
      </w:r>
      <w:r>
        <w:instrText>HYPERLINK  \l "_State_and_Territory"</w:instrText>
      </w:r>
      <w:r>
        <w:fldChar w:fldCharType="separate"/>
      </w:r>
      <w:r w:rsidR="00A55836" w:rsidRPr="001B6002">
        <w:rPr>
          <w:rStyle w:val="Hyperlink"/>
        </w:rPr>
        <w:t xml:space="preserve">Attachment 1: </w:t>
      </w:r>
      <w:bookmarkEnd w:id="34"/>
      <w:r w:rsidR="00A55836" w:rsidRPr="001B6002">
        <w:rPr>
          <w:rStyle w:val="Hyperlink"/>
        </w:rPr>
        <w:t>State and</w:t>
      </w:r>
      <w:r w:rsidR="00A55836" w:rsidRPr="001B6002">
        <w:rPr>
          <w:rStyle w:val="Hyperlink"/>
          <w:lang w:val="en-US"/>
        </w:rPr>
        <w:t xml:space="preserve"> Territory Regulatory Authorities and administrative units </w:t>
      </w:r>
    </w:p>
    <w:bookmarkEnd w:id="35"/>
    <w:p w14:paraId="501B2136" w14:textId="6D5ECCEC" w:rsidR="00A55836" w:rsidRDefault="001B6002" w:rsidP="00953693">
      <w:pPr>
        <w:rPr>
          <w:lang w:val="en-US"/>
        </w:rPr>
      </w:pPr>
      <w:r>
        <w:fldChar w:fldCharType="end"/>
      </w:r>
    </w:p>
    <w:p w14:paraId="3BD5E9D0" w14:textId="7E24FE7F" w:rsidR="00A55836" w:rsidRDefault="00981F63" w:rsidP="00953693">
      <w:pPr>
        <w:rPr>
          <w:lang w:val="en-US"/>
        </w:rPr>
      </w:pPr>
      <w:hyperlink w:anchor="_Guideline_adopting_parts" w:history="1">
        <w:r w:rsidR="0074620D">
          <w:rPr>
            <w:rStyle w:val="Hyperlink"/>
            <w:lang w:val="en-US"/>
          </w:rPr>
          <w:t xml:space="preserve">Attachment 2: Guideline adopting parts of the Australian Information Commissioner Australian Privacy Principles Guidelines </w:t>
        </w:r>
        <w:proofErr w:type="gramStart"/>
        <w:r w:rsidR="0074620D">
          <w:rPr>
            <w:rStyle w:val="Hyperlink"/>
            <w:lang w:val="en-US"/>
          </w:rPr>
          <w:t>at</w:t>
        </w:r>
        <w:proofErr w:type="gramEnd"/>
        <w:r w:rsidR="0074620D">
          <w:rPr>
            <w:rStyle w:val="Hyperlink"/>
            <w:lang w:val="en-US"/>
          </w:rPr>
          <w:t xml:space="preserve"> 30 June 2023</w:t>
        </w:r>
      </w:hyperlink>
    </w:p>
    <w:p w14:paraId="18779832" w14:textId="77777777" w:rsidR="00A55836" w:rsidRPr="0064465E" w:rsidRDefault="00A55836" w:rsidP="00953693">
      <w:pPr>
        <w:rPr>
          <w:lang w:val="en-US"/>
        </w:rPr>
      </w:pPr>
    </w:p>
    <w:p w14:paraId="3F168284" w14:textId="1A2C510F" w:rsidR="00A55836" w:rsidRDefault="00981F63" w:rsidP="00953693">
      <w:pPr>
        <w:rPr>
          <w:lang w:val="en-US"/>
        </w:rPr>
      </w:pPr>
      <w:hyperlink w:anchor="_Instrument_adopting_parts" w:history="1">
        <w:r w:rsidR="00AC2478">
          <w:rPr>
            <w:rStyle w:val="Hyperlink"/>
            <w:lang w:val="en-US"/>
          </w:rPr>
          <w:t xml:space="preserve">Attachment 3: Instrument adopting </w:t>
        </w:r>
        <w:r w:rsidR="0046338A">
          <w:rPr>
            <w:rStyle w:val="Hyperlink"/>
            <w:lang w:val="en-US"/>
          </w:rPr>
          <w:t xml:space="preserve">parts of </w:t>
        </w:r>
        <w:r w:rsidR="00AC2478">
          <w:rPr>
            <w:rStyle w:val="Hyperlink"/>
            <w:lang w:val="en-US"/>
          </w:rPr>
          <w:t xml:space="preserve">the </w:t>
        </w:r>
        <w:r w:rsidR="00303E30">
          <w:rPr>
            <w:rStyle w:val="Hyperlink"/>
            <w:lang w:val="en-US"/>
          </w:rPr>
          <w:t xml:space="preserve">Australian Information Commissioner </w:t>
        </w:r>
        <w:r w:rsidR="00AC2478">
          <w:rPr>
            <w:rStyle w:val="Hyperlink"/>
            <w:lang w:val="en-US"/>
          </w:rPr>
          <w:t xml:space="preserve">Freedom of Information Guidelines </w:t>
        </w:r>
        <w:proofErr w:type="gramStart"/>
        <w:r w:rsidR="00AC2478">
          <w:rPr>
            <w:rStyle w:val="Hyperlink"/>
            <w:lang w:val="en-US"/>
          </w:rPr>
          <w:t>at</w:t>
        </w:r>
        <w:proofErr w:type="gramEnd"/>
        <w:r w:rsidR="00AC2478">
          <w:rPr>
            <w:rStyle w:val="Hyperlink"/>
            <w:lang w:val="en-US"/>
          </w:rPr>
          <w:t xml:space="preserve"> 30 June 2023</w:t>
        </w:r>
      </w:hyperlink>
    </w:p>
    <w:p w14:paraId="5D99DF50" w14:textId="77777777" w:rsidR="00A55836" w:rsidRPr="00777868" w:rsidRDefault="00A55836" w:rsidP="00953693">
      <w:pPr>
        <w:rPr>
          <w:lang w:val="en-US"/>
        </w:rPr>
      </w:pPr>
    </w:p>
    <w:p w14:paraId="7318E656" w14:textId="73AF4C82" w:rsidR="00A55836" w:rsidRDefault="00981F63" w:rsidP="00953693">
      <w:pPr>
        <w:rPr>
          <w:lang w:val="en-US"/>
        </w:rPr>
      </w:pPr>
      <w:hyperlink w:anchor="_Strategic_Plan" w:history="1">
        <w:r w:rsidR="00A55836" w:rsidRPr="00E64C1F">
          <w:rPr>
            <w:rStyle w:val="Hyperlink"/>
            <w:lang w:val="en-US"/>
          </w:rPr>
          <w:t>Attachment 4: Strategic Plan 2021</w:t>
        </w:r>
        <w:r w:rsidR="0006750B">
          <w:rPr>
            <w:rStyle w:val="Hyperlink"/>
            <w:lang w:val="en-US"/>
          </w:rPr>
          <w:t>–</w:t>
        </w:r>
        <w:r w:rsidR="00A55836" w:rsidRPr="00E64C1F">
          <w:rPr>
            <w:rStyle w:val="Hyperlink"/>
            <w:lang w:val="en-US"/>
          </w:rPr>
          <w:t>2024</w:t>
        </w:r>
      </w:hyperlink>
    </w:p>
    <w:p w14:paraId="1D496F20" w14:textId="77777777" w:rsidR="00A55836" w:rsidRDefault="00A55836" w:rsidP="00953693">
      <w:pPr>
        <w:rPr>
          <w:lang w:val="en-US"/>
        </w:rPr>
      </w:pPr>
    </w:p>
    <w:p w14:paraId="2538D819" w14:textId="79629C54" w:rsidR="00A55836" w:rsidRDefault="00981F63" w:rsidP="00953693">
      <w:pPr>
        <w:rPr>
          <w:lang w:val="en-US"/>
        </w:rPr>
      </w:pPr>
      <w:hyperlink w:anchor="_Audited_Financial_Report" w:history="1">
        <w:r w:rsidR="00A55836" w:rsidRPr="00EA6B26">
          <w:rPr>
            <w:rStyle w:val="Hyperlink"/>
            <w:lang w:val="en-US"/>
          </w:rPr>
          <w:t>Attachment 5: Audited Financial Report 202</w:t>
        </w:r>
        <w:r w:rsidR="00EA6B26" w:rsidRPr="00EA6B26">
          <w:rPr>
            <w:rStyle w:val="Hyperlink"/>
            <w:lang w:val="en-US"/>
          </w:rPr>
          <w:t>2</w:t>
        </w:r>
        <w:r w:rsidR="0006750B">
          <w:rPr>
            <w:rStyle w:val="Hyperlink"/>
            <w:lang w:val="en-US"/>
          </w:rPr>
          <w:t>–</w:t>
        </w:r>
        <w:r w:rsidR="00A55836" w:rsidRPr="00EA6B26">
          <w:rPr>
            <w:rStyle w:val="Hyperlink"/>
            <w:lang w:val="en-US"/>
          </w:rPr>
          <w:t>202</w:t>
        </w:r>
        <w:r w:rsidR="00EA6B26" w:rsidRPr="00EA6B26">
          <w:rPr>
            <w:rStyle w:val="Hyperlink"/>
            <w:lang w:val="en-US"/>
          </w:rPr>
          <w:t>3</w:t>
        </w:r>
      </w:hyperlink>
      <w:r w:rsidR="00A55836" w:rsidRPr="590D3B52">
        <w:rPr>
          <w:lang w:val="en-US"/>
        </w:rPr>
        <w:t xml:space="preserve"> </w:t>
      </w:r>
    </w:p>
    <w:p w14:paraId="10C6F6C6" w14:textId="77777777" w:rsidR="00A55836" w:rsidRDefault="00A55836" w:rsidP="00953693">
      <w:pPr>
        <w:rPr>
          <w:lang w:val="en-US"/>
        </w:rPr>
      </w:pPr>
    </w:p>
    <w:p w14:paraId="3BF5CC8B" w14:textId="2DBA24A4" w:rsidR="00A55836" w:rsidRDefault="00981F63" w:rsidP="00953693">
      <w:pPr>
        <w:rPr>
          <w:lang w:val="en-US"/>
        </w:rPr>
      </w:pPr>
      <w:hyperlink w:anchor="_Freedom_of_Information" w:history="1">
        <w:r w:rsidR="00A55836" w:rsidRPr="00043492">
          <w:rPr>
            <w:rStyle w:val="Hyperlink"/>
            <w:lang w:val="en-US"/>
          </w:rPr>
          <w:t>Attachment 6: ACECQA and Regulatory Authorities’ Freedom of Information Data Summary</w:t>
        </w:r>
      </w:hyperlink>
    </w:p>
    <w:p w14:paraId="5FB4B654" w14:textId="77777777" w:rsidR="00A55836" w:rsidRDefault="00A55836" w:rsidP="00953693">
      <w:pPr>
        <w:rPr>
          <w:lang w:val="en-US"/>
        </w:rPr>
      </w:pPr>
    </w:p>
    <w:p w14:paraId="32C39972" w14:textId="77777777" w:rsidR="00A55836" w:rsidRPr="00665355" w:rsidRDefault="00A55836" w:rsidP="00953693"/>
    <w:p w14:paraId="14E27798" w14:textId="77777777" w:rsidR="00A55836" w:rsidRDefault="00A55836" w:rsidP="00953693">
      <w:pPr>
        <w:sectPr w:rsidR="00A55836" w:rsidSect="00512E04">
          <w:pgSz w:w="11907" w:h="16840" w:code="9"/>
          <w:pgMar w:top="1440" w:right="1080" w:bottom="1440" w:left="1080" w:header="709" w:footer="709" w:gutter="0"/>
          <w:pgNumType w:start="13"/>
          <w:cols w:space="708"/>
          <w:docGrid w:linePitch="360"/>
        </w:sectPr>
      </w:pPr>
    </w:p>
    <w:p w14:paraId="66E75CFE" w14:textId="61552062" w:rsidR="00FB6A88" w:rsidRPr="00953693" w:rsidRDefault="00FB6A88" w:rsidP="002253A8">
      <w:pPr>
        <w:pStyle w:val="Heading2"/>
      </w:pPr>
      <w:bookmarkStart w:id="36" w:name="_State_and_Territory"/>
      <w:bookmarkStart w:id="37" w:name="_Toc160544967"/>
      <w:bookmarkEnd w:id="36"/>
      <w:r w:rsidRPr="002253A8">
        <w:rPr>
          <w:sz w:val="32"/>
          <w:szCs w:val="32"/>
        </w:rPr>
        <w:t>State and Territory Regulatory Authorities and administrative units</w:t>
      </w:r>
      <w:bookmarkEnd w:id="37"/>
      <w:r w:rsidRPr="00953693">
        <w:br/>
      </w:r>
    </w:p>
    <w:tbl>
      <w:tblPr>
        <w:tblStyle w:val="GridTable4-Accent1"/>
        <w:tblW w:w="0" w:type="auto"/>
        <w:tblLayout w:type="fixed"/>
        <w:tblLook w:val="04A0" w:firstRow="1" w:lastRow="0" w:firstColumn="1" w:lastColumn="0" w:noHBand="0" w:noVBand="1"/>
      </w:tblPr>
      <w:tblGrid>
        <w:gridCol w:w="1245"/>
        <w:gridCol w:w="2490"/>
        <w:gridCol w:w="2985"/>
        <w:gridCol w:w="2985"/>
      </w:tblGrid>
      <w:tr w:rsidR="00D57C08" w:rsidRPr="00D57C08" w14:paraId="737BEDBB" w14:textId="77777777" w:rsidTr="00060AF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tcBorders>
              <w:top w:val="single" w:sz="8" w:space="0" w:color="auto"/>
              <w:left w:val="single" w:sz="8" w:space="0" w:color="auto"/>
              <w:bottom w:val="single" w:sz="8" w:space="0" w:color="auto"/>
              <w:right w:val="single" w:sz="8" w:space="0" w:color="auto"/>
            </w:tcBorders>
            <w:shd w:val="clear" w:color="auto" w:fill="95B3D7" w:themeFill="accent1" w:themeFillTint="99"/>
            <w:tcMar>
              <w:left w:w="105" w:type="dxa"/>
              <w:right w:w="105" w:type="dxa"/>
            </w:tcMar>
          </w:tcPr>
          <w:p w14:paraId="1C557964" w14:textId="77777777" w:rsidR="00A55836" w:rsidRPr="00D57C08" w:rsidRDefault="00A55836" w:rsidP="00C66290">
            <w:pPr>
              <w:spacing w:line="259" w:lineRule="auto"/>
              <w:rPr>
                <w:rFonts w:eastAsia="Calibri" w:cs="Calibri"/>
                <w:color w:val="auto"/>
                <w:sz w:val="20"/>
                <w:szCs w:val="20"/>
              </w:rPr>
            </w:pPr>
            <w:r w:rsidRPr="00D57C08">
              <w:rPr>
                <w:rFonts w:eastAsia="Calibri" w:cs="Calibri"/>
                <w:color w:val="auto"/>
                <w:sz w:val="20"/>
                <w:szCs w:val="20"/>
              </w:rPr>
              <w:t>Jurisdiction</w:t>
            </w:r>
          </w:p>
        </w:tc>
        <w:tc>
          <w:tcPr>
            <w:tcW w:w="2490" w:type="dxa"/>
            <w:tcBorders>
              <w:top w:val="single" w:sz="8" w:space="0" w:color="auto"/>
              <w:left w:val="single" w:sz="8" w:space="0" w:color="auto"/>
              <w:bottom w:val="single" w:sz="8" w:space="0" w:color="auto"/>
              <w:right w:val="single" w:sz="8" w:space="0" w:color="auto"/>
            </w:tcBorders>
            <w:shd w:val="clear" w:color="auto" w:fill="95B3D7" w:themeFill="accent1" w:themeFillTint="99"/>
            <w:tcMar>
              <w:left w:w="105" w:type="dxa"/>
              <w:right w:w="105" w:type="dxa"/>
            </w:tcMar>
          </w:tcPr>
          <w:p w14:paraId="161EA69B" w14:textId="77777777" w:rsidR="00A55836" w:rsidRPr="00D57C08" w:rsidRDefault="00A55836" w:rsidP="00C66290">
            <w:pPr>
              <w:spacing w:line="259" w:lineRule="auto"/>
              <w:cnfStyle w:val="100000000000" w:firstRow="1" w:lastRow="0" w:firstColumn="0" w:lastColumn="0" w:oddVBand="0" w:evenVBand="0" w:oddHBand="0" w:evenHBand="0" w:firstRowFirstColumn="0" w:firstRowLastColumn="0" w:lastRowFirstColumn="0" w:lastRowLastColumn="0"/>
              <w:rPr>
                <w:rFonts w:eastAsia="Calibri" w:cs="Calibri"/>
                <w:b w:val="0"/>
                <w:bCs w:val="0"/>
                <w:color w:val="auto"/>
                <w:sz w:val="20"/>
                <w:szCs w:val="20"/>
              </w:rPr>
            </w:pPr>
            <w:r w:rsidRPr="00D57C08">
              <w:rPr>
                <w:rFonts w:eastAsia="Calibri" w:cs="Calibri"/>
                <w:color w:val="auto"/>
                <w:sz w:val="20"/>
                <w:szCs w:val="20"/>
              </w:rPr>
              <w:t>State/territory National Law/Application Acts</w:t>
            </w:r>
          </w:p>
        </w:tc>
        <w:tc>
          <w:tcPr>
            <w:tcW w:w="2985" w:type="dxa"/>
            <w:tcBorders>
              <w:top w:val="single" w:sz="8" w:space="0" w:color="auto"/>
              <w:left w:val="single" w:sz="8" w:space="0" w:color="auto"/>
              <w:bottom w:val="single" w:sz="8" w:space="0" w:color="auto"/>
              <w:right w:val="single" w:sz="8" w:space="0" w:color="auto"/>
            </w:tcBorders>
            <w:shd w:val="clear" w:color="auto" w:fill="95B3D7" w:themeFill="accent1" w:themeFillTint="99"/>
            <w:tcMar>
              <w:left w:w="105" w:type="dxa"/>
              <w:right w:w="105" w:type="dxa"/>
            </w:tcMar>
          </w:tcPr>
          <w:p w14:paraId="30EA4168" w14:textId="77777777" w:rsidR="00A55836" w:rsidRPr="00D57C08" w:rsidRDefault="00A55836" w:rsidP="00C66290">
            <w:pPr>
              <w:spacing w:line="259" w:lineRule="auto"/>
              <w:cnfStyle w:val="100000000000" w:firstRow="1" w:lastRow="0" w:firstColumn="0" w:lastColumn="0" w:oddVBand="0" w:evenVBand="0" w:oddHBand="0" w:evenHBand="0" w:firstRowFirstColumn="0" w:firstRowLastColumn="0" w:lastRowFirstColumn="0" w:lastRowLastColumn="0"/>
              <w:rPr>
                <w:rFonts w:eastAsia="Calibri" w:cs="Calibri"/>
                <w:b w:val="0"/>
                <w:bCs w:val="0"/>
                <w:color w:val="auto"/>
                <w:sz w:val="20"/>
                <w:szCs w:val="20"/>
              </w:rPr>
            </w:pPr>
            <w:r w:rsidRPr="00D57C08">
              <w:rPr>
                <w:rFonts w:eastAsia="Calibri" w:cs="Calibri"/>
                <w:color w:val="auto"/>
                <w:sz w:val="20"/>
                <w:szCs w:val="20"/>
              </w:rPr>
              <w:t>Section of state/territory legislation defining the Regulatory Authority for the purposes of the National Law</w:t>
            </w:r>
          </w:p>
          <w:p w14:paraId="25DBF5FE" w14:textId="77777777" w:rsidR="00A55836" w:rsidRPr="00D57C08" w:rsidRDefault="00A55836" w:rsidP="00C66290">
            <w:pPr>
              <w:spacing w:line="259" w:lineRule="auto"/>
              <w:cnfStyle w:val="100000000000" w:firstRow="1" w:lastRow="0" w:firstColumn="0" w:lastColumn="0" w:oddVBand="0" w:evenVBand="0" w:oddHBand="0" w:evenHBand="0" w:firstRowFirstColumn="0" w:firstRowLastColumn="0" w:lastRowFirstColumn="0" w:lastRowLastColumn="0"/>
              <w:rPr>
                <w:rFonts w:eastAsia="Calibri" w:cs="Calibri"/>
                <w:b w:val="0"/>
                <w:bCs w:val="0"/>
                <w:color w:val="auto"/>
                <w:sz w:val="20"/>
                <w:szCs w:val="20"/>
              </w:rPr>
            </w:pPr>
          </w:p>
        </w:tc>
        <w:tc>
          <w:tcPr>
            <w:tcW w:w="2985" w:type="dxa"/>
            <w:tcBorders>
              <w:top w:val="single" w:sz="8" w:space="0" w:color="auto"/>
              <w:left w:val="single" w:sz="8" w:space="0" w:color="auto"/>
              <w:bottom w:val="single" w:sz="8" w:space="0" w:color="auto"/>
              <w:right w:val="single" w:sz="8" w:space="0" w:color="auto"/>
            </w:tcBorders>
            <w:shd w:val="clear" w:color="auto" w:fill="95B3D7" w:themeFill="accent1" w:themeFillTint="99"/>
            <w:tcMar>
              <w:left w:w="105" w:type="dxa"/>
              <w:right w:w="105" w:type="dxa"/>
            </w:tcMar>
          </w:tcPr>
          <w:p w14:paraId="0278E87E" w14:textId="77777777" w:rsidR="00A55836" w:rsidRPr="00D57C08" w:rsidRDefault="00A55836" w:rsidP="00C66290">
            <w:pPr>
              <w:spacing w:line="259" w:lineRule="auto"/>
              <w:cnfStyle w:val="100000000000" w:firstRow="1" w:lastRow="0" w:firstColumn="0" w:lastColumn="0" w:oddVBand="0" w:evenVBand="0" w:oddHBand="0" w:evenHBand="0" w:firstRowFirstColumn="0" w:firstRowLastColumn="0" w:lastRowFirstColumn="0" w:lastRowLastColumn="0"/>
              <w:rPr>
                <w:rFonts w:eastAsia="Calibri" w:cs="Calibri"/>
                <w:b w:val="0"/>
                <w:bCs w:val="0"/>
                <w:color w:val="auto"/>
                <w:sz w:val="20"/>
                <w:szCs w:val="20"/>
              </w:rPr>
            </w:pPr>
            <w:r w:rsidRPr="00D57C08">
              <w:rPr>
                <w:rFonts w:eastAsia="Calibri" w:cs="Calibri"/>
                <w:color w:val="auto"/>
                <w:sz w:val="20"/>
                <w:szCs w:val="20"/>
              </w:rPr>
              <w:t>Regulatory Authority administrative units</w:t>
            </w:r>
          </w:p>
        </w:tc>
      </w:tr>
      <w:tr w:rsidR="00A55836" w14:paraId="0F820572" w14:textId="77777777" w:rsidTr="00D57C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tcBorders>
              <w:top w:val="single" w:sz="8" w:space="0" w:color="auto"/>
              <w:left w:val="single" w:sz="8" w:space="0" w:color="auto"/>
            </w:tcBorders>
            <w:tcMar>
              <w:left w:w="105" w:type="dxa"/>
              <w:right w:w="105" w:type="dxa"/>
            </w:tcMar>
          </w:tcPr>
          <w:p w14:paraId="745C1578" w14:textId="77777777" w:rsidR="00A55836" w:rsidRDefault="00A55836" w:rsidP="00C66290">
            <w:pPr>
              <w:spacing w:line="259" w:lineRule="auto"/>
              <w:rPr>
                <w:rFonts w:eastAsia="Calibri" w:cs="Calibri"/>
                <w:sz w:val="20"/>
                <w:szCs w:val="20"/>
              </w:rPr>
            </w:pPr>
            <w:r w:rsidRPr="16015C11">
              <w:rPr>
                <w:rFonts w:eastAsia="Calibri" w:cs="Calibri"/>
                <w:sz w:val="20"/>
                <w:szCs w:val="20"/>
              </w:rPr>
              <w:t>ACT</w:t>
            </w:r>
          </w:p>
        </w:tc>
        <w:tc>
          <w:tcPr>
            <w:tcW w:w="2490" w:type="dxa"/>
            <w:tcBorders>
              <w:top w:val="single" w:sz="8" w:space="0" w:color="auto"/>
            </w:tcBorders>
            <w:tcMar>
              <w:left w:w="105" w:type="dxa"/>
              <w:right w:w="105" w:type="dxa"/>
            </w:tcMar>
          </w:tcPr>
          <w:p w14:paraId="0BB09B27" w14:textId="77777777" w:rsidR="00A55836" w:rsidRPr="00945559" w:rsidRDefault="00A55836" w:rsidP="00C66290">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i/>
                <w:iCs/>
                <w:sz w:val="20"/>
                <w:szCs w:val="20"/>
              </w:rPr>
            </w:pPr>
            <w:r w:rsidRPr="00945559">
              <w:rPr>
                <w:rFonts w:eastAsia="Calibri" w:cs="Calibri"/>
                <w:i/>
                <w:iCs/>
                <w:sz w:val="20"/>
                <w:szCs w:val="20"/>
              </w:rPr>
              <w:t>Education and Care Services National Law (ACT) Act 2011</w:t>
            </w:r>
          </w:p>
        </w:tc>
        <w:tc>
          <w:tcPr>
            <w:tcW w:w="2985" w:type="dxa"/>
            <w:tcBorders>
              <w:top w:val="single" w:sz="8" w:space="0" w:color="auto"/>
            </w:tcBorders>
            <w:tcMar>
              <w:left w:w="105" w:type="dxa"/>
              <w:right w:w="105" w:type="dxa"/>
            </w:tcMar>
          </w:tcPr>
          <w:p w14:paraId="113CD2B4" w14:textId="7B457BF9" w:rsidR="00A55836" w:rsidRDefault="00A55836" w:rsidP="00C66290">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sz w:val="20"/>
                <w:szCs w:val="20"/>
              </w:rPr>
            </w:pPr>
            <w:r w:rsidRPr="16015C11">
              <w:rPr>
                <w:rFonts w:eastAsia="Calibri" w:cs="Calibri"/>
                <w:b/>
                <w:bCs/>
                <w:sz w:val="20"/>
                <w:szCs w:val="20"/>
              </w:rPr>
              <w:t xml:space="preserve">Section 10 </w:t>
            </w:r>
            <w:r w:rsidR="00DE1DFE" w:rsidRPr="0015540C">
              <w:rPr>
                <w:rFonts w:eastAsia="Calibri" w:cs="Calibri"/>
                <w:sz w:val="20"/>
                <w:szCs w:val="20"/>
              </w:rPr>
              <w:t>–</w:t>
            </w:r>
            <w:r w:rsidRPr="16015C11">
              <w:rPr>
                <w:rFonts w:eastAsia="Calibri" w:cs="Calibri"/>
                <w:b/>
                <w:bCs/>
                <w:sz w:val="20"/>
                <w:szCs w:val="20"/>
              </w:rPr>
              <w:t xml:space="preserve"> </w:t>
            </w:r>
            <w:r w:rsidRPr="16015C11">
              <w:rPr>
                <w:rFonts w:eastAsia="Calibri" w:cs="Calibri"/>
                <w:sz w:val="20"/>
                <w:szCs w:val="20"/>
              </w:rPr>
              <w:t xml:space="preserve">the </w:t>
            </w:r>
            <w:r w:rsidR="00332198">
              <w:rPr>
                <w:rFonts w:eastAsia="Calibri" w:cs="Calibri"/>
                <w:sz w:val="20"/>
                <w:szCs w:val="20"/>
              </w:rPr>
              <w:t>d</w:t>
            </w:r>
            <w:r w:rsidRPr="16015C11">
              <w:rPr>
                <w:rFonts w:eastAsia="Calibri" w:cs="Calibri"/>
                <w:sz w:val="20"/>
                <w:szCs w:val="20"/>
              </w:rPr>
              <w:t>irector-</w:t>
            </w:r>
            <w:r w:rsidR="00332198">
              <w:rPr>
                <w:rFonts w:eastAsia="Calibri" w:cs="Calibri"/>
                <w:sz w:val="20"/>
                <w:szCs w:val="20"/>
              </w:rPr>
              <w:t>g</w:t>
            </w:r>
            <w:r w:rsidRPr="16015C11">
              <w:rPr>
                <w:rFonts w:eastAsia="Calibri" w:cs="Calibri"/>
                <w:sz w:val="20"/>
                <w:szCs w:val="20"/>
              </w:rPr>
              <w:t xml:space="preserve">eneral [of the Education Directorate] </w:t>
            </w:r>
          </w:p>
          <w:p w14:paraId="656C0B52" w14:textId="77777777" w:rsidR="00A55836" w:rsidRDefault="00A55836" w:rsidP="00C66290">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sz w:val="20"/>
                <w:szCs w:val="20"/>
              </w:rPr>
            </w:pPr>
          </w:p>
        </w:tc>
        <w:tc>
          <w:tcPr>
            <w:tcW w:w="2985" w:type="dxa"/>
            <w:tcBorders>
              <w:top w:val="single" w:sz="8" w:space="0" w:color="auto"/>
              <w:right w:val="single" w:sz="8" w:space="0" w:color="auto"/>
            </w:tcBorders>
            <w:tcMar>
              <w:left w:w="105" w:type="dxa"/>
              <w:right w:w="105" w:type="dxa"/>
            </w:tcMar>
          </w:tcPr>
          <w:p w14:paraId="7CFB3103" w14:textId="77777777" w:rsidR="00A55836" w:rsidRPr="00D42704" w:rsidRDefault="00A55836" w:rsidP="00C66290">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sz w:val="20"/>
                <w:szCs w:val="20"/>
              </w:rPr>
            </w:pPr>
            <w:r w:rsidRPr="00D42704">
              <w:rPr>
                <w:rFonts w:eastAsia="Calibri" w:cs="Calibri"/>
                <w:sz w:val="20"/>
                <w:szCs w:val="20"/>
              </w:rPr>
              <w:t>Children’s Education and Care Assurance, Early Childhood Policy and Regulation, Education Directorate</w:t>
            </w:r>
          </w:p>
          <w:p w14:paraId="4B943354" w14:textId="77777777" w:rsidR="00A55836" w:rsidRPr="00D42704" w:rsidRDefault="00A55836" w:rsidP="00C66290">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sz w:val="20"/>
                <w:szCs w:val="20"/>
              </w:rPr>
            </w:pPr>
          </w:p>
        </w:tc>
      </w:tr>
      <w:tr w:rsidR="00A55836" w14:paraId="32023D2C" w14:textId="77777777" w:rsidTr="00D57C08">
        <w:trPr>
          <w:trHeight w:val="1074"/>
        </w:trPr>
        <w:tc>
          <w:tcPr>
            <w:cnfStyle w:val="001000000000" w:firstRow="0" w:lastRow="0" w:firstColumn="1" w:lastColumn="0" w:oddVBand="0" w:evenVBand="0" w:oddHBand="0" w:evenHBand="0" w:firstRowFirstColumn="0" w:firstRowLastColumn="0" w:lastRowFirstColumn="0" w:lastRowLastColumn="0"/>
            <w:tcW w:w="1245" w:type="dxa"/>
            <w:tcBorders>
              <w:left w:val="single" w:sz="8" w:space="0" w:color="auto"/>
            </w:tcBorders>
            <w:tcMar>
              <w:left w:w="105" w:type="dxa"/>
              <w:right w:w="105" w:type="dxa"/>
            </w:tcMar>
          </w:tcPr>
          <w:p w14:paraId="0A17976C" w14:textId="77777777" w:rsidR="00A55836" w:rsidRDefault="00A55836" w:rsidP="00C66290">
            <w:pPr>
              <w:spacing w:line="259" w:lineRule="auto"/>
              <w:rPr>
                <w:rFonts w:eastAsia="Calibri" w:cs="Calibri"/>
                <w:sz w:val="20"/>
                <w:szCs w:val="20"/>
              </w:rPr>
            </w:pPr>
            <w:r w:rsidRPr="16015C11">
              <w:rPr>
                <w:rFonts w:eastAsia="Calibri" w:cs="Calibri"/>
                <w:sz w:val="20"/>
                <w:szCs w:val="20"/>
              </w:rPr>
              <w:t>NSW</w:t>
            </w:r>
          </w:p>
        </w:tc>
        <w:tc>
          <w:tcPr>
            <w:tcW w:w="2490" w:type="dxa"/>
            <w:tcMar>
              <w:left w:w="105" w:type="dxa"/>
              <w:right w:w="105" w:type="dxa"/>
            </w:tcMar>
          </w:tcPr>
          <w:p w14:paraId="4618B5C5" w14:textId="180F7C0B" w:rsidR="00A55836" w:rsidRPr="00945559" w:rsidRDefault="00A55836" w:rsidP="00C66290">
            <w:pPr>
              <w:spacing w:line="259" w:lineRule="auto"/>
              <w:cnfStyle w:val="000000000000" w:firstRow="0" w:lastRow="0" w:firstColumn="0" w:lastColumn="0" w:oddVBand="0" w:evenVBand="0" w:oddHBand="0" w:evenHBand="0" w:firstRowFirstColumn="0" w:firstRowLastColumn="0" w:lastRowFirstColumn="0" w:lastRowLastColumn="0"/>
              <w:rPr>
                <w:rFonts w:eastAsia="Calibri" w:cs="Calibri"/>
                <w:i/>
                <w:iCs/>
                <w:sz w:val="20"/>
                <w:szCs w:val="20"/>
              </w:rPr>
            </w:pPr>
            <w:r w:rsidRPr="00945559">
              <w:rPr>
                <w:rFonts w:eastAsia="Calibri" w:cs="Calibri"/>
                <w:i/>
                <w:iCs/>
                <w:sz w:val="20"/>
                <w:szCs w:val="20"/>
              </w:rPr>
              <w:t xml:space="preserve">Children </w:t>
            </w:r>
            <w:r w:rsidR="007A14F8">
              <w:rPr>
                <w:rFonts w:eastAsia="Calibri" w:cs="Calibri"/>
                <w:i/>
                <w:iCs/>
                <w:sz w:val="20"/>
                <w:szCs w:val="20"/>
              </w:rPr>
              <w:t>(</w:t>
            </w:r>
            <w:r w:rsidRPr="00945559">
              <w:rPr>
                <w:rFonts w:eastAsia="Calibri" w:cs="Calibri"/>
                <w:i/>
                <w:iCs/>
                <w:sz w:val="20"/>
                <w:szCs w:val="20"/>
              </w:rPr>
              <w:t xml:space="preserve">Education </w:t>
            </w:r>
            <w:r w:rsidR="007A14F8">
              <w:rPr>
                <w:rFonts w:eastAsia="Calibri" w:cs="Calibri"/>
                <w:i/>
                <w:iCs/>
                <w:sz w:val="20"/>
                <w:szCs w:val="20"/>
              </w:rPr>
              <w:t>and</w:t>
            </w:r>
            <w:r w:rsidRPr="00945559">
              <w:rPr>
                <w:rFonts w:eastAsia="Calibri" w:cs="Calibri"/>
                <w:i/>
                <w:iCs/>
                <w:sz w:val="20"/>
                <w:szCs w:val="20"/>
              </w:rPr>
              <w:t xml:space="preserve"> Care Services National Law Application) Act 2010</w:t>
            </w:r>
          </w:p>
        </w:tc>
        <w:tc>
          <w:tcPr>
            <w:tcW w:w="2985" w:type="dxa"/>
            <w:tcMar>
              <w:left w:w="105" w:type="dxa"/>
              <w:right w:w="105" w:type="dxa"/>
            </w:tcMar>
          </w:tcPr>
          <w:p w14:paraId="3D020E80" w14:textId="794F54E6" w:rsidR="00A55836" w:rsidRDefault="00A55836" w:rsidP="00C66290">
            <w:pPr>
              <w:spacing w:line="259" w:lineRule="auto"/>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16015C11">
              <w:rPr>
                <w:rFonts w:eastAsia="Calibri" w:cs="Calibri"/>
                <w:b/>
                <w:bCs/>
                <w:sz w:val="20"/>
                <w:szCs w:val="20"/>
              </w:rPr>
              <w:t xml:space="preserve">Section 9 </w:t>
            </w:r>
            <w:r w:rsidR="0015540C" w:rsidRPr="0015540C">
              <w:rPr>
                <w:rFonts w:eastAsia="Calibri" w:cs="Calibri"/>
                <w:sz w:val="20"/>
                <w:szCs w:val="20"/>
              </w:rPr>
              <w:t>–</w:t>
            </w:r>
            <w:r w:rsidRPr="16015C11">
              <w:rPr>
                <w:rFonts w:eastAsia="Calibri" w:cs="Calibri"/>
                <w:sz w:val="20"/>
                <w:szCs w:val="20"/>
              </w:rPr>
              <w:t xml:space="preserve"> the Secretary of the Department of Education </w:t>
            </w:r>
          </w:p>
        </w:tc>
        <w:tc>
          <w:tcPr>
            <w:tcW w:w="2985" w:type="dxa"/>
            <w:tcBorders>
              <w:right w:val="single" w:sz="8" w:space="0" w:color="auto"/>
            </w:tcBorders>
            <w:tcMar>
              <w:left w:w="105" w:type="dxa"/>
              <w:right w:w="105" w:type="dxa"/>
            </w:tcMar>
          </w:tcPr>
          <w:p w14:paraId="12F3065D" w14:textId="7FB608C2" w:rsidR="00A55836" w:rsidRDefault="00182557" w:rsidP="00483A03">
            <w:pPr>
              <w:pStyle w:val="NormalWeb"/>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 xml:space="preserve">NSW Early </w:t>
            </w:r>
            <w:r w:rsidR="00A55836" w:rsidRPr="00D42704">
              <w:rPr>
                <w:rFonts w:ascii="Calibri" w:eastAsia="Calibri" w:hAnsi="Calibri" w:cs="Calibri"/>
                <w:sz w:val="20"/>
                <w:szCs w:val="20"/>
              </w:rPr>
              <w:t xml:space="preserve">Childhood Education </w:t>
            </w:r>
            <w:r w:rsidR="000C6AE1">
              <w:rPr>
                <w:rFonts w:ascii="Calibri" w:eastAsia="Calibri" w:hAnsi="Calibri" w:cs="Calibri"/>
                <w:sz w:val="20"/>
                <w:szCs w:val="20"/>
              </w:rPr>
              <w:t>and Care Regulatory Authority</w:t>
            </w:r>
            <w:r w:rsidR="00A55836" w:rsidRPr="00D42704">
              <w:rPr>
                <w:rFonts w:ascii="Calibri" w:eastAsia="Calibri" w:hAnsi="Calibri" w:cs="Calibri"/>
                <w:sz w:val="20"/>
                <w:szCs w:val="20"/>
              </w:rPr>
              <w:t>, Department of Education</w:t>
            </w:r>
          </w:p>
          <w:p w14:paraId="1047EAAA" w14:textId="77777777" w:rsidR="00A55836" w:rsidRPr="00D42704" w:rsidRDefault="00A55836" w:rsidP="00483A03">
            <w:pPr>
              <w:spacing w:line="259" w:lineRule="auto"/>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r>
      <w:tr w:rsidR="00A55836" w14:paraId="1CA00F8F" w14:textId="77777777" w:rsidTr="00D57C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tcBorders>
              <w:left w:val="single" w:sz="8" w:space="0" w:color="auto"/>
            </w:tcBorders>
            <w:tcMar>
              <w:left w:w="105" w:type="dxa"/>
              <w:right w:w="105" w:type="dxa"/>
            </w:tcMar>
          </w:tcPr>
          <w:p w14:paraId="1AF18A6B" w14:textId="77777777" w:rsidR="00A55836" w:rsidRDefault="00A55836" w:rsidP="00C66290">
            <w:pPr>
              <w:spacing w:line="259" w:lineRule="auto"/>
              <w:rPr>
                <w:rFonts w:eastAsia="Calibri" w:cs="Calibri"/>
                <w:sz w:val="20"/>
                <w:szCs w:val="20"/>
              </w:rPr>
            </w:pPr>
            <w:r w:rsidRPr="16015C11">
              <w:rPr>
                <w:rFonts w:eastAsia="Calibri" w:cs="Calibri"/>
                <w:sz w:val="20"/>
                <w:szCs w:val="20"/>
              </w:rPr>
              <w:t>NT</w:t>
            </w:r>
          </w:p>
        </w:tc>
        <w:tc>
          <w:tcPr>
            <w:tcW w:w="2490" w:type="dxa"/>
            <w:tcMar>
              <w:left w:w="105" w:type="dxa"/>
              <w:right w:w="105" w:type="dxa"/>
            </w:tcMar>
          </w:tcPr>
          <w:p w14:paraId="29054D7D" w14:textId="3FF95093" w:rsidR="00A55836" w:rsidRPr="00945559" w:rsidRDefault="00A55836" w:rsidP="00C66290">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i/>
                <w:iCs/>
                <w:sz w:val="20"/>
                <w:szCs w:val="20"/>
              </w:rPr>
            </w:pPr>
            <w:r w:rsidRPr="00945559">
              <w:rPr>
                <w:rFonts w:eastAsia="Calibri" w:cs="Calibri"/>
                <w:i/>
                <w:iCs/>
                <w:sz w:val="20"/>
                <w:szCs w:val="20"/>
              </w:rPr>
              <w:t>Education and Care Services (National Uniform Legislation) Act 2011</w:t>
            </w:r>
          </w:p>
        </w:tc>
        <w:tc>
          <w:tcPr>
            <w:tcW w:w="2985" w:type="dxa"/>
            <w:tcMar>
              <w:left w:w="105" w:type="dxa"/>
              <w:right w:w="105" w:type="dxa"/>
            </w:tcMar>
          </w:tcPr>
          <w:p w14:paraId="35265C27" w14:textId="769D67AB" w:rsidR="00A55836" w:rsidRDefault="00A55836" w:rsidP="00C66290">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sz w:val="20"/>
                <w:szCs w:val="20"/>
              </w:rPr>
            </w:pPr>
            <w:r w:rsidRPr="16015C11">
              <w:rPr>
                <w:rFonts w:eastAsia="Calibri" w:cs="Calibri"/>
                <w:b/>
                <w:bCs/>
                <w:sz w:val="20"/>
                <w:szCs w:val="20"/>
              </w:rPr>
              <w:t xml:space="preserve">Section 9 </w:t>
            </w:r>
            <w:r w:rsidR="0015540C" w:rsidRPr="0015540C">
              <w:rPr>
                <w:rFonts w:eastAsia="Calibri" w:cs="Calibri"/>
                <w:sz w:val="20"/>
                <w:szCs w:val="20"/>
              </w:rPr>
              <w:t>–</w:t>
            </w:r>
            <w:r w:rsidRPr="16015C11">
              <w:rPr>
                <w:rFonts w:eastAsia="Calibri" w:cs="Calibri"/>
                <w:b/>
                <w:bCs/>
                <w:sz w:val="20"/>
                <w:szCs w:val="20"/>
              </w:rPr>
              <w:t xml:space="preserve"> </w:t>
            </w:r>
            <w:r w:rsidRPr="16015C11">
              <w:rPr>
                <w:rFonts w:eastAsia="Calibri" w:cs="Calibri"/>
                <w:sz w:val="20"/>
                <w:szCs w:val="20"/>
              </w:rPr>
              <w:t>the Chief Executive Officer [of the Department of Education]</w:t>
            </w:r>
          </w:p>
        </w:tc>
        <w:tc>
          <w:tcPr>
            <w:tcW w:w="2985" w:type="dxa"/>
            <w:tcBorders>
              <w:right w:val="single" w:sz="8" w:space="0" w:color="auto"/>
            </w:tcBorders>
            <w:tcMar>
              <w:left w:w="105" w:type="dxa"/>
              <w:right w:w="105" w:type="dxa"/>
            </w:tcMar>
          </w:tcPr>
          <w:p w14:paraId="1BAA01D6" w14:textId="202078D5" w:rsidR="00A55836" w:rsidRDefault="00A55836" w:rsidP="00483A03">
            <w:pPr>
              <w:pStyle w:val="NormalWeb"/>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D42704">
              <w:rPr>
                <w:rFonts w:ascii="Calibri" w:eastAsia="Calibri" w:hAnsi="Calibri" w:cs="Calibri"/>
                <w:sz w:val="20"/>
                <w:szCs w:val="20"/>
              </w:rPr>
              <w:t>Quality Education and Care Northern Territory</w:t>
            </w:r>
            <w:r w:rsidR="003B6FC0">
              <w:rPr>
                <w:rFonts w:ascii="Calibri" w:eastAsia="Calibri" w:hAnsi="Calibri" w:cs="Calibri"/>
                <w:sz w:val="20"/>
                <w:szCs w:val="20"/>
              </w:rPr>
              <w:t>, Department of Education</w:t>
            </w:r>
          </w:p>
          <w:p w14:paraId="64153506" w14:textId="77777777" w:rsidR="00A55836" w:rsidRPr="00D42704" w:rsidRDefault="00A55836" w:rsidP="0080151D">
            <w:pPr>
              <w:pStyle w:val="NormalWeb"/>
              <w:spacing w:after="0"/>
              <w:cnfStyle w:val="000000100000" w:firstRow="0" w:lastRow="0" w:firstColumn="0" w:lastColumn="0" w:oddVBand="0" w:evenVBand="0" w:oddHBand="1" w:evenHBand="0" w:firstRowFirstColumn="0" w:firstRowLastColumn="0" w:lastRowFirstColumn="0" w:lastRowLastColumn="0"/>
              <w:rPr>
                <w:rFonts w:eastAsia="Calibri"/>
              </w:rPr>
            </w:pPr>
          </w:p>
        </w:tc>
      </w:tr>
      <w:tr w:rsidR="00A55836" w14:paraId="419CAF92" w14:textId="77777777" w:rsidTr="00D57C08">
        <w:trPr>
          <w:trHeight w:val="300"/>
        </w:trPr>
        <w:tc>
          <w:tcPr>
            <w:cnfStyle w:val="001000000000" w:firstRow="0" w:lastRow="0" w:firstColumn="1" w:lastColumn="0" w:oddVBand="0" w:evenVBand="0" w:oddHBand="0" w:evenHBand="0" w:firstRowFirstColumn="0" w:firstRowLastColumn="0" w:lastRowFirstColumn="0" w:lastRowLastColumn="0"/>
            <w:tcW w:w="1245" w:type="dxa"/>
            <w:tcBorders>
              <w:left w:val="single" w:sz="8" w:space="0" w:color="auto"/>
            </w:tcBorders>
            <w:tcMar>
              <w:left w:w="105" w:type="dxa"/>
              <w:right w:w="105" w:type="dxa"/>
            </w:tcMar>
          </w:tcPr>
          <w:p w14:paraId="43819566" w14:textId="77777777" w:rsidR="00A55836" w:rsidRDefault="00A55836" w:rsidP="00C66290">
            <w:pPr>
              <w:spacing w:line="259" w:lineRule="auto"/>
              <w:rPr>
                <w:rFonts w:eastAsia="Calibri" w:cs="Calibri"/>
                <w:sz w:val="20"/>
                <w:szCs w:val="20"/>
              </w:rPr>
            </w:pPr>
            <w:r w:rsidRPr="16015C11">
              <w:rPr>
                <w:rFonts w:eastAsia="Calibri" w:cs="Calibri"/>
                <w:sz w:val="20"/>
                <w:szCs w:val="20"/>
              </w:rPr>
              <w:t>QLD</w:t>
            </w:r>
          </w:p>
        </w:tc>
        <w:tc>
          <w:tcPr>
            <w:tcW w:w="2490" w:type="dxa"/>
            <w:tcMar>
              <w:left w:w="105" w:type="dxa"/>
              <w:right w:w="105" w:type="dxa"/>
            </w:tcMar>
          </w:tcPr>
          <w:p w14:paraId="5D4D4996" w14:textId="77777777" w:rsidR="00A55836" w:rsidRPr="00945559" w:rsidRDefault="00A55836" w:rsidP="00C66290">
            <w:pPr>
              <w:spacing w:line="259" w:lineRule="auto"/>
              <w:cnfStyle w:val="000000000000" w:firstRow="0" w:lastRow="0" w:firstColumn="0" w:lastColumn="0" w:oddVBand="0" w:evenVBand="0" w:oddHBand="0" w:evenHBand="0" w:firstRowFirstColumn="0" w:firstRowLastColumn="0" w:lastRowFirstColumn="0" w:lastRowLastColumn="0"/>
              <w:rPr>
                <w:rFonts w:eastAsia="Calibri" w:cs="Calibri"/>
                <w:i/>
                <w:iCs/>
                <w:sz w:val="20"/>
                <w:szCs w:val="20"/>
              </w:rPr>
            </w:pPr>
            <w:r w:rsidRPr="00945559">
              <w:rPr>
                <w:rFonts w:eastAsia="Calibri" w:cs="Calibri"/>
                <w:i/>
                <w:iCs/>
                <w:sz w:val="20"/>
                <w:szCs w:val="20"/>
              </w:rPr>
              <w:t>Education and Care Services National Law (Queensland) Act 2011</w:t>
            </w:r>
          </w:p>
        </w:tc>
        <w:tc>
          <w:tcPr>
            <w:tcW w:w="2985" w:type="dxa"/>
            <w:tcMar>
              <w:left w:w="105" w:type="dxa"/>
              <w:right w:w="105" w:type="dxa"/>
            </w:tcMar>
          </w:tcPr>
          <w:p w14:paraId="790CF008" w14:textId="394D4B2C" w:rsidR="00A55836" w:rsidRDefault="00A55836" w:rsidP="00C66290">
            <w:pPr>
              <w:spacing w:line="259" w:lineRule="auto"/>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16015C11">
              <w:rPr>
                <w:rFonts w:eastAsia="Calibri" w:cs="Calibri"/>
                <w:b/>
                <w:bCs/>
                <w:sz w:val="20"/>
                <w:szCs w:val="20"/>
              </w:rPr>
              <w:t xml:space="preserve">Section 14 </w:t>
            </w:r>
            <w:r w:rsidR="0015540C" w:rsidRPr="0015540C">
              <w:rPr>
                <w:rFonts w:eastAsia="Calibri" w:cs="Calibri"/>
                <w:sz w:val="20"/>
                <w:szCs w:val="20"/>
              </w:rPr>
              <w:t>–</w:t>
            </w:r>
            <w:r w:rsidRPr="16015C11">
              <w:rPr>
                <w:rFonts w:eastAsia="Calibri" w:cs="Calibri"/>
                <w:b/>
                <w:bCs/>
                <w:sz w:val="20"/>
                <w:szCs w:val="20"/>
              </w:rPr>
              <w:t xml:space="preserve"> </w:t>
            </w:r>
            <w:r w:rsidRPr="16015C11">
              <w:rPr>
                <w:rFonts w:eastAsia="Calibri" w:cs="Calibri"/>
                <w:sz w:val="20"/>
                <w:szCs w:val="20"/>
              </w:rPr>
              <w:t>the chief executive [</w:t>
            </w:r>
            <w:r w:rsidR="0015540C">
              <w:rPr>
                <w:rFonts w:eastAsia="Calibri" w:cs="Calibri"/>
                <w:sz w:val="20"/>
                <w:szCs w:val="20"/>
              </w:rPr>
              <w:t xml:space="preserve">of the </w:t>
            </w:r>
            <w:r w:rsidRPr="16015C11">
              <w:rPr>
                <w:rFonts w:eastAsia="Calibri" w:cs="Calibri"/>
                <w:sz w:val="20"/>
                <w:szCs w:val="20"/>
              </w:rPr>
              <w:t xml:space="preserve">Department of Education] </w:t>
            </w:r>
          </w:p>
          <w:p w14:paraId="00615C5F" w14:textId="77777777" w:rsidR="00A55836" w:rsidRDefault="00A55836" w:rsidP="00C66290">
            <w:pPr>
              <w:spacing w:line="259" w:lineRule="auto"/>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985" w:type="dxa"/>
            <w:tcBorders>
              <w:right w:val="single" w:sz="8" w:space="0" w:color="auto"/>
            </w:tcBorders>
            <w:tcMar>
              <w:left w:w="105" w:type="dxa"/>
              <w:right w:w="105" w:type="dxa"/>
            </w:tcMar>
          </w:tcPr>
          <w:p w14:paraId="566DE863" w14:textId="49A565F4" w:rsidR="00A55836" w:rsidRDefault="00A55836" w:rsidP="00483A03">
            <w:pPr>
              <w:cnfStyle w:val="000000000000" w:firstRow="0" w:lastRow="0" w:firstColumn="0" w:lastColumn="0" w:oddVBand="0" w:evenVBand="0" w:oddHBand="0" w:evenHBand="0" w:firstRowFirstColumn="0" w:firstRowLastColumn="0" w:lastRowFirstColumn="0" w:lastRowLastColumn="0"/>
              <w:rPr>
                <w:rStyle w:val="Strong"/>
                <w:rFonts w:eastAsia="Calibri" w:cs="Calibri"/>
                <w:b w:val="0"/>
                <w:bCs w:val="0"/>
                <w:sz w:val="20"/>
                <w:szCs w:val="20"/>
              </w:rPr>
            </w:pPr>
            <w:r w:rsidRPr="00D42704">
              <w:rPr>
                <w:rStyle w:val="Strong"/>
                <w:rFonts w:eastAsia="Calibri" w:cs="Calibri"/>
                <w:b w:val="0"/>
                <w:bCs w:val="0"/>
                <w:sz w:val="20"/>
                <w:szCs w:val="20"/>
              </w:rPr>
              <w:t xml:space="preserve">Early Childhood </w:t>
            </w:r>
            <w:r w:rsidR="00026DFE">
              <w:rPr>
                <w:rStyle w:val="Strong"/>
                <w:rFonts w:eastAsia="Calibri" w:cs="Calibri"/>
                <w:b w:val="0"/>
                <w:bCs w:val="0"/>
                <w:sz w:val="20"/>
                <w:szCs w:val="20"/>
              </w:rPr>
              <w:t>Regulatory Authority</w:t>
            </w:r>
            <w:r w:rsidRPr="00D42704">
              <w:rPr>
                <w:rStyle w:val="Strong"/>
                <w:rFonts w:eastAsia="Calibri" w:cs="Calibri"/>
                <w:b w:val="0"/>
                <w:bCs w:val="0"/>
                <w:sz w:val="20"/>
                <w:szCs w:val="20"/>
              </w:rPr>
              <w:t>, Department of Education</w:t>
            </w:r>
          </w:p>
          <w:p w14:paraId="3221468F" w14:textId="77777777" w:rsidR="00483A03" w:rsidRPr="00D42704" w:rsidRDefault="00483A03" w:rsidP="00483A03">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r>
      <w:tr w:rsidR="00A55836" w14:paraId="36BECA31" w14:textId="77777777" w:rsidTr="00D57C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tcBorders>
              <w:left w:val="single" w:sz="8" w:space="0" w:color="auto"/>
            </w:tcBorders>
            <w:tcMar>
              <w:left w:w="105" w:type="dxa"/>
              <w:right w:w="105" w:type="dxa"/>
            </w:tcMar>
          </w:tcPr>
          <w:p w14:paraId="3308512D" w14:textId="77777777" w:rsidR="00A55836" w:rsidRDefault="00A55836" w:rsidP="00C66290">
            <w:pPr>
              <w:spacing w:line="259" w:lineRule="auto"/>
              <w:rPr>
                <w:rFonts w:eastAsia="Calibri" w:cs="Calibri"/>
                <w:sz w:val="20"/>
                <w:szCs w:val="20"/>
              </w:rPr>
            </w:pPr>
            <w:r w:rsidRPr="16015C11">
              <w:rPr>
                <w:rFonts w:eastAsia="Calibri" w:cs="Calibri"/>
                <w:sz w:val="20"/>
                <w:szCs w:val="20"/>
              </w:rPr>
              <w:t>SA</w:t>
            </w:r>
          </w:p>
        </w:tc>
        <w:tc>
          <w:tcPr>
            <w:tcW w:w="2490" w:type="dxa"/>
            <w:tcMar>
              <w:left w:w="105" w:type="dxa"/>
              <w:right w:w="105" w:type="dxa"/>
            </w:tcMar>
          </w:tcPr>
          <w:p w14:paraId="316B47F4" w14:textId="77777777" w:rsidR="00A55836" w:rsidRPr="00945559" w:rsidRDefault="00A55836" w:rsidP="00C66290">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i/>
                <w:iCs/>
                <w:sz w:val="20"/>
                <w:szCs w:val="20"/>
              </w:rPr>
            </w:pPr>
            <w:r w:rsidRPr="00945559">
              <w:rPr>
                <w:rFonts w:eastAsia="Calibri" w:cs="Calibri"/>
                <w:i/>
                <w:iCs/>
                <w:sz w:val="20"/>
                <w:szCs w:val="20"/>
              </w:rPr>
              <w:t>Education and Early Childhood Services (Registration and Standards) Act 2011</w:t>
            </w:r>
          </w:p>
          <w:p w14:paraId="611EFCB8" w14:textId="77777777" w:rsidR="00945559" w:rsidRDefault="00945559" w:rsidP="00C66290">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sz w:val="20"/>
                <w:szCs w:val="20"/>
              </w:rPr>
            </w:pPr>
          </w:p>
        </w:tc>
        <w:tc>
          <w:tcPr>
            <w:tcW w:w="2985" w:type="dxa"/>
            <w:tcMar>
              <w:left w:w="105" w:type="dxa"/>
              <w:right w:w="105" w:type="dxa"/>
            </w:tcMar>
          </w:tcPr>
          <w:p w14:paraId="7CD202B8" w14:textId="19142830" w:rsidR="00A55836" w:rsidRDefault="00A55836" w:rsidP="00C66290">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sz w:val="20"/>
                <w:szCs w:val="20"/>
              </w:rPr>
            </w:pPr>
            <w:r w:rsidRPr="16015C11">
              <w:rPr>
                <w:rFonts w:eastAsia="Calibri" w:cs="Calibri"/>
                <w:b/>
                <w:bCs/>
                <w:sz w:val="20"/>
                <w:szCs w:val="20"/>
              </w:rPr>
              <w:t xml:space="preserve">Section 13(9) </w:t>
            </w:r>
            <w:r w:rsidR="00E4667C" w:rsidRPr="0015540C">
              <w:rPr>
                <w:rFonts w:eastAsia="Calibri" w:cs="Calibri"/>
                <w:sz w:val="20"/>
                <w:szCs w:val="20"/>
              </w:rPr>
              <w:t>–</w:t>
            </w:r>
            <w:r w:rsidRPr="16015C11">
              <w:rPr>
                <w:rFonts w:eastAsia="Calibri" w:cs="Calibri"/>
                <w:b/>
                <w:bCs/>
                <w:sz w:val="20"/>
                <w:szCs w:val="20"/>
              </w:rPr>
              <w:t xml:space="preserve"> </w:t>
            </w:r>
            <w:r w:rsidRPr="16015C11">
              <w:rPr>
                <w:rFonts w:eastAsia="Calibri" w:cs="Calibri"/>
                <w:sz w:val="20"/>
                <w:szCs w:val="20"/>
              </w:rPr>
              <w:t>the Education and Early Childhood Services Registration and Standards Board</w:t>
            </w:r>
            <w:r w:rsidR="006D0C31">
              <w:rPr>
                <w:rFonts w:eastAsia="Calibri" w:cs="Calibri"/>
                <w:sz w:val="20"/>
                <w:szCs w:val="20"/>
              </w:rPr>
              <w:t xml:space="preserve"> of South Australia</w:t>
            </w:r>
          </w:p>
          <w:p w14:paraId="1FBF51EB" w14:textId="77777777" w:rsidR="00A55836" w:rsidRDefault="00A55836" w:rsidP="00C66290">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sz w:val="20"/>
                <w:szCs w:val="20"/>
              </w:rPr>
            </w:pPr>
          </w:p>
        </w:tc>
        <w:tc>
          <w:tcPr>
            <w:tcW w:w="2985" w:type="dxa"/>
            <w:tcBorders>
              <w:right w:val="single" w:sz="8" w:space="0" w:color="auto"/>
            </w:tcBorders>
            <w:tcMar>
              <w:left w:w="105" w:type="dxa"/>
              <w:right w:w="105" w:type="dxa"/>
            </w:tcMar>
          </w:tcPr>
          <w:p w14:paraId="09B66EA1" w14:textId="3BCC3A98" w:rsidR="00A55836" w:rsidRPr="00D42704" w:rsidRDefault="00A55836" w:rsidP="00483A03">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sz w:val="20"/>
                <w:szCs w:val="20"/>
              </w:rPr>
            </w:pPr>
            <w:r w:rsidRPr="00D42704">
              <w:rPr>
                <w:rStyle w:val="Strong"/>
                <w:rFonts w:eastAsia="Calibri" w:cs="Calibri"/>
                <w:b w:val="0"/>
                <w:bCs w:val="0"/>
                <w:sz w:val="20"/>
                <w:szCs w:val="20"/>
              </w:rPr>
              <w:t>Education Standards Board</w:t>
            </w:r>
          </w:p>
        </w:tc>
      </w:tr>
      <w:tr w:rsidR="00A55836" w14:paraId="26E54EB7" w14:textId="77777777" w:rsidTr="00D57C08">
        <w:trPr>
          <w:trHeight w:val="300"/>
        </w:trPr>
        <w:tc>
          <w:tcPr>
            <w:cnfStyle w:val="001000000000" w:firstRow="0" w:lastRow="0" w:firstColumn="1" w:lastColumn="0" w:oddVBand="0" w:evenVBand="0" w:oddHBand="0" w:evenHBand="0" w:firstRowFirstColumn="0" w:firstRowLastColumn="0" w:lastRowFirstColumn="0" w:lastRowLastColumn="0"/>
            <w:tcW w:w="1245" w:type="dxa"/>
            <w:tcBorders>
              <w:left w:val="single" w:sz="8" w:space="0" w:color="auto"/>
            </w:tcBorders>
            <w:tcMar>
              <w:left w:w="105" w:type="dxa"/>
              <w:right w:w="105" w:type="dxa"/>
            </w:tcMar>
          </w:tcPr>
          <w:p w14:paraId="505F7A03" w14:textId="77777777" w:rsidR="00A55836" w:rsidRDefault="00A55836" w:rsidP="00C66290">
            <w:pPr>
              <w:spacing w:line="259" w:lineRule="auto"/>
              <w:rPr>
                <w:rFonts w:eastAsia="Calibri" w:cs="Calibri"/>
                <w:sz w:val="20"/>
                <w:szCs w:val="20"/>
              </w:rPr>
            </w:pPr>
            <w:r w:rsidRPr="16015C11">
              <w:rPr>
                <w:rFonts w:eastAsia="Calibri" w:cs="Calibri"/>
                <w:sz w:val="20"/>
                <w:szCs w:val="20"/>
              </w:rPr>
              <w:t>TAS</w:t>
            </w:r>
          </w:p>
        </w:tc>
        <w:tc>
          <w:tcPr>
            <w:tcW w:w="2490" w:type="dxa"/>
            <w:tcMar>
              <w:left w:w="105" w:type="dxa"/>
              <w:right w:w="105" w:type="dxa"/>
            </w:tcMar>
          </w:tcPr>
          <w:p w14:paraId="79D8B87A" w14:textId="77777777" w:rsidR="00A55836" w:rsidRPr="00945559" w:rsidRDefault="00A55836" w:rsidP="00C66290">
            <w:pPr>
              <w:spacing w:line="259" w:lineRule="auto"/>
              <w:cnfStyle w:val="000000000000" w:firstRow="0" w:lastRow="0" w:firstColumn="0" w:lastColumn="0" w:oddVBand="0" w:evenVBand="0" w:oddHBand="0" w:evenHBand="0" w:firstRowFirstColumn="0" w:firstRowLastColumn="0" w:lastRowFirstColumn="0" w:lastRowLastColumn="0"/>
              <w:rPr>
                <w:rFonts w:eastAsia="Calibri" w:cs="Calibri"/>
                <w:i/>
                <w:iCs/>
                <w:sz w:val="20"/>
                <w:szCs w:val="20"/>
              </w:rPr>
            </w:pPr>
            <w:r w:rsidRPr="00945559">
              <w:rPr>
                <w:rFonts w:eastAsia="Calibri" w:cs="Calibri"/>
                <w:i/>
                <w:iCs/>
                <w:sz w:val="20"/>
                <w:szCs w:val="20"/>
              </w:rPr>
              <w:t>Education and Care Services National Law (Application) Act 2011</w:t>
            </w:r>
          </w:p>
        </w:tc>
        <w:tc>
          <w:tcPr>
            <w:tcW w:w="2985" w:type="dxa"/>
            <w:tcMar>
              <w:left w:w="105" w:type="dxa"/>
              <w:right w:w="105" w:type="dxa"/>
            </w:tcMar>
          </w:tcPr>
          <w:p w14:paraId="0A2A1609" w14:textId="11EFC92F" w:rsidR="00A55836" w:rsidRDefault="00A55836" w:rsidP="00C66290">
            <w:pPr>
              <w:spacing w:line="259" w:lineRule="auto"/>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16015C11">
              <w:rPr>
                <w:rFonts w:eastAsia="Calibri" w:cs="Calibri"/>
                <w:b/>
                <w:bCs/>
                <w:sz w:val="20"/>
                <w:szCs w:val="20"/>
              </w:rPr>
              <w:t xml:space="preserve">Section 9 </w:t>
            </w:r>
            <w:r w:rsidR="001736E6" w:rsidRPr="0015540C">
              <w:rPr>
                <w:rFonts w:eastAsia="Calibri" w:cs="Calibri"/>
                <w:sz w:val="20"/>
                <w:szCs w:val="20"/>
              </w:rPr>
              <w:t>–</w:t>
            </w:r>
            <w:r w:rsidR="001736E6">
              <w:rPr>
                <w:rFonts w:eastAsia="Calibri" w:cs="Calibri"/>
                <w:sz w:val="20"/>
                <w:szCs w:val="20"/>
              </w:rPr>
              <w:t xml:space="preserve"> </w:t>
            </w:r>
            <w:r w:rsidRPr="16015C11">
              <w:rPr>
                <w:rFonts w:eastAsia="Calibri" w:cs="Calibri"/>
                <w:sz w:val="20"/>
                <w:szCs w:val="20"/>
              </w:rPr>
              <w:t>the Secretary of the department responsible for the administration of the </w:t>
            </w:r>
            <w:r w:rsidRPr="16015C11">
              <w:rPr>
                <w:rFonts w:eastAsia="Calibri" w:cs="Calibri"/>
                <w:i/>
                <w:iCs/>
                <w:sz w:val="20"/>
                <w:szCs w:val="20"/>
              </w:rPr>
              <w:t xml:space="preserve">Education Act </w:t>
            </w:r>
            <w:r w:rsidR="00234FB7">
              <w:rPr>
                <w:rFonts w:eastAsia="Calibri" w:cs="Calibri"/>
                <w:i/>
                <w:iCs/>
                <w:sz w:val="20"/>
                <w:szCs w:val="20"/>
              </w:rPr>
              <w:t>2016</w:t>
            </w:r>
          </w:p>
          <w:p w14:paraId="0B9C1889" w14:textId="77777777" w:rsidR="00A55836" w:rsidRDefault="00A55836" w:rsidP="00C66290">
            <w:pPr>
              <w:spacing w:line="259" w:lineRule="auto"/>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985" w:type="dxa"/>
            <w:tcBorders>
              <w:right w:val="single" w:sz="8" w:space="0" w:color="auto"/>
            </w:tcBorders>
            <w:tcMar>
              <w:left w:w="105" w:type="dxa"/>
              <w:right w:w="105" w:type="dxa"/>
            </w:tcMar>
          </w:tcPr>
          <w:p w14:paraId="7E65FB42" w14:textId="5323B612" w:rsidR="00A55836" w:rsidRPr="00D42704" w:rsidRDefault="00A55836" w:rsidP="00483A03">
            <w:pPr>
              <w:pStyle w:val="NormalWeb"/>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D42704">
              <w:rPr>
                <w:rFonts w:ascii="Calibri" w:eastAsia="Calibri" w:hAnsi="Calibri" w:cs="Calibri"/>
                <w:sz w:val="20"/>
                <w:szCs w:val="20"/>
              </w:rPr>
              <w:t xml:space="preserve">Education and Care Unit, Department </w:t>
            </w:r>
            <w:r w:rsidR="002677BD" w:rsidRPr="00D42704">
              <w:rPr>
                <w:rFonts w:ascii="Calibri" w:eastAsia="Calibri" w:hAnsi="Calibri" w:cs="Calibri"/>
                <w:sz w:val="20"/>
                <w:szCs w:val="20"/>
              </w:rPr>
              <w:t>for Education, Children and Young People</w:t>
            </w:r>
          </w:p>
          <w:p w14:paraId="29651BB9" w14:textId="77777777" w:rsidR="00A55836" w:rsidRPr="00D42704" w:rsidRDefault="00A55836" w:rsidP="00483A03">
            <w:pPr>
              <w:spacing w:line="259" w:lineRule="auto"/>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r>
      <w:tr w:rsidR="00A55836" w14:paraId="29C2875A" w14:textId="77777777" w:rsidTr="00D57C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tcBorders>
              <w:left w:val="single" w:sz="8" w:space="0" w:color="auto"/>
            </w:tcBorders>
            <w:tcMar>
              <w:left w:w="105" w:type="dxa"/>
              <w:right w:w="105" w:type="dxa"/>
            </w:tcMar>
          </w:tcPr>
          <w:p w14:paraId="46099966" w14:textId="77777777" w:rsidR="00A55836" w:rsidRDefault="00A55836" w:rsidP="00C66290">
            <w:pPr>
              <w:spacing w:line="259" w:lineRule="auto"/>
              <w:rPr>
                <w:rFonts w:eastAsia="Calibri" w:cs="Calibri"/>
                <w:sz w:val="20"/>
                <w:szCs w:val="20"/>
              </w:rPr>
            </w:pPr>
            <w:r w:rsidRPr="16015C11">
              <w:rPr>
                <w:rFonts w:eastAsia="Calibri" w:cs="Calibri"/>
                <w:sz w:val="20"/>
                <w:szCs w:val="20"/>
              </w:rPr>
              <w:t>VIC</w:t>
            </w:r>
          </w:p>
        </w:tc>
        <w:tc>
          <w:tcPr>
            <w:tcW w:w="2490" w:type="dxa"/>
            <w:tcMar>
              <w:left w:w="105" w:type="dxa"/>
              <w:right w:w="105" w:type="dxa"/>
            </w:tcMar>
          </w:tcPr>
          <w:p w14:paraId="794EAC80" w14:textId="77777777" w:rsidR="00A55836" w:rsidRPr="00945559" w:rsidRDefault="00A55836" w:rsidP="00C66290">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i/>
                <w:iCs/>
                <w:sz w:val="20"/>
                <w:szCs w:val="20"/>
              </w:rPr>
            </w:pPr>
            <w:r w:rsidRPr="00945559">
              <w:rPr>
                <w:rFonts w:eastAsia="Calibri" w:cs="Calibri"/>
                <w:i/>
                <w:iCs/>
                <w:sz w:val="20"/>
                <w:szCs w:val="20"/>
              </w:rPr>
              <w:t>Education and Care Services National Law Act 2010</w:t>
            </w:r>
          </w:p>
        </w:tc>
        <w:tc>
          <w:tcPr>
            <w:tcW w:w="2985" w:type="dxa"/>
            <w:tcMar>
              <w:left w:w="105" w:type="dxa"/>
              <w:right w:w="105" w:type="dxa"/>
            </w:tcMar>
          </w:tcPr>
          <w:p w14:paraId="5A3CB185" w14:textId="07651B7E" w:rsidR="00A55836" w:rsidRDefault="00A55836" w:rsidP="00C66290">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sz w:val="20"/>
                <w:szCs w:val="20"/>
              </w:rPr>
            </w:pPr>
            <w:r w:rsidRPr="16015C11">
              <w:rPr>
                <w:rFonts w:eastAsia="Calibri" w:cs="Calibri"/>
                <w:b/>
                <w:bCs/>
                <w:sz w:val="20"/>
                <w:szCs w:val="20"/>
              </w:rPr>
              <w:t>Section 8</w:t>
            </w:r>
            <w:r w:rsidRPr="16015C11">
              <w:rPr>
                <w:rFonts w:eastAsia="Calibri" w:cs="Calibri"/>
                <w:sz w:val="20"/>
                <w:szCs w:val="20"/>
              </w:rPr>
              <w:t xml:space="preserve"> </w:t>
            </w:r>
            <w:r w:rsidR="001736E6" w:rsidRPr="0015540C">
              <w:rPr>
                <w:rFonts w:eastAsia="Calibri" w:cs="Calibri"/>
                <w:sz w:val="20"/>
                <w:szCs w:val="20"/>
              </w:rPr>
              <w:t>–</w:t>
            </w:r>
            <w:r w:rsidR="001736E6">
              <w:rPr>
                <w:rFonts w:eastAsia="Calibri" w:cs="Calibri"/>
                <w:sz w:val="20"/>
                <w:szCs w:val="20"/>
              </w:rPr>
              <w:t xml:space="preserve"> </w:t>
            </w:r>
            <w:r w:rsidRPr="16015C11">
              <w:rPr>
                <w:rFonts w:eastAsia="Calibri" w:cs="Calibri"/>
                <w:sz w:val="20"/>
                <w:szCs w:val="20"/>
              </w:rPr>
              <w:t xml:space="preserve">the Secretary of the Department of Education </w:t>
            </w:r>
          </w:p>
        </w:tc>
        <w:tc>
          <w:tcPr>
            <w:tcW w:w="2985" w:type="dxa"/>
            <w:tcBorders>
              <w:right w:val="single" w:sz="8" w:space="0" w:color="auto"/>
            </w:tcBorders>
            <w:tcMar>
              <w:left w:w="105" w:type="dxa"/>
              <w:right w:w="105" w:type="dxa"/>
            </w:tcMar>
          </w:tcPr>
          <w:p w14:paraId="65732171" w14:textId="1C0CB445" w:rsidR="00A55836" w:rsidRPr="00D42704" w:rsidRDefault="00A55836" w:rsidP="00483A03">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sz w:val="20"/>
                <w:szCs w:val="20"/>
              </w:rPr>
            </w:pPr>
            <w:r w:rsidRPr="00D42704">
              <w:rPr>
                <w:rFonts w:eastAsia="Calibri" w:cs="Calibri"/>
                <w:sz w:val="20"/>
                <w:szCs w:val="20"/>
              </w:rPr>
              <w:t>Quality Assessment &amp; Regulation Division, Department of Education</w:t>
            </w:r>
          </w:p>
          <w:p w14:paraId="0CD6DBFF" w14:textId="77777777" w:rsidR="00A55836" w:rsidRPr="00D42704" w:rsidRDefault="00A55836" w:rsidP="00483A03">
            <w:pPr>
              <w:spacing w:line="259" w:lineRule="auto"/>
              <w:cnfStyle w:val="000000100000" w:firstRow="0" w:lastRow="0" w:firstColumn="0" w:lastColumn="0" w:oddVBand="0" w:evenVBand="0" w:oddHBand="1" w:evenHBand="0" w:firstRowFirstColumn="0" w:firstRowLastColumn="0" w:lastRowFirstColumn="0" w:lastRowLastColumn="0"/>
              <w:rPr>
                <w:rFonts w:eastAsia="Calibri" w:cs="Calibri"/>
                <w:sz w:val="20"/>
                <w:szCs w:val="20"/>
              </w:rPr>
            </w:pPr>
          </w:p>
        </w:tc>
      </w:tr>
      <w:tr w:rsidR="00A55836" w14:paraId="39FF0795" w14:textId="77777777" w:rsidTr="00D57C08">
        <w:trPr>
          <w:trHeight w:val="300"/>
        </w:trPr>
        <w:tc>
          <w:tcPr>
            <w:cnfStyle w:val="001000000000" w:firstRow="0" w:lastRow="0" w:firstColumn="1" w:lastColumn="0" w:oddVBand="0" w:evenVBand="0" w:oddHBand="0" w:evenHBand="0" w:firstRowFirstColumn="0" w:firstRowLastColumn="0" w:lastRowFirstColumn="0" w:lastRowLastColumn="0"/>
            <w:tcW w:w="1245" w:type="dxa"/>
            <w:tcBorders>
              <w:left w:val="single" w:sz="8" w:space="0" w:color="auto"/>
              <w:bottom w:val="single" w:sz="8" w:space="0" w:color="auto"/>
            </w:tcBorders>
            <w:tcMar>
              <w:left w:w="105" w:type="dxa"/>
              <w:right w:w="105" w:type="dxa"/>
            </w:tcMar>
          </w:tcPr>
          <w:p w14:paraId="26CF46A3" w14:textId="77777777" w:rsidR="00A55836" w:rsidRDefault="00A55836" w:rsidP="00C66290">
            <w:pPr>
              <w:spacing w:line="259" w:lineRule="auto"/>
              <w:rPr>
                <w:rFonts w:eastAsia="Calibri" w:cs="Calibri"/>
                <w:sz w:val="20"/>
                <w:szCs w:val="20"/>
              </w:rPr>
            </w:pPr>
            <w:r w:rsidRPr="16015C11">
              <w:rPr>
                <w:rFonts w:eastAsia="Calibri" w:cs="Calibri"/>
                <w:sz w:val="20"/>
                <w:szCs w:val="20"/>
              </w:rPr>
              <w:t>WA</w:t>
            </w:r>
          </w:p>
        </w:tc>
        <w:tc>
          <w:tcPr>
            <w:tcW w:w="2490" w:type="dxa"/>
            <w:tcBorders>
              <w:bottom w:val="single" w:sz="8" w:space="0" w:color="auto"/>
            </w:tcBorders>
            <w:tcMar>
              <w:left w:w="105" w:type="dxa"/>
              <w:right w:w="105" w:type="dxa"/>
            </w:tcMar>
          </w:tcPr>
          <w:p w14:paraId="78D5A4DE" w14:textId="77777777" w:rsidR="00A55836" w:rsidRPr="00945559" w:rsidRDefault="00A55836" w:rsidP="00C66290">
            <w:pPr>
              <w:spacing w:line="259" w:lineRule="auto"/>
              <w:cnfStyle w:val="000000000000" w:firstRow="0" w:lastRow="0" w:firstColumn="0" w:lastColumn="0" w:oddVBand="0" w:evenVBand="0" w:oddHBand="0" w:evenHBand="0" w:firstRowFirstColumn="0" w:firstRowLastColumn="0" w:lastRowFirstColumn="0" w:lastRowLastColumn="0"/>
              <w:rPr>
                <w:rFonts w:eastAsia="Calibri" w:cs="Calibri"/>
                <w:i/>
                <w:iCs/>
                <w:sz w:val="20"/>
                <w:szCs w:val="20"/>
              </w:rPr>
            </w:pPr>
            <w:r w:rsidRPr="00945559">
              <w:rPr>
                <w:rFonts w:eastAsia="Calibri" w:cs="Calibri"/>
                <w:i/>
                <w:iCs/>
                <w:sz w:val="20"/>
                <w:szCs w:val="20"/>
              </w:rPr>
              <w:t>Education and Care Services National (WA) Act 2012</w:t>
            </w:r>
          </w:p>
        </w:tc>
        <w:tc>
          <w:tcPr>
            <w:tcW w:w="2985" w:type="dxa"/>
            <w:tcBorders>
              <w:bottom w:val="single" w:sz="8" w:space="0" w:color="auto"/>
            </w:tcBorders>
            <w:tcMar>
              <w:left w:w="105" w:type="dxa"/>
              <w:right w:w="105" w:type="dxa"/>
            </w:tcMar>
          </w:tcPr>
          <w:p w14:paraId="4C53B2A2" w14:textId="2A0BE9D2" w:rsidR="00945559" w:rsidRDefault="00A55836" w:rsidP="00D42704">
            <w:pPr>
              <w:spacing w:line="259" w:lineRule="auto"/>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16015C11">
              <w:rPr>
                <w:rFonts w:eastAsia="Calibri" w:cs="Calibri"/>
                <w:b/>
                <w:bCs/>
                <w:sz w:val="20"/>
                <w:szCs w:val="20"/>
              </w:rPr>
              <w:t>Section 8</w:t>
            </w:r>
            <w:r w:rsidRPr="16015C11">
              <w:rPr>
                <w:rFonts w:eastAsia="Calibri" w:cs="Calibri"/>
                <w:sz w:val="20"/>
                <w:szCs w:val="20"/>
              </w:rPr>
              <w:t xml:space="preserve"> </w:t>
            </w:r>
            <w:r w:rsidR="001736E6" w:rsidRPr="0015540C">
              <w:rPr>
                <w:rFonts w:eastAsia="Calibri" w:cs="Calibri"/>
                <w:sz w:val="20"/>
                <w:szCs w:val="20"/>
              </w:rPr>
              <w:t>–</w:t>
            </w:r>
            <w:r w:rsidRPr="16015C11">
              <w:rPr>
                <w:rFonts w:eastAsia="Calibri" w:cs="Calibri"/>
                <w:sz w:val="20"/>
                <w:szCs w:val="20"/>
              </w:rPr>
              <w:t xml:space="preserve"> the chief executive officer of the department principally assisting in the administration of the </w:t>
            </w:r>
            <w:r w:rsidRPr="16015C11">
              <w:rPr>
                <w:rFonts w:eastAsia="Calibri" w:cs="Calibri"/>
                <w:i/>
                <w:iCs/>
                <w:sz w:val="20"/>
                <w:szCs w:val="20"/>
              </w:rPr>
              <w:t>Child Care Services Act 2007</w:t>
            </w:r>
            <w:r w:rsidRPr="16015C11">
              <w:rPr>
                <w:rFonts w:eastAsia="Calibri" w:cs="Calibri"/>
                <w:sz w:val="20"/>
                <w:szCs w:val="20"/>
              </w:rPr>
              <w:t xml:space="preserve"> </w:t>
            </w:r>
          </w:p>
        </w:tc>
        <w:tc>
          <w:tcPr>
            <w:tcW w:w="2985" w:type="dxa"/>
            <w:tcBorders>
              <w:bottom w:val="single" w:sz="8" w:space="0" w:color="auto"/>
              <w:right w:val="single" w:sz="8" w:space="0" w:color="auto"/>
            </w:tcBorders>
            <w:tcMar>
              <w:left w:w="105" w:type="dxa"/>
              <w:right w:w="105" w:type="dxa"/>
            </w:tcMar>
          </w:tcPr>
          <w:p w14:paraId="41F8C8D1" w14:textId="77777777" w:rsidR="00A55836" w:rsidRPr="00D42704" w:rsidRDefault="00A55836" w:rsidP="00483A03">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D42704">
              <w:rPr>
                <w:rStyle w:val="Strong"/>
                <w:rFonts w:eastAsia="Calibri" w:cs="Calibri"/>
                <w:b w:val="0"/>
                <w:bCs w:val="0"/>
                <w:sz w:val="20"/>
                <w:szCs w:val="20"/>
              </w:rPr>
              <w:t>Education and Care Regulatory Unit, Department of Communities</w:t>
            </w:r>
          </w:p>
          <w:p w14:paraId="003CDD36" w14:textId="77777777" w:rsidR="00A55836" w:rsidRPr="00D42704" w:rsidRDefault="00A55836" w:rsidP="00483A03">
            <w:pPr>
              <w:spacing w:line="259" w:lineRule="auto"/>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r>
    </w:tbl>
    <w:p w14:paraId="07D2A3FE" w14:textId="77777777" w:rsidR="00A55836" w:rsidRPr="00665355" w:rsidRDefault="00A55836" w:rsidP="00A55836">
      <w:pPr>
        <w:spacing w:after="160" w:line="259" w:lineRule="auto"/>
        <w:rPr>
          <w:rFonts w:eastAsia="Calibri" w:cs="Calibri"/>
          <w:color w:val="000000" w:themeColor="text1"/>
          <w:lang w:val="en-US"/>
        </w:rPr>
      </w:pPr>
    </w:p>
    <w:p w14:paraId="36EA065D" w14:textId="77777777" w:rsidR="00A55836" w:rsidRPr="00665355" w:rsidRDefault="00A55836" w:rsidP="00A55836">
      <w:pPr>
        <w:spacing w:after="160" w:line="259" w:lineRule="auto"/>
        <w:rPr>
          <w:rFonts w:eastAsia="Calibri" w:cs="Calibri"/>
          <w:color w:val="000000" w:themeColor="text1"/>
          <w:lang w:val="en-US"/>
        </w:rPr>
      </w:pPr>
    </w:p>
    <w:p w14:paraId="4B02F560" w14:textId="77777777" w:rsidR="00A55836" w:rsidRDefault="00A55836" w:rsidP="00A55836">
      <w:pPr>
        <w:sectPr w:rsidR="00A55836" w:rsidSect="00512E04">
          <w:headerReference w:type="even" r:id="rId28"/>
          <w:headerReference w:type="default" r:id="rId29"/>
          <w:headerReference w:type="first" r:id="rId30"/>
          <w:footerReference w:type="first" r:id="rId31"/>
          <w:pgSz w:w="11907" w:h="16840" w:code="9"/>
          <w:pgMar w:top="1440" w:right="1080" w:bottom="1440" w:left="1080" w:header="709" w:footer="709" w:gutter="0"/>
          <w:cols w:space="708"/>
          <w:docGrid w:linePitch="360"/>
        </w:sectPr>
      </w:pPr>
    </w:p>
    <w:p w14:paraId="6019B0C7" w14:textId="77777777" w:rsidR="00A55836" w:rsidRPr="004A0613" w:rsidRDefault="00A55836" w:rsidP="00A55836">
      <w:pPr>
        <w:rPr>
          <w:color w:val="4F81BD" w:themeColor="accent1"/>
          <w:sz w:val="36"/>
          <w:szCs w:val="36"/>
        </w:rPr>
      </w:pPr>
      <w:r>
        <w:rPr>
          <w:noProof/>
          <w:lang w:eastAsia="en-AU"/>
        </w:rPr>
        <w:drawing>
          <wp:inline distT="0" distB="0" distL="0" distR="0" wp14:anchorId="7063E44D" wp14:editId="4F02FEC3">
            <wp:extent cx="2514600" cy="708057"/>
            <wp:effectExtent l="0" t="0" r="6350" b="0"/>
            <wp:docPr id="1332995672" name="Picture 1332995672" descr="National Education &amp; Care Services FOI &amp; Privacy Commissioners &amp; 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95672" name="Picture 1332995672" descr="National Education &amp; Care Services FOI &amp; Privacy Commissioners &amp; Ombudsman log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14600" cy="708057"/>
                    </a:xfrm>
                    <a:prstGeom prst="rect">
                      <a:avLst/>
                    </a:prstGeom>
                  </pic:spPr>
                </pic:pic>
              </a:graphicData>
            </a:graphic>
          </wp:inline>
        </w:drawing>
      </w:r>
    </w:p>
    <w:p w14:paraId="0C889B42" w14:textId="3C2DAB12" w:rsidR="00A55836" w:rsidRPr="00F314DB" w:rsidRDefault="00A55836" w:rsidP="00A55836">
      <w:pPr>
        <w:tabs>
          <w:tab w:val="left" w:pos="1824"/>
        </w:tabs>
        <w:jc w:val="right"/>
        <w:rPr>
          <w:rFonts w:asciiTheme="minorHAnsi" w:eastAsiaTheme="minorEastAsia" w:hAnsiTheme="minorHAnsi" w:cstheme="minorBidi"/>
          <w:color w:val="365F91" w:themeColor="accent1" w:themeShade="BF"/>
          <w:sz w:val="28"/>
          <w:szCs w:val="28"/>
        </w:rPr>
      </w:pPr>
      <w:r w:rsidRPr="00F314DB">
        <w:rPr>
          <w:rFonts w:asciiTheme="minorHAnsi" w:eastAsiaTheme="minorEastAsia" w:hAnsiTheme="minorHAnsi" w:cstheme="minorBidi"/>
          <w:color w:val="365F91" w:themeColor="accent1" w:themeShade="BF"/>
          <w:sz w:val="28"/>
          <w:szCs w:val="28"/>
        </w:rPr>
        <w:t>NECS Privacy Commissioner Guideline 1</w:t>
      </w:r>
    </w:p>
    <w:p w14:paraId="6FB8DCEF" w14:textId="77777777" w:rsidR="00A55836" w:rsidRPr="002253A8" w:rsidRDefault="00A55836" w:rsidP="002253A8">
      <w:pPr>
        <w:pStyle w:val="Heading2"/>
        <w:rPr>
          <w:sz w:val="36"/>
          <w:szCs w:val="36"/>
        </w:rPr>
      </w:pPr>
      <w:bookmarkStart w:id="38" w:name="_Guideline_adopting_parts"/>
      <w:bookmarkStart w:id="39" w:name="_Toc160544968"/>
      <w:bookmarkEnd w:id="38"/>
      <w:r w:rsidRPr="002253A8">
        <w:rPr>
          <w:sz w:val="36"/>
          <w:szCs w:val="36"/>
        </w:rPr>
        <w:t>Guideline adopting parts of the AIC Australian Privacy Principles Guidelines</w:t>
      </w:r>
      <w:bookmarkEnd w:id="39"/>
    </w:p>
    <w:p w14:paraId="2200B23D" w14:textId="77777777" w:rsidR="00A55836" w:rsidRPr="00640571" w:rsidRDefault="00A55836" w:rsidP="00A55836">
      <w:pPr>
        <w:spacing w:before="240" w:after="240"/>
        <w:rPr>
          <w:b/>
          <w:color w:val="365F91" w:themeColor="accent1" w:themeShade="BF"/>
          <w:sz w:val="28"/>
          <w:szCs w:val="28"/>
        </w:rPr>
      </w:pPr>
      <w:r w:rsidRPr="00640571">
        <w:rPr>
          <w:b/>
          <w:color w:val="365F91" w:themeColor="accent1" w:themeShade="BF"/>
          <w:sz w:val="28"/>
          <w:szCs w:val="28"/>
        </w:rPr>
        <w:t>Terms</w:t>
      </w:r>
    </w:p>
    <w:p w14:paraId="0FC299EA" w14:textId="77777777" w:rsidR="00A55836" w:rsidRDefault="00A55836" w:rsidP="00A55836">
      <w:pPr>
        <w:spacing w:before="240" w:after="0"/>
      </w:pPr>
      <w:r w:rsidRPr="00DB6DE1">
        <w:t>The following terms and acronyms are used in th</w:t>
      </w:r>
      <w:r>
        <w:t xml:space="preserve">is </w:t>
      </w:r>
      <w:r w:rsidRPr="00DB6DE1">
        <w:t>Guideline:</w:t>
      </w:r>
    </w:p>
    <w:p w14:paraId="379771FC" w14:textId="77777777" w:rsidR="00A55836" w:rsidRPr="00DB6DE1" w:rsidRDefault="00A55836" w:rsidP="00A55836">
      <w:pPr>
        <w:spacing w:before="240" w:after="0"/>
      </w:pPr>
      <w:r w:rsidRPr="00DB6DE1">
        <w:rPr>
          <w:b/>
        </w:rPr>
        <w:t>ACECQA</w:t>
      </w:r>
      <w:r w:rsidRPr="00DB6DE1">
        <w:t xml:space="preserve"> means the Australian Children’s Education and Care Quality Authority.</w:t>
      </w:r>
    </w:p>
    <w:p w14:paraId="47FCB16E" w14:textId="77777777" w:rsidR="00A55836" w:rsidRPr="00DB6DE1" w:rsidRDefault="00A55836" w:rsidP="00A55836">
      <w:pPr>
        <w:spacing w:before="60" w:after="0"/>
        <w:rPr>
          <w:b/>
        </w:rPr>
      </w:pPr>
      <w:r w:rsidRPr="00DB6DE1">
        <w:rPr>
          <w:b/>
        </w:rPr>
        <w:t xml:space="preserve">APP Guidelines </w:t>
      </w:r>
      <w:r w:rsidRPr="00DB6DE1">
        <w:t>or the</w:t>
      </w:r>
      <w:r w:rsidRPr="00DB6DE1">
        <w:rPr>
          <w:b/>
        </w:rPr>
        <w:t xml:space="preserve"> Australian Privacy Principles Guidelines</w:t>
      </w:r>
      <w:r w:rsidRPr="00DB6DE1">
        <w:t xml:space="preserve"> mean the Australian Privacy Principles Guidelines issued by the Australian Information Commissioner under s28 of the </w:t>
      </w:r>
      <w:r w:rsidRPr="008E3783">
        <w:rPr>
          <w:i/>
        </w:rPr>
        <w:t>Privacy Act 1988</w:t>
      </w:r>
      <w:r w:rsidRPr="00DB6DE1">
        <w:rPr>
          <w:b/>
        </w:rPr>
        <w:t xml:space="preserve"> </w:t>
      </w:r>
      <w:r w:rsidRPr="00DB6DE1">
        <w:t>(</w:t>
      </w:r>
      <w:proofErr w:type="spellStart"/>
      <w:r w:rsidRPr="00DB6DE1">
        <w:t>Cth</w:t>
      </w:r>
      <w:proofErr w:type="spellEnd"/>
      <w:r w:rsidRPr="00DB6DE1">
        <w:t>).</w:t>
      </w:r>
      <w:r w:rsidRPr="00DB6DE1">
        <w:rPr>
          <w:b/>
        </w:rPr>
        <w:t xml:space="preserve"> </w:t>
      </w:r>
    </w:p>
    <w:p w14:paraId="442F9D7B" w14:textId="77777777" w:rsidR="00A55836" w:rsidRPr="004C1823" w:rsidRDefault="00A55836" w:rsidP="00A55836">
      <w:pPr>
        <w:spacing w:before="60" w:after="0"/>
        <w:jc w:val="both"/>
        <w:rPr>
          <w:rStyle w:val="Hyperlink"/>
          <w:b/>
          <w:bCs/>
          <w:iCs/>
          <w:color w:val="auto"/>
          <w:u w:val="none"/>
        </w:rPr>
      </w:pPr>
      <w:r w:rsidRPr="004C1823">
        <w:rPr>
          <w:rStyle w:val="Hyperlink"/>
          <w:b/>
          <w:bCs/>
          <w:iCs/>
          <w:color w:val="auto"/>
          <w:u w:val="none"/>
        </w:rPr>
        <w:t xml:space="preserve">Australian Information Commissioner or the Information Commissioner, or AIC </w:t>
      </w:r>
      <w:r w:rsidRPr="004C1823">
        <w:rPr>
          <w:rStyle w:val="Hyperlink"/>
          <w:bCs/>
          <w:iCs/>
          <w:color w:val="auto"/>
          <w:u w:val="none"/>
        </w:rPr>
        <w:t xml:space="preserve">means the Australian Information Commissioner as defined in the Privacy Act and the </w:t>
      </w:r>
      <w:r w:rsidRPr="004C1823">
        <w:rPr>
          <w:rStyle w:val="Hyperlink"/>
          <w:bCs/>
          <w:i/>
          <w:iCs/>
          <w:color w:val="auto"/>
          <w:u w:val="none"/>
        </w:rPr>
        <w:t xml:space="preserve">Australian Information Commissioner Act 2010 </w:t>
      </w:r>
      <w:r w:rsidRPr="004C1823">
        <w:rPr>
          <w:rStyle w:val="Hyperlink"/>
          <w:bCs/>
          <w:iCs/>
          <w:color w:val="auto"/>
          <w:u w:val="none"/>
        </w:rPr>
        <w:t>(</w:t>
      </w:r>
      <w:proofErr w:type="spellStart"/>
      <w:r w:rsidRPr="004C1823">
        <w:rPr>
          <w:rStyle w:val="Hyperlink"/>
          <w:bCs/>
          <w:iCs/>
          <w:color w:val="auto"/>
          <w:u w:val="none"/>
        </w:rPr>
        <w:t>Cth</w:t>
      </w:r>
      <w:proofErr w:type="spellEnd"/>
      <w:r w:rsidRPr="004C1823">
        <w:rPr>
          <w:rStyle w:val="Hyperlink"/>
          <w:bCs/>
          <w:iCs/>
          <w:color w:val="auto"/>
          <w:u w:val="none"/>
        </w:rPr>
        <w:t>).</w:t>
      </w:r>
    </w:p>
    <w:p w14:paraId="71B94D53" w14:textId="77777777" w:rsidR="00A55836" w:rsidRPr="006344A1" w:rsidRDefault="00A55836" w:rsidP="00A55836">
      <w:pPr>
        <w:spacing w:before="60" w:after="0"/>
        <w:rPr>
          <w:i/>
        </w:rPr>
      </w:pPr>
      <w:r w:rsidRPr="00DB6DE1">
        <w:rPr>
          <w:b/>
        </w:rPr>
        <w:t>ECS Agency/</w:t>
      </w:r>
      <w:proofErr w:type="spellStart"/>
      <w:r w:rsidRPr="00DB6DE1">
        <w:rPr>
          <w:b/>
        </w:rPr>
        <w:t>ies</w:t>
      </w:r>
      <w:proofErr w:type="spellEnd"/>
      <w:r w:rsidRPr="00DB6DE1">
        <w:rPr>
          <w:b/>
        </w:rPr>
        <w:t xml:space="preserve"> </w:t>
      </w:r>
      <w:r w:rsidRPr="00DB6DE1">
        <w:t>means</w:t>
      </w:r>
      <w:r w:rsidRPr="00DB6DE1">
        <w:rPr>
          <w:b/>
        </w:rPr>
        <w:t xml:space="preserve"> </w:t>
      </w:r>
      <w:r w:rsidRPr="00DB6DE1">
        <w:t xml:space="preserve">ACECQA and/or the Regulatory </w:t>
      </w:r>
      <w:r w:rsidRPr="006344A1">
        <w:t>Authorities of the participating jurisdictions</w:t>
      </w:r>
      <w:r>
        <w:t>.</w:t>
      </w:r>
      <w:r w:rsidRPr="006344A1">
        <w:rPr>
          <w:i/>
        </w:rPr>
        <w:t xml:space="preserve"> </w:t>
      </w:r>
    </w:p>
    <w:p w14:paraId="6CD85A97" w14:textId="77777777" w:rsidR="00A55836" w:rsidRPr="009945D7" w:rsidRDefault="00A55836" w:rsidP="00A55836">
      <w:pPr>
        <w:spacing w:before="60" w:after="0"/>
        <w:jc w:val="both"/>
        <w:rPr>
          <w:rStyle w:val="Hyperlink"/>
        </w:rPr>
      </w:pPr>
      <w:r w:rsidRPr="006344A1">
        <w:rPr>
          <w:b/>
        </w:rPr>
        <w:t>ECSNL</w:t>
      </w:r>
      <w:r w:rsidRPr="006344A1">
        <w:t xml:space="preserve"> means </w:t>
      </w:r>
      <w:r w:rsidRPr="00AA5761">
        <w:t xml:space="preserve">the </w:t>
      </w:r>
      <w:r w:rsidRPr="00AA5761">
        <w:rPr>
          <w:rStyle w:val="Hyperlink"/>
          <w:i/>
          <w:color w:val="auto"/>
          <w:u w:val="none"/>
        </w:rPr>
        <w:t xml:space="preserve">Education and Care Services National Law </w:t>
      </w:r>
      <w:r w:rsidRPr="00AA5761">
        <w:rPr>
          <w:rStyle w:val="Hyperlink"/>
          <w:color w:val="auto"/>
          <w:u w:val="none"/>
        </w:rPr>
        <w:t>as set out in the following provisions</w:t>
      </w:r>
      <w:r w:rsidRPr="009945D7">
        <w:rPr>
          <w:rStyle w:val="Hyperlink"/>
        </w:rPr>
        <w:t>:</w:t>
      </w:r>
      <w:r>
        <w:rPr>
          <w:rStyle w:val="Hyperlink"/>
        </w:rPr>
        <w:t xml:space="preserve">  </w:t>
      </w:r>
    </w:p>
    <w:p w14:paraId="4318535C" w14:textId="77777777" w:rsidR="00A55836" w:rsidRPr="009945D7" w:rsidRDefault="00A55836" w:rsidP="00A55836">
      <w:pPr>
        <w:shd w:val="clear" w:color="auto" w:fill="FEFEFE"/>
        <w:spacing w:before="60" w:after="0"/>
        <w:rPr>
          <w:rFonts w:cstheme="minorHAnsi"/>
          <w:lang w:val="en-US"/>
        </w:rPr>
      </w:pPr>
      <w:r>
        <w:rPr>
          <w:rFonts w:cstheme="minorHAnsi"/>
          <w:lang w:val="en-US"/>
        </w:rPr>
        <w:t xml:space="preserve">In respect of </w:t>
      </w:r>
      <w:r w:rsidRPr="009945D7">
        <w:rPr>
          <w:rFonts w:cstheme="minorHAnsi"/>
          <w:lang w:val="en-US"/>
        </w:rPr>
        <w:t xml:space="preserve">Australian Capital Territory - the Schedule to </w:t>
      </w:r>
      <w:r w:rsidRPr="009945D7">
        <w:rPr>
          <w:rFonts w:cstheme="minorHAnsi"/>
          <w:i/>
          <w:lang w:val="en-US"/>
        </w:rPr>
        <w:t xml:space="preserve">the </w:t>
      </w:r>
      <w:hyperlink r:id="rId33" w:tgtFrame="_blank" w:history="1">
        <w:r w:rsidRPr="009945D7">
          <w:rPr>
            <w:rFonts w:cstheme="minorHAnsi"/>
            <w:i/>
            <w:lang w:val="en-US"/>
          </w:rPr>
          <w:t>Education and Care Services National Law Act 2010</w:t>
        </w:r>
      </w:hyperlink>
      <w:r w:rsidRPr="009945D7">
        <w:rPr>
          <w:rFonts w:cstheme="minorHAnsi"/>
          <w:lang w:val="en-US"/>
        </w:rPr>
        <w:t xml:space="preserve"> (Vic) as adopted by the </w:t>
      </w:r>
      <w:hyperlink r:id="rId34" w:tgtFrame="_blank" w:history="1">
        <w:r w:rsidRPr="008E3783">
          <w:rPr>
            <w:rFonts w:cstheme="minorHAnsi"/>
            <w:i/>
            <w:lang w:val="en-US"/>
          </w:rPr>
          <w:t>Education &amp; Care Services National Law (ACT) Act 2011</w:t>
        </w:r>
      </w:hyperlink>
      <w:r w:rsidRPr="009945D7">
        <w:rPr>
          <w:rFonts w:cstheme="minorHAnsi"/>
          <w:lang w:val="en-US"/>
        </w:rPr>
        <w:t>.</w:t>
      </w:r>
    </w:p>
    <w:p w14:paraId="1742B7AE" w14:textId="77777777" w:rsidR="00A55836" w:rsidRPr="009945D7" w:rsidRDefault="00A55836" w:rsidP="00A55836">
      <w:pPr>
        <w:shd w:val="clear" w:color="auto" w:fill="FEFEFE"/>
        <w:spacing w:before="60" w:after="0"/>
        <w:rPr>
          <w:rFonts w:cstheme="minorHAnsi"/>
          <w:lang w:val="en-US"/>
        </w:rPr>
      </w:pPr>
      <w:r>
        <w:rPr>
          <w:rFonts w:cstheme="minorHAnsi"/>
          <w:lang w:val="en-US"/>
        </w:rPr>
        <w:t xml:space="preserve">In respect of </w:t>
      </w:r>
      <w:r w:rsidRPr="009945D7">
        <w:rPr>
          <w:rFonts w:cstheme="minorHAnsi"/>
          <w:lang w:val="en-US"/>
        </w:rPr>
        <w:t xml:space="preserve">New South Wales - the Schedule to the </w:t>
      </w:r>
      <w:hyperlink r:id="rId35" w:tgtFrame="_blank" w:history="1">
        <w:r w:rsidRPr="009945D7">
          <w:rPr>
            <w:rFonts w:cstheme="minorHAnsi"/>
            <w:i/>
            <w:lang w:val="en-US"/>
          </w:rPr>
          <w:t>Education and Care Services National Law Act 2010</w:t>
        </w:r>
      </w:hyperlink>
      <w:r w:rsidRPr="009945D7">
        <w:rPr>
          <w:rFonts w:cstheme="minorHAnsi"/>
          <w:lang w:val="en-US"/>
        </w:rPr>
        <w:t xml:space="preserve"> (Vic) as adopted by the </w:t>
      </w:r>
      <w:hyperlink r:id="rId36" w:anchor="/view/act/2010/104a/full" w:tgtFrame="_blank" w:history="1">
        <w:r w:rsidRPr="0026108F">
          <w:rPr>
            <w:rFonts w:cstheme="minorHAnsi"/>
            <w:i/>
            <w:lang w:val="en-US"/>
          </w:rPr>
          <w:t>Children (Education and Care Services National Law Application) Act 2010</w:t>
        </w:r>
      </w:hyperlink>
      <w:r w:rsidRPr="0026108F">
        <w:rPr>
          <w:rFonts w:cstheme="minorHAnsi"/>
          <w:i/>
          <w:lang w:val="en-US"/>
        </w:rPr>
        <w:t xml:space="preserve"> </w:t>
      </w:r>
      <w:r w:rsidRPr="008E3783">
        <w:rPr>
          <w:rFonts w:cstheme="minorHAnsi"/>
          <w:lang w:val="en-US"/>
        </w:rPr>
        <w:t>(NSW).</w:t>
      </w:r>
    </w:p>
    <w:p w14:paraId="758D5E15" w14:textId="77777777" w:rsidR="00A55836" w:rsidRPr="009945D7" w:rsidRDefault="00A55836" w:rsidP="00A55836">
      <w:pPr>
        <w:shd w:val="clear" w:color="auto" w:fill="FEFEFE"/>
        <w:spacing w:before="60" w:after="0"/>
        <w:rPr>
          <w:rFonts w:cstheme="minorHAnsi"/>
          <w:lang w:val="en-US"/>
        </w:rPr>
      </w:pPr>
      <w:r>
        <w:rPr>
          <w:rFonts w:cstheme="minorHAnsi"/>
          <w:lang w:val="en-US"/>
        </w:rPr>
        <w:t xml:space="preserve">In respect of </w:t>
      </w:r>
      <w:r w:rsidRPr="009945D7">
        <w:rPr>
          <w:rFonts w:cstheme="minorHAnsi"/>
          <w:lang w:val="en-US"/>
        </w:rPr>
        <w:t xml:space="preserve">Northern Territory - Schedule to the </w:t>
      </w:r>
      <w:hyperlink r:id="rId37" w:tgtFrame="_blank" w:history="1">
        <w:r w:rsidRPr="009945D7">
          <w:rPr>
            <w:rFonts w:cstheme="minorHAnsi"/>
            <w:i/>
            <w:lang w:val="en-US"/>
          </w:rPr>
          <w:t>Education and Care Services National Law Act 2010</w:t>
        </w:r>
      </w:hyperlink>
      <w:r w:rsidRPr="009945D7">
        <w:rPr>
          <w:rFonts w:cstheme="minorHAnsi"/>
          <w:lang w:val="en-US"/>
        </w:rPr>
        <w:t xml:space="preserve"> (Vic) as adopted by the </w:t>
      </w:r>
      <w:hyperlink r:id="rId38" w:tgtFrame="_blank" w:history="1">
        <w:r w:rsidRPr="0026108F">
          <w:rPr>
            <w:rFonts w:cstheme="minorHAnsi"/>
            <w:i/>
            <w:lang w:val="en-US"/>
          </w:rPr>
          <w:t>Education and Care Services (National Uniform Legislation) Act 2011</w:t>
        </w:r>
      </w:hyperlink>
      <w:r w:rsidRPr="0026108F">
        <w:rPr>
          <w:rFonts w:cstheme="minorHAnsi"/>
          <w:i/>
          <w:lang w:val="en-US"/>
        </w:rPr>
        <w:t>.</w:t>
      </w:r>
    </w:p>
    <w:p w14:paraId="4B5F3D98" w14:textId="77777777" w:rsidR="00A55836" w:rsidRPr="009945D7" w:rsidRDefault="00A55836" w:rsidP="00A55836">
      <w:pPr>
        <w:shd w:val="clear" w:color="auto" w:fill="FEFEFE"/>
        <w:spacing w:before="60" w:after="0"/>
        <w:rPr>
          <w:rFonts w:cstheme="minorHAnsi"/>
          <w:lang w:val="en-US"/>
        </w:rPr>
      </w:pPr>
      <w:r w:rsidRPr="009945D7">
        <w:rPr>
          <w:rFonts w:cstheme="minorHAnsi"/>
          <w:lang w:val="en-US"/>
        </w:rPr>
        <w:t xml:space="preserve">In respect of the Queensland - the Schedule to the </w:t>
      </w:r>
      <w:hyperlink r:id="rId39" w:tgtFrame="_blank" w:history="1">
        <w:r w:rsidRPr="009945D7">
          <w:rPr>
            <w:rFonts w:cstheme="minorHAnsi"/>
            <w:i/>
            <w:lang w:val="en-US"/>
          </w:rPr>
          <w:t>Education and Care Services National Law Act 2010</w:t>
        </w:r>
      </w:hyperlink>
      <w:r w:rsidRPr="009945D7">
        <w:rPr>
          <w:rFonts w:cstheme="minorHAnsi"/>
          <w:lang w:val="en-US"/>
        </w:rPr>
        <w:t xml:space="preserve"> (Vic) as adopted by the </w:t>
      </w:r>
      <w:hyperlink r:id="rId40" w:tgtFrame="_blank" w:history="1">
        <w:r w:rsidRPr="0026108F">
          <w:rPr>
            <w:rFonts w:cstheme="minorHAnsi"/>
            <w:i/>
            <w:lang w:val="en-US"/>
          </w:rPr>
          <w:t>Education and Care Services National Law (Queensland) Act 2011</w:t>
        </w:r>
      </w:hyperlink>
      <w:r w:rsidRPr="0026108F">
        <w:rPr>
          <w:rFonts w:cstheme="minorHAnsi"/>
          <w:i/>
          <w:lang w:val="en-US"/>
        </w:rPr>
        <w:t>.</w:t>
      </w:r>
    </w:p>
    <w:p w14:paraId="1FCAD4B3" w14:textId="77777777" w:rsidR="00A55836" w:rsidRPr="009945D7" w:rsidRDefault="00A55836" w:rsidP="00A55836">
      <w:pPr>
        <w:shd w:val="clear" w:color="auto" w:fill="FEFEFE"/>
        <w:spacing w:before="60" w:after="0"/>
        <w:rPr>
          <w:rFonts w:cstheme="minorHAnsi"/>
          <w:lang w:val="en-US"/>
        </w:rPr>
      </w:pPr>
      <w:r w:rsidRPr="009945D7">
        <w:rPr>
          <w:rFonts w:cstheme="minorHAnsi"/>
          <w:lang w:val="en-US"/>
        </w:rPr>
        <w:t xml:space="preserve">In respect of South Australia – </w:t>
      </w:r>
      <w:r>
        <w:rPr>
          <w:rFonts w:cstheme="minorHAnsi"/>
          <w:lang w:val="en-US"/>
        </w:rPr>
        <w:t xml:space="preserve">the </w:t>
      </w:r>
      <w:r w:rsidRPr="009945D7">
        <w:rPr>
          <w:rFonts w:cstheme="minorHAnsi"/>
          <w:lang w:val="en-US"/>
        </w:rPr>
        <w:t xml:space="preserve">Schedule 1 to the </w:t>
      </w:r>
      <w:hyperlink r:id="rId41" w:tgtFrame="_blank" w:history="1">
        <w:r w:rsidRPr="0026108F">
          <w:rPr>
            <w:rFonts w:cstheme="minorHAnsi"/>
            <w:i/>
            <w:lang w:val="en-US"/>
          </w:rPr>
          <w:t>Education and Early Childhood Services (Registration and Standards) Act 2011</w:t>
        </w:r>
      </w:hyperlink>
      <w:r w:rsidRPr="009945D7">
        <w:rPr>
          <w:rFonts w:cstheme="minorHAnsi"/>
          <w:lang w:val="en-US"/>
        </w:rPr>
        <w:t>.</w:t>
      </w:r>
    </w:p>
    <w:p w14:paraId="434EA0C2" w14:textId="77777777" w:rsidR="00A55836" w:rsidRDefault="00A55836" w:rsidP="00A55836">
      <w:pPr>
        <w:shd w:val="clear" w:color="auto" w:fill="FEFEFE"/>
        <w:spacing w:before="60" w:after="0"/>
        <w:rPr>
          <w:rFonts w:cstheme="minorHAnsi"/>
          <w:lang w:val="en-US"/>
        </w:rPr>
      </w:pPr>
      <w:r w:rsidRPr="009945D7">
        <w:rPr>
          <w:rFonts w:cstheme="minorHAnsi"/>
          <w:lang w:val="en-US"/>
        </w:rPr>
        <w:t xml:space="preserve">In respect of Tasmania - the Schedule to the </w:t>
      </w:r>
      <w:hyperlink r:id="rId42" w:tgtFrame="_blank" w:history="1">
        <w:r w:rsidRPr="009945D7">
          <w:rPr>
            <w:rFonts w:cstheme="minorHAnsi"/>
            <w:i/>
            <w:lang w:val="en-US"/>
          </w:rPr>
          <w:t>Education and Care Services National Law Act 2010</w:t>
        </w:r>
      </w:hyperlink>
      <w:r w:rsidRPr="009945D7">
        <w:rPr>
          <w:rFonts w:cstheme="minorHAnsi"/>
          <w:lang w:val="en-US"/>
        </w:rPr>
        <w:t xml:space="preserve"> (Vic) as adopted by the </w:t>
      </w:r>
      <w:hyperlink r:id="rId43" w:tgtFrame="_blank" w:history="1">
        <w:r w:rsidRPr="0026108F">
          <w:rPr>
            <w:rFonts w:cstheme="minorHAnsi"/>
            <w:i/>
            <w:lang w:val="en-US"/>
          </w:rPr>
          <w:t>Education and Care Services National Law (Application) Act 2011</w:t>
        </w:r>
      </w:hyperlink>
      <w:r w:rsidRPr="0026108F">
        <w:rPr>
          <w:rFonts w:cstheme="minorHAnsi"/>
          <w:i/>
          <w:lang w:val="en-US"/>
        </w:rPr>
        <w:t>.</w:t>
      </w:r>
    </w:p>
    <w:p w14:paraId="3A7A0220" w14:textId="77777777" w:rsidR="00A55836" w:rsidRDefault="00A55836" w:rsidP="00A55836">
      <w:pPr>
        <w:shd w:val="clear" w:color="auto" w:fill="FEFEFE"/>
        <w:spacing w:before="60" w:after="0"/>
        <w:rPr>
          <w:rFonts w:cstheme="minorHAnsi"/>
          <w:lang w:val="en-US"/>
        </w:rPr>
      </w:pPr>
      <w:r>
        <w:rPr>
          <w:rFonts w:cstheme="minorHAnsi"/>
          <w:lang w:val="en-US"/>
        </w:rPr>
        <w:t xml:space="preserve">In respect of </w:t>
      </w:r>
      <w:r w:rsidRPr="009945D7">
        <w:rPr>
          <w:rFonts w:cstheme="minorHAnsi"/>
          <w:lang w:val="en-US"/>
        </w:rPr>
        <w:t xml:space="preserve">Victoria – </w:t>
      </w:r>
      <w:r>
        <w:rPr>
          <w:rFonts w:cstheme="minorHAnsi"/>
          <w:lang w:val="en-US"/>
        </w:rPr>
        <w:t xml:space="preserve">the </w:t>
      </w:r>
      <w:r w:rsidRPr="009945D7">
        <w:rPr>
          <w:rFonts w:cstheme="minorHAnsi"/>
          <w:lang w:val="en-US"/>
        </w:rPr>
        <w:t xml:space="preserve">Schedule to the </w:t>
      </w:r>
      <w:hyperlink r:id="rId44" w:tgtFrame="_blank" w:history="1">
        <w:r w:rsidRPr="009945D7">
          <w:rPr>
            <w:rFonts w:cstheme="minorHAnsi"/>
            <w:i/>
            <w:lang w:val="en-US"/>
          </w:rPr>
          <w:t>Education and Care Services National Law Act 2010</w:t>
        </w:r>
      </w:hyperlink>
      <w:r w:rsidRPr="009945D7">
        <w:rPr>
          <w:rFonts w:cstheme="minorHAnsi"/>
          <w:lang w:val="en-US"/>
        </w:rPr>
        <w:t xml:space="preserve"> (Vic).</w:t>
      </w:r>
    </w:p>
    <w:p w14:paraId="75B062AF" w14:textId="77777777" w:rsidR="00A55836" w:rsidRPr="001A37F4" w:rsidRDefault="00A55836" w:rsidP="00A55836">
      <w:pPr>
        <w:shd w:val="clear" w:color="auto" w:fill="FEFEFE"/>
        <w:spacing w:before="60" w:after="0"/>
        <w:rPr>
          <w:rFonts w:cstheme="minorHAnsi"/>
          <w:lang w:val="en-US"/>
        </w:rPr>
      </w:pPr>
      <w:r w:rsidRPr="009945D7">
        <w:rPr>
          <w:rFonts w:cstheme="minorHAnsi"/>
          <w:lang w:val="en-US"/>
        </w:rPr>
        <w:t xml:space="preserve">In respect of Western Australia - the Schedule to the </w:t>
      </w:r>
      <w:hyperlink r:id="rId45" w:tgtFrame="_blank" w:history="1">
        <w:r w:rsidRPr="009945D7">
          <w:rPr>
            <w:rFonts w:cstheme="minorHAnsi"/>
            <w:i/>
            <w:lang w:val="en-US"/>
          </w:rPr>
          <w:t>Education and Care Services National Law (WA) Act 2012</w:t>
        </w:r>
      </w:hyperlink>
      <w:r w:rsidRPr="009945D7">
        <w:rPr>
          <w:rFonts w:cstheme="minorHAnsi"/>
          <w:i/>
          <w:lang w:val="en-US"/>
        </w:rPr>
        <w:t>.</w:t>
      </w:r>
    </w:p>
    <w:p w14:paraId="0AC6C458" w14:textId="77777777" w:rsidR="00A55836" w:rsidRPr="00B4616B" w:rsidRDefault="00A55836" w:rsidP="00A55836">
      <w:pPr>
        <w:spacing w:before="120" w:after="0"/>
      </w:pPr>
      <w:r>
        <w:rPr>
          <w:b/>
        </w:rPr>
        <w:t xml:space="preserve">ECSNL </w:t>
      </w:r>
      <w:r w:rsidRPr="006344A1">
        <w:rPr>
          <w:b/>
        </w:rPr>
        <w:t>Regulation</w:t>
      </w:r>
      <w:r>
        <w:rPr>
          <w:b/>
        </w:rPr>
        <w:t xml:space="preserve">s </w:t>
      </w:r>
      <w:r w:rsidRPr="006344A1">
        <w:t>means</w:t>
      </w:r>
      <w:r>
        <w:t xml:space="preserve"> </w:t>
      </w:r>
      <w:r w:rsidRPr="00B4616B">
        <w:t>the</w:t>
      </w:r>
      <w:r w:rsidRPr="00B4616B">
        <w:rPr>
          <w:b/>
        </w:rPr>
        <w:t xml:space="preserve"> </w:t>
      </w:r>
      <w:r w:rsidRPr="00B4616B">
        <w:rPr>
          <w:rStyle w:val="Hyperlink"/>
          <w:i/>
          <w:color w:val="auto"/>
          <w:u w:val="none"/>
        </w:rPr>
        <w:t>Education and Care Services National Law Regulations</w:t>
      </w:r>
      <w:r w:rsidRPr="00B4616B">
        <w:rPr>
          <w:rStyle w:val="Hyperlink"/>
          <w:color w:val="auto"/>
          <w:u w:val="none"/>
        </w:rPr>
        <w:t>.</w:t>
      </w:r>
    </w:p>
    <w:p w14:paraId="066725AF" w14:textId="77777777" w:rsidR="00A55836" w:rsidRPr="00DB6DE1" w:rsidRDefault="00A55836" w:rsidP="00A55836">
      <w:pPr>
        <w:spacing w:before="60" w:after="0"/>
      </w:pPr>
      <w:r w:rsidRPr="00DB6DE1">
        <w:rPr>
          <w:b/>
        </w:rPr>
        <w:t xml:space="preserve">Privacy Act </w:t>
      </w:r>
      <w:r w:rsidRPr="00DB6DE1">
        <w:t xml:space="preserve">means the </w:t>
      </w:r>
      <w:r w:rsidRPr="00DB6DE1">
        <w:rPr>
          <w:i/>
        </w:rPr>
        <w:t>Commonwealth Privacy Act 1988.</w:t>
      </w:r>
      <w:r w:rsidRPr="00DB6DE1">
        <w:t xml:space="preserve"> </w:t>
      </w:r>
    </w:p>
    <w:p w14:paraId="0965B69C" w14:textId="77777777" w:rsidR="00A55836" w:rsidRPr="006344A1" w:rsidRDefault="00A55836" w:rsidP="00A55836">
      <w:pPr>
        <w:spacing w:before="60" w:after="0"/>
        <w:jc w:val="both"/>
        <w:rPr>
          <w:b/>
        </w:rPr>
      </w:pPr>
      <w:r w:rsidRPr="006344A1">
        <w:rPr>
          <w:b/>
        </w:rPr>
        <w:t xml:space="preserve">NECS </w:t>
      </w:r>
      <w:r>
        <w:rPr>
          <w:b/>
        </w:rPr>
        <w:t>Privacy</w:t>
      </w:r>
      <w:r w:rsidRPr="006344A1">
        <w:rPr>
          <w:b/>
        </w:rPr>
        <w:t xml:space="preserve"> Commissioner </w:t>
      </w:r>
      <w:r w:rsidRPr="006344A1">
        <w:t xml:space="preserve">means the National Education and Care Services </w:t>
      </w:r>
      <w:r>
        <w:t>Privacy</w:t>
      </w:r>
      <w:r w:rsidRPr="006344A1">
        <w:t xml:space="preserve"> Commissioner</w:t>
      </w:r>
      <w:r>
        <w:t>.</w:t>
      </w:r>
    </w:p>
    <w:p w14:paraId="2E65F47D" w14:textId="77777777" w:rsidR="00257065" w:rsidRDefault="00A55836" w:rsidP="00A55836">
      <w:pPr>
        <w:spacing w:before="60" w:after="0"/>
        <w:rPr>
          <w:rFonts w:cstheme="minorHAnsi"/>
          <w:lang w:val="en-US"/>
        </w:rPr>
        <w:sectPr w:rsidR="00257065" w:rsidSect="00512E04">
          <w:headerReference w:type="even" r:id="rId46"/>
          <w:headerReference w:type="default" r:id="rId47"/>
          <w:headerReference w:type="first" r:id="rId48"/>
          <w:footerReference w:type="first" r:id="rId49"/>
          <w:pgSz w:w="11907" w:h="16840" w:code="9"/>
          <w:pgMar w:top="1440" w:right="1080" w:bottom="1440" w:left="1080" w:header="709" w:footer="709" w:gutter="0"/>
          <w:cols w:space="708"/>
          <w:docGrid w:linePitch="360"/>
        </w:sectPr>
      </w:pPr>
      <w:r>
        <w:rPr>
          <w:b/>
        </w:rPr>
        <w:t xml:space="preserve">NECS </w:t>
      </w:r>
      <w:r w:rsidRPr="006C1624">
        <w:rPr>
          <w:b/>
        </w:rPr>
        <w:t>Privacy Guideline</w:t>
      </w:r>
      <w:r>
        <w:rPr>
          <w:b/>
        </w:rPr>
        <w:t xml:space="preserve"> </w:t>
      </w:r>
      <w:r w:rsidRPr="006C1624">
        <w:t>mean</w:t>
      </w:r>
      <w:r>
        <w:rPr>
          <w:rFonts w:cstheme="minorHAnsi"/>
          <w:b/>
          <w:i/>
          <w:lang w:val="en-US"/>
        </w:rPr>
        <w:t xml:space="preserve"> </w:t>
      </w:r>
      <w:r>
        <w:rPr>
          <w:rFonts w:cstheme="minorHAnsi"/>
          <w:lang w:val="en-US"/>
        </w:rPr>
        <w:t>this Guideline.</w:t>
      </w:r>
    </w:p>
    <w:p w14:paraId="178D28E1" w14:textId="77777777" w:rsidR="00A55836" w:rsidRPr="00225165" w:rsidRDefault="00A55836" w:rsidP="00A55836">
      <w:pPr>
        <w:spacing w:before="60" w:after="0"/>
      </w:pPr>
      <w:r>
        <w:rPr>
          <w:b/>
        </w:rPr>
        <w:t xml:space="preserve">OAIC </w:t>
      </w:r>
      <w:r>
        <w:t>means the Office of the Australian Information Commissioner</w:t>
      </w:r>
    </w:p>
    <w:p w14:paraId="1D6609C5" w14:textId="77777777" w:rsidR="00A55836" w:rsidRPr="00685BFC" w:rsidRDefault="00A55836" w:rsidP="00A55836">
      <w:pPr>
        <w:spacing w:before="60" w:after="0"/>
        <w:rPr>
          <w:rStyle w:val="Hyperlink"/>
          <w:b/>
        </w:rPr>
      </w:pPr>
      <w:r w:rsidRPr="006344A1">
        <w:rPr>
          <w:b/>
        </w:rPr>
        <w:t xml:space="preserve">Regulatory Authority </w:t>
      </w:r>
      <w:r w:rsidRPr="006344A1">
        <w:t xml:space="preserve">means the </w:t>
      </w:r>
      <w:r>
        <w:t xml:space="preserve">State or Territory early childhood education and care </w:t>
      </w:r>
      <w:r w:rsidRPr="006344A1">
        <w:t>Regulatory Authority</w:t>
      </w:r>
      <w:r w:rsidRPr="006344A1">
        <w:rPr>
          <w:b/>
        </w:rPr>
        <w:t xml:space="preserve"> </w:t>
      </w:r>
      <w:r w:rsidRPr="006344A1">
        <w:t xml:space="preserve">of each participating jurisdiction under the </w:t>
      </w:r>
      <w:r w:rsidRPr="008E3783">
        <w:rPr>
          <w:i/>
        </w:rPr>
        <w:t>Education and Care Services National Law.</w:t>
      </w:r>
      <w:r w:rsidRPr="00685BFC">
        <w:rPr>
          <w:b/>
        </w:rPr>
        <w:t xml:space="preserve"> </w:t>
      </w:r>
    </w:p>
    <w:p w14:paraId="6E918FB9" w14:textId="77777777" w:rsidR="00A55836" w:rsidRPr="00E55CBD" w:rsidRDefault="00A55836" w:rsidP="00A55836">
      <w:pPr>
        <w:pBdr>
          <w:bottom w:val="single" w:sz="8" w:space="1" w:color="8064A2" w:themeColor="accent4"/>
        </w:pBdr>
        <w:spacing w:after="0"/>
        <w:rPr>
          <w:b/>
          <w:color w:val="0000FF" w:themeColor="hyperlink"/>
          <w:u w:val="single"/>
        </w:rPr>
      </w:pPr>
    </w:p>
    <w:p w14:paraId="61439F25" w14:textId="77777777" w:rsidR="00A55836" w:rsidRDefault="00A55836" w:rsidP="00A55836">
      <w:pPr>
        <w:spacing w:after="0"/>
        <w:rPr>
          <w:b/>
          <w:color w:val="31849B" w:themeColor="accent5" w:themeShade="BF"/>
          <w:sz w:val="28"/>
          <w:szCs w:val="28"/>
        </w:rPr>
      </w:pPr>
    </w:p>
    <w:p w14:paraId="7A3D40DB" w14:textId="77777777" w:rsidR="00A55836" w:rsidRPr="00640571" w:rsidRDefault="00A55836" w:rsidP="00A55836">
      <w:pPr>
        <w:spacing w:after="0"/>
        <w:rPr>
          <w:b/>
          <w:color w:val="365F91" w:themeColor="accent1" w:themeShade="BF"/>
          <w:sz w:val="28"/>
          <w:szCs w:val="28"/>
        </w:rPr>
      </w:pPr>
      <w:r w:rsidRPr="00640571">
        <w:rPr>
          <w:b/>
          <w:color w:val="365F91" w:themeColor="accent1" w:themeShade="BF"/>
          <w:sz w:val="28"/>
          <w:szCs w:val="28"/>
        </w:rPr>
        <w:t>Preamble</w:t>
      </w:r>
    </w:p>
    <w:p w14:paraId="1AEDF969" w14:textId="77777777" w:rsidR="00A55836" w:rsidRDefault="00A55836" w:rsidP="00A55836">
      <w:pPr>
        <w:autoSpaceDE w:val="0"/>
        <w:autoSpaceDN w:val="0"/>
        <w:adjustRightInd w:val="0"/>
        <w:spacing w:after="0"/>
        <w:rPr>
          <w:rFonts w:cstheme="minorHAnsi"/>
        </w:rPr>
      </w:pPr>
    </w:p>
    <w:p w14:paraId="368601B1" w14:textId="77777777" w:rsidR="00A55836" w:rsidRDefault="00A55836" w:rsidP="00A55836">
      <w:pPr>
        <w:autoSpaceDE w:val="0"/>
        <w:autoSpaceDN w:val="0"/>
        <w:adjustRightInd w:val="0"/>
        <w:spacing w:after="0"/>
        <w:rPr>
          <w:rFonts w:cstheme="minorHAnsi"/>
        </w:rPr>
      </w:pPr>
      <w:r w:rsidRPr="006732AA">
        <w:rPr>
          <w:rFonts w:cstheme="minorHAnsi"/>
        </w:rPr>
        <w:t xml:space="preserve">Section 263 of the </w:t>
      </w:r>
      <w:r w:rsidRPr="006732AA">
        <w:rPr>
          <w:rFonts w:cstheme="minorHAnsi"/>
          <w:lang w:val="en-US"/>
        </w:rPr>
        <w:t>ECSNL</w:t>
      </w:r>
      <w:r w:rsidRPr="006732AA">
        <w:rPr>
          <w:rFonts w:cstheme="minorHAnsi"/>
          <w:i/>
          <w:iCs/>
        </w:rPr>
        <w:t xml:space="preserve"> </w:t>
      </w:r>
      <w:r w:rsidRPr="006732AA">
        <w:rPr>
          <w:rFonts w:cstheme="minorHAnsi"/>
        </w:rPr>
        <w:t xml:space="preserve">applies the </w:t>
      </w:r>
      <w:r>
        <w:rPr>
          <w:rFonts w:cstheme="minorHAnsi"/>
        </w:rPr>
        <w:t xml:space="preserve">Commonwealth </w:t>
      </w:r>
      <w:r w:rsidRPr="002E4E55">
        <w:rPr>
          <w:rFonts w:cstheme="minorHAnsi"/>
          <w:i/>
        </w:rPr>
        <w:t>Privacy Act 1988</w:t>
      </w:r>
      <w:r w:rsidRPr="006732AA">
        <w:rPr>
          <w:rFonts w:cstheme="minorHAnsi"/>
        </w:rPr>
        <w:t xml:space="preserve"> (with modifications) as a law of a participating jurisdiction for the purposes of the National Quality Framework. </w:t>
      </w:r>
    </w:p>
    <w:p w14:paraId="4DFBC741" w14:textId="77777777" w:rsidR="00A55836" w:rsidRDefault="00A55836" w:rsidP="00A55836">
      <w:pPr>
        <w:autoSpaceDE w:val="0"/>
        <w:autoSpaceDN w:val="0"/>
        <w:adjustRightInd w:val="0"/>
        <w:spacing w:after="0"/>
        <w:rPr>
          <w:rFonts w:cstheme="minorHAnsi"/>
        </w:rPr>
      </w:pPr>
    </w:p>
    <w:p w14:paraId="4F17EE4A" w14:textId="77777777" w:rsidR="00A55836" w:rsidRDefault="00A55836" w:rsidP="00A55836">
      <w:pPr>
        <w:autoSpaceDE w:val="0"/>
        <w:autoSpaceDN w:val="0"/>
        <w:adjustRightInd w:val="0"/>
        <w:spacing w:after="0"/>
        <w:rPr>
          <w:rFonts w:cstheme="minorHAnsi"/>
          <w:b/>
          <w:bCs/>
          <w:iCs/>
          <w:lang w:val="en-US"/>
        </w:rPr>
      </w:pPr>
      <w:r w:rsidRPr="006732AA">
        <w:rPr>
          <w:rFonts w:cstheme="minorHAnsi"/>
        </w:rPr>
        <w:t xml:space="preserve">Section 263(2)(b) of </w:t>
      </w:r>
      <w:r w:rsidRPr="006732AA">
        <w:rPr>
          <w:rFonts w:cstheme="minorHAnsi"/>
          <w:lang w:val="en-US"/>
        </w:rPr>
        <w:t xml:space="preserve">the ECSNL modifies the Privacy Act so that a reference to the </w:t>
      </w:r>
      <w:r w:rsidRPr="006732AA">
        <w:rPr>
          <w:rFonts w:cstheme="minorHAnsi"/>
          <w:i/>
          <w:lang w:val="en-US"/>
        </w:rPr>
        <w:t>Information Commissioner</w:t>
      </w:r>
      <w:r w:rsidRPr="006732AA">
        <w:rPr>
          <w:rFonts w:cstheme="minorHAnsi"/>
          <w:lang w:val="en-US"/>
        </w:rPr>
        <w:t xml:space="preserve"> is to be construed as a reference to the </w:t>
      </w:r>
      <w:r w:rsidRPr="006732AA">
        <w:rPr>
          <w:rFonts w:cstheme="minorHAnsi"/>
          <w:i/>
          <w:lang w:val="en-US"/>
        </w:rPr>
        <w:t>National Education and Care Services Privacy Commissioner.</w:t>
      </w:r>
      <w:r w:rsidRPr="006732AA">
        <w:rPr>
          <w:rFonts w:cstheme="minorHAnsi"/>
          <w:b/>
          <w:bCs/>
          <w:iCs/>
          <w:lang w:val="en-US"/>
        </w:rPr>
        <w:t xml:space="preserve"> </w:t>
      </w:r>
    </w:p>
    <w:p w14:paraId="641D7961" w14:textId="77777777" w:rsidR="00A55836" w:rsidRDefault="00A55836" w:rsidP="00A55836">
      <w:pPr>
        <w:autoSpaceDE w:val="0"/>
        <w:autoSpaceDN w:val="0"/>
        <w:adjustRightInd w:val="0"/>
        <w:spacing w:after="0"/>
        <w:rPr>
          <w:rFonts w:cstheme="minorHAnsi"/>
          <w:iCs/>
          <w:lang w:val="en-US"/>
        </w:rPr>
      </w:pPr>
    </w:p>
    <w:p w14:paraId="59C658AD" w14:textId="77777777" w:rsidR="00A55836" w:rsidRDefault="00A55836" w:rsidP="00A55836">
      <w:pPr>
        <w:autoSpaceDE w:val="0"/>
        <w:autoSpaceDN w:val="0"/>
        <w:adjustRightInd w:val="0"/>
        <w:spacing w:after="0"/>
        <w:rPr>
          <w:rFonts w:cstheme="minorHAnsi"/>
          <w:iCs/>
          <w:color w:val="000000"/>
        </w:rPr>
      </w:pPr>
      <w:r w:rsidRPr="006732AA">
        <w:rPr>
          <w:rFonts w:cstheme="minorHAnsi"/>
          <w:iCs/>
          <w:lang w:val="en-US"/>
        </w:rPr>
        <w:t xml:space="preserve">Section 263(2)(c) </w:t>
      </w:r>
      <w:r w:rsidRPr="006732AA">
        <w:rPr>
          <w:rFonts w:cstheme="minorHAnsi"/>
        </w:rPr>
        <w:t xml:space="preserve">of </w:t>
      </w:r>
      <w:r w:rsidRPr="006732AA">
        <w:rPr>
          <w:rFonts w:cstheme="minorHAnsi"/>
          <w:lang w:val="en-US"/>
        </w:rPr>
        <w:t xml:space="preserve">the ECSNL </w:t>
      </w:r>
      <w:r w:rsidRPr="006732AA">
        <w:rPr>
          <w:rFonts w:cstheme="minorHAnsi"/>
          <w:iCs/>
        </w:rPr>
        <w:t>provides that the Privacy Act applies with any other modifications made by the ECSNL Reg</w:t>
      </w:r>
      <w:r w:rsidRPr="006732AA">
        <w:rPr>
          <w:rFonts w:cstheme="minorHAnsi"/>
        </w:rPr>
        <w:t>ulations</w:t>
      </w:r>
      <w:r w:rsidRPr="006732AA">
        <w:rPr>
          <w:rFonts w:cstheme="minorHAnsi"/>
          <w:i/>
        </w:rPr>
        <w:t xml:space="preserve">. </w:t>
      </w:r>
      <w:r w:rsidRPr="006732AA">
        <w:rPr>
          <w:rFonts w:cstheme="minorHAnsi"/>
          <w:iCs/>
          <w:lang w:val="en-US"/>
        </w:rPr>
        <w:t xml:space="preserve"> </w:t>
      </w:r>
      <w:r w:rsidRPr="006732AA">
        <w:rPr>
          <w:rFonts w:cstheme="minorHAnsi"/>
          <w:iCs/>
        </w:rPr>
        <w:t xml:space="preserve">Regulation 199(a) and (b) of the ECSNL Regulations provide that the Privacy Act only applies to the National Authority (which is ACECQA) and to the Regulatory Authority of each participating jurisdiction. </w:t>
      </w:r>
      <w:r>
        <w:rPr>
          <w:rFonts w:cstheme="minorHAnsi"/>
        </w:rPr>
        <w:t xml:space="preserve"> </w:t>
      </w:r>
      <w:r w:rsidRPr="00DB6DE1">
        <w:rPr>
          <w:rFonts w:cstheme="minorHAnsi"/>
          <w:iCs/>
        </w:rPr>
        <w:t>In th</w:t>
      </w:r>
      <w:r>
        <w:rPr>
          <w:rFonts w:cstheme="minorHAnsi"/>
          <w:iCs/>
        </w:rPr>
        <w:t>is</w:t>
      </w:r>
      <w:r w:rsidRPr="00DB6DE1">
        <w:rPr>
          <w:rFonts w:cstheme="minorHAnsi"/>
          <w:iCs/>
        </w:rPr>
        <w:t xml:space="preserve"> </w:t>
      </w:r>
      <w:r w:rsidRPr="00250E1C">
        <w:rPr>
          <w:rFonts w:cstheme="minorHAnsi"/>
          <w:iCs/>
        </w:rPr>
        <w:t xml:space="preserve">Guideline, </w:t>
      </w:r>
      <w:r w:rsidRPr="00DB6DE1">
        <w:rPr>
          <w:rFonts w:cstheme="minorHAnsi"/>
          <w:iCs/>
        </w:rPr>
        <w:t xml:space="preserve">ACECQA and the Regulatory </w:t>
      </w:r>
      <w:r>
        <w:rPr>
          <w:rFonts w:cstheme="minorHAnsi"/>
          <w:iCs/>
          <w:color w:val="000000"/>
        </w:rPr>
        <w:t xml:space="preserve">Authorities are referred to collectively as the </w:t>
      </w:r>
      <w:r w:rsidRPr="00813CC7">
        <w:rPr>
          <w:rFonts w:cstheme="minorHAnsi"/>
          <w:iCs/>
          <w:color w:val="000000"/>
        </w:rPr>
        <w:t>ECS Agencies.</w:t>
      </w:r>
    </w:p>
    <w:p w14:paraId="2944C7E8" w14:textId="77777777" w:rsidR="00A55836" w:rsidRDefault="00A55836" w:rsidP="00A55836">
      <w:pPr>
        <w:autoSpaceDE w:val="0"/>
        <w:autoSpaceDN w:val="0"/>
        <w:adjustRightInd w:val="0"/>
        <w:spacing w:after="0"/>
        <w:rPr>
          <w:rFonts w:cstheme="minorHAnsi"/>
        </w:rPr>
      </w:pPr>
    </w:p>
    <w:p w14:paraId="4EB5C7B4" w14:textId="77777777" w:rsidR="00A55836" w:rsidRDefault="00A55836" w:rsidP="00A55836">
      <w:r>
        <w:t xml:space="preserve">The Australian Privacy Principles (APPs) set out in Schedule 1 of the Privacy Act </w:t>
      </w:r>
      <w:r w:rsidRPr="00772CA5">
        <w:t xml:space="preserve">are legally binding principles which are the cornerstone of the privacy protection framework in the </w:t>
      </w:r>
      <w:r>
        <w:t xml:space="preserve">Act. </w:t>
      </w:r>
      <w:r w:rsidRPr="00772CA5">
        <w:t>The APPs set out standards, rights and obligations in relation to handling, holding, accessing and correcting personal information</w:t>
      </w:r>
      <w:r>
        <w:t xml:space="preserve">. </w:t>
      </w:r>
      <w:r w:rsidRPr="00772CA5">
        <w:t xml:space="preserve"> </w:t>
      </w:r>
    </w:p>
    <w:p w14:paraId="2EBB159D" w14:textId="77777777" w:rsidR="00A55836" w:rsidRPr="00AF5A6C" w:rsidRDefault="00A55836" w:rsidP="00A55836">
      <w:pPr>
        <w:spacing w:after="0"/>
      </w:pPr>
      <w:r w:rsidRPr="00F3367E">
        <w:rPr>
          <w:rStyle w:val="Hyperlink"/>
          <w:rFonts w:cs="Calibri"/>
          <w:color w:val="auto"/>
          <w:u w:val="none"/>
        </w:rPr>
        <w:t>There are 13 APPs.</w:t>
      </w:r>
      <w:r w:rsidRPr="00F3367E">
        <w:rPr>
          <w:rStyle w:val="Hyperlink"/>
          <w:rFonts w:cs="Calibri"/>
          <w:color w:val="auto"/>
        </w:rPr>
        <w:t xml:space="preserve"> </w:t>
      </w:r>
      <w:r>
        <w:t xml:space="preserve">The Privacy Act applies the APPs to APP entities; an APP entity is defined in s6 of the Act as an </w:t>
      </w:r>
      <w:r w:rsidRPr="003D3C0D">
        <w:rPr>
          <w:i/>
          <w:color w:val="000000" w:themeColor="text1"/>
        </w:rPr>
        <w:t>agency</w:t>
      </w:r>
      <w:r w:rsidRPr="003D3C0D">
        <w:rPr>
          <w:color w:val="000000" w:themeColor="text1"/>
        </w:rPr>
        <w:t xml:space="preserve"> </w:t>
      </w:r>
      <w:r>
        <w:t xml:space="preserve">or </w:t>
      </w:r>
      <w:r w:rsidRPr="003D3C0D">
        <w:t>organisation</w:t>
      </w:r>
      <w:r>
        <w:t>.  National Education and Care Services r</w:t>
      </w:r>
      <w:r w:rsidRPr="00AF5DF7">
        <w:t>eg</w:t>
      </w:r>
      <w:r>
        <w:t>ulation</w:t>
      </w:r>
      <w:r w:rsidRPr="00AF5DF7">
        <w:t xml:space="preserve"> 199 states </w:t>
      </w:r>
      <w:r>
        <w:t xml:space="preserve">that </w:t>
      </w:r>
      <w:r w:rsidRPr="00AF5DF7">
        <w:t xml:space="preserve">the Privacy </w:t>
      </w:r>
      <w:r>
        <w:t>A</w:t>
      </w:r>
      <w:r w:rsidRPr="00AF5DF7">
        <w:t xml:space="preserve">ct only applies to </w:t>
      </w:r>
      <w:r w:rsidRPr="003D3C0D">
        <w:rPr>
          <w:i/>
          <w:color w:val="000000" w:themeColor="text1"/>
        </w:rPr>
        <w:t>agencies</w:t>
      </w:r>
      <w:r w:rsidRPr="00AF5DF7">
        <w:t xml:space="preserve"> </w:t>
      </w:r>
      <w:r>
        <w:t>- that is the NQF agencies, ACECQA and the state and territory regulatory authorities</w:t>
      </w:r>
      <w:r w:rsidRPr="00F3367E">
        <w:t xml:space="preserve">.  </w:t>
      </w:r>
      <w:r w:rsidRPr="00F3367E">
        <w:rPr>
          <w:rStyle w:val="Hyperlink"/>
          <w:rFonts w:cs="Calibri"/>
          <w:color w:val="auto"/>
          <w:u w:val="none"/>
        </w:rPr>
        <w:t xml:space="preserve">APPs </w:t>
      </w:r>
      <w:r w:rsidRPr="00F3367E">
        <w:t xml:space="preserve">1 to 6, 8, and 10 to 13 </w:t>
      </w:r>
      <w:r w:rsidRPr="00F3367E">
        <w:rPr>
          <w:rStyle w:val="Hyperlink"/>
          <w:rFonts w:cs="Calibri"/>
          <w:color w:val="auto"/>
          <w:u w:val="none"/>
        </w:rPr>
        <w:t>apply to agencies. The Privacy Act states that APPs 7 and 9 only apply to organisations and hence they do not apply to the NQF agencies.</w:t>
      </w:r>
    </w:p>
    <w:p w14:paraId="5A38FDFA" w14:textId="77777777" w:rsidR="00A55836" w:rsidRDefault="00A55836" w:rsidP="00A55836">
      <w:pPr>
        <w:autoSpaceDE w:val="0"/>
        <w:autoSpaceDN w:val="0"/>
        <w:adjustRightInd w:val="0"/>
        <w:spacing w:after="0" w:line="240" w:lineRule="auto"/>
        <w:rPr>
          <w:rFonts w:cstheme="minorHAnsi"/>
          <w:iCs/>
          <w:color w:val="000000"/>
        </w:rPr>
      </w:pPr>
    </w:p>
    <w:p w14:paraId="577446C5" w14:textId="77777777" w:rsidR="00A55836" w:rsidRDefault="00A55836" w:rsidP="00A55836">
      <w:pPr>
        <w:autoSpaceDE w:val="0"/>
        <w:autoSpaceDN w:val="0"/>
        <w:adjustRightInd w:val="0"/>
        <w:spacing w:after="0" w:line="240" w:lineRule="auto"/>
        <w:rPr>
          <w:rFonts w:cstheme="minorHAnsi"/>
        </w:rPr>
      </w:pPr>
      <w:r w:rsidRPr="00C415AD">
        <w:rPr>
          <w:rFonts w:cstheme="minorHAnsi"/>
        </w:rPr>
        <w:t xml:space="preserve">Section </w:t>
      </w:r>
      <w:r>
        <w:rPr>
          <w:rFonts w:cstheme="minorHAnsi"/>
        </w:rPr>
        <w:t xml:space="preserve">28(1)(a) </w:t>
      </w:r>
      <w:r w:rsidRPr="00C415AD">
        <w:rPr>
          <w:rFonts w:cstheme="minorHAnsi"/>
        </w:rPr>
        <w:t xml:space="preserve">of the </w:t>
      </w:r>
      <w:r>
        <w:rPr>
          <w:rFonts w:cstheme="minorHAnsi"/>
        </w:rPr>
        <w:t>Privacy Act (as modified by the ECSNL) enables the NECS Privacy Commissioner to</w:t>
      </w:r>
      <w:r w:rsidRPr="00C415AD">
        <w:rPr>
          <w:rFonts w:cstheme="minorHAnsi"/>
        </w:rPr>
        <w:t xml:space="preserve"> issue guidelines </w:t>
      </w:r>
      <w:r w:rsidRPr="0059546F">
        <w:rPr>
          <w:rFonts w:cstheme="minorHAnsi"/>
        </w:rPr>
        <w:t xml:space="preserve">to ECS Agencies </w:t>
      </w:r>
      <w:r>
        <w:rPr>
          <w:rFonts w:cstheme="minorHAnsi"/>
        </w:rPr>
        <w:t xml:space="preserve">on </w:t>
      </w:r>
      <w:r w:rsidRPr="0059546F">
        <w:rPr>
          <w:rFonts w:cstheme="minorHAnsi"/>
        </w:rPr>
        <w:t>the Privacy Act</w:t>
      </w:r>
      <w:r>
        <w:rPr>
          <w:rFonts w:cstheme="minorHAnsi"/>
        </w:rPr>
        <w:t xml:space="preserve"> for the purpose of the </w:t>
      </w:r>
      <w:r>
        <w:t>ECSNL</w:t>
      </w:r>
      <w:r w:rsidRPr="0059546F">
        <w:rPr>
          <w:rFonts w:cstheme="minorHAnsi"/>
        </w:rPr>
        <w:t xml:space="preserve">.  </w:t>
      </w:r>
      <w:r>
        <w:rPr>
          <w:rFonts w:cstheme="minorHAnsi"/>
        </w:rPr>
        <w:t xml:space="preserve"> </w:t>
      </w:r>
    </w:p>
    <w:p w14:paraId="22CBE370" w14:textId="77777777" w:rsidR="00A55836" w:rsidRDefault="00A55836" w:rsidP="00A55836">
      <w:pPr>
        <w:autoSpaceDE w:val="0"/>
        <w:autoSpaceDN w:val="0"/>
        <w:adjustRightInd w:val="0"/>
        <w:spacing w:after="0"/>
      </w:pPr>
    </w:p>
    <w:p w14:paraId="02E0FA6F" w14:textId="77777777" w:rsidR="00A55836" w:rsidRPr="00153BB8" w:rsidRDefault="00A55836" w:rsidP="00A55836">
      <w:pPr>
        <w:pStyle w:val="Default"/>
        <w:spacing w:line="276" w:lineRule="auto"/>
        <w:rPr>
          <w:rFonts w:asciiTheme="minorHAnsi" w:hAnsiTheme="minorHAnsi" w:cstheme="minorHAnsi"/>
          <w:sz w:val="22"/>
          <w:szCs w:val="22"/>
        </w:rPr>
      </w:pPr>
      <w:r w:rsidRPr="0056167F">
        <w:rPr>
          <w:rFonts w:asciiTheme="minorHAnsi" w:hAnsiTheme="minorHAnsi" w:cstheme="minorHAnsi"/>
          <w:iCs/>
          <w:sz w:val="22"/>
          <w:szCs w:val="22"/>
        </w:rPr>
        <w:t>The Australian Information Commissioner administers the Privacy Act in respect to APP entities, which cover most Australian Government agencies and some private sector organisations.  Under s28(1)</w:t>
      </w:r>
      <w:r>
        <w:rPr>
          <w:rFonts w:asciiTheme="minorHAnsi" w:hAnsiTheme="minorHAnsi" w:cstheme="minorHAnsi"/>
          <w:iCs/>
          <w:sz w:val="22"/>
          <w:szCs w:val="22"/>
        </w:rPr>
        <w:t xml:space="preserve"> </w:t>
      </w:r>
      <w:r w:rsidRPr="0056167F">
        <w:rPr>
          <w:rFonts w:asciiTheme="minorHAnsi" w:hAnsiTheme="minorHAnsi" w:cstheme="minorHAnsi"/>
          <w:iCs/>
          <w:sz w:val="22"/>
          <w:szCs w:val="22"/>
        </w:rPr>
        <w:t xml:space="preserve">of the Privacy Act, the </w:t>
      </w:r>
      <w:r>
        <w:rPr>
          <w:rFonts w:asciiTheme="minorHAnsi" w:hAnsiTheme="minorHAnsi" w:cstheme="minorHAnsi"/>
          <w:iCs/>
          <w:sz w:val="22"/>
          <w:szCs w:val="22"/>
        </w:rPr>
        <w:t>AIC</w:t>
      </w:r>
      <w:r w:rsidRPr="0056167F">
        <w:rPr>
          <w:rFonts w:asciiTheme="minorHAnsi" w:hAnsiTheme="minorHAnsi" w:cstheme="minorHAnsi"/>
          <w:iCs/>
          <w:sz w:val="22"/>
          <w:szCs w:val="22"/>
        </w:rPr>
        <w:t xml:space="preserve"> has issued guidelines to </w:t>
      </w:r>
      <w:r w:rsidRPr="00153BB8">
        <w:rPr>
          <w:rFonts w:asciiTheme="minorHAnsi" w:hAnsiTheme="minorHAnsi" w:cstheme="minorHAnsi"/>
          <w:iCs/>
          <w:sz w:val="22"/>
          <w:szCs w:val="22"/>
        </w:rPr>
        <w:t xml:space="preserve">the </w:t>
      </w:r>
      <w:r w:rsidRPr="00153BB8">
        <w:rPr>
          <w:rFonts w:asciiTheme="minorHAnsi" w:hAnsiTheme="minorHAnsi" w:cstheme="minorHAnsi"/>
          <w:sz w:val="22"/>
          <w:szCs w:val="22"/>
        </w:rPr>
        <w:t xml:space="preserve">Australian Privacy Principles set out in Schedule 1 of the Privacy Act. The APP Guidelines outline: </w:t>
      </w:r>
    </w:p>
    <w:p w14:paraId="0BF43763" w14:textId="77777777" w:rsidR="00A55836" w:rsidRPr="00153BB8" w:rsidRDefault="00A55836" w:rsidP="00A55836">
      <w:pPr>
        <w:pStyle w:val="Default"/>
        <w:numPr>
          <w:ilvl w:val="0"/>
          <w:numId w:val="5"/>
        </w:numPr>
        <w:spacing w:line="276" w:lineRule="auto"/>
        <w:rPr>
          <w:rFonts w:asciiTheme="minorHAnsi" w:hAnsiTheme="minorHAnsi" w:cstheme="minorHAnsi"/>
          <w:sz w:val="22"/>
          <w:szCs w:val="22"/>
        </w:rPr>
      </w:pPr>
      <w:r w:rsidRPr="00153BB8">
        <w:rPr>
          <w:rFonts w:asciiTheme="minorHAnsi" w:hAnsiTheme="minorHAnsi" w:cstheme="minorHAnsi"/>
          <w:sz w:val="22"/>
          <w:szCs w:val="22"/>
        </w:rPr>
        <w:t xml:space="preserve">the mandatory requirements in the </w:t>
      </w:r>
      <w:proofErr w:type="gramStart"/>
      <w:r w:rsidRPr="00153BB8">
        <w:rPr>
          <w:rFonts w:asciiTheme="minorHAnsi" w:hAnsiTheme="minorHAnsi" w:cstheme="minorHAnsi"/>
          <w:sz w:val="22"/>
          <w:szCs w:val="22"/>
        </w:rPr>
        <w:t>APPs;</w:t>
      </w:r>
      <w:proofErr w:type="gramEnd"/>
    </w:p>
    <w:p w14:paraId="32FD9A40" w14:textId="77777777" w:rsidR="00A55836" w:rsidRPr="00153BB8" w:rsidRDefault="00A55836" w:rsidP="00A55836">
      <w:pPr>
        <w:pStyle w:val="Default"/>
        <w:numPr>
          <w:ilvl w:val="0"/>
          <w:numId w:val="5"/>
        </w:numPr>
        <w:spacing w:line="276" w:lineRule="auto"/>
        <w:rPr>
          <w:rFonts w:asciiTheme="minorHAnsi" w:hAnsiTheme="minorHAnsi" w:cstheme="minorHAnsi"/>
          <w:sz w:val="22"/>
          <w:szCs w:val="22"/>
        </w:rPr>
      </w:pPr>
      <w:r w:rsidRPr="00153BB8">
        <w:rPr>
          <w:rFonts w:asciiTheme="minorHAnsi" w:hAnsiTheme="minorHAnsi" w:cstheme="minorHAnsi"/>
          <w:sz w:val="22"/>
          <w:szCs w:val="22"/>
        </w:rPr>
        <w:t xml:space="preserve">the </w:t>
      </w:r>
      <w:r>
        <w:rPr>
          <w:rFonts w:asciiTheme="minorHAnsi" w:hAnsiTheme="minorHAnsi" w:cstheme="minorHAnsi"/>
          <w:sz w:val="22"/>
          <w:szCs w:val="22"/>
        </w:rPr>
        <w:t>AIC’s</w:t>
      </w:r>
      <w:r w:rsidRPr="00153BB8">
        <w:rPr>
          <w:rFonts w:asciiTheme="minorHAnsi" w:hAnsiTheme="minorHAnsi" w:cstheme="minorHAnsi"/>
          <w:sz w:val="22"/>
          <w:szCs w:val="22"/>
        </w:rPr>
        <w:t xml:space="preserve"> interpretation of the APPs, including the matters that the </w:t>
      </w:r>
      <w:r>
        <w:rPr>
          <w:rFonts w:asciiTheme="minorHAnsi" w:hAnsiTheme="minorHAnsi" w:cstheme="minorHAnsi"/>
          <w:sz w:val="22"/>
          <w:szCs w:val="22"/>
        </w:rPr>
        <w:t xml:space="preserve">AIC </w:t>
      </w:r>
      <w:r w:rsidRPr="00153BB8">
        <w:rPr>
          <w:rFonts w:asciiTheme="minorHAnsi" w:hAnsiTheme="minorHAnsi" w:cstheme="minorHAnsi"/>
          <w:sz w:val="22"/>
          <w:szCs w:val="22"/>
        </w:rPr>
        <w:t>may take into account</w:t>
      </w:r>
      <w:r>
        <w:rPr>
          <w:rFonts w:asciiTheme="minorHAnsi" w:hAnsiTheme="minorHAnsi" w:cstheme="minorHAnsi"/>
          <w:sz w:val="22"/>
          <w:szCs w:val="22"/>
        </w:rPr>
        <w:t xml:space="preserve"> </w:t>
      </w:r>
      <w:r w:rsidRPr="00153BB8">
        <w:rPr>
          <w:rFonts w:asciiTheme="minorHAnsi" w:hAnsiTheme="minorHAnsi" w:cstheme="minorHAnsi"/>
          <w:sz w:val="22"/>
          <w:szCs w:val="22"/>
        </w:rPr>
        <w:t xml:space="preserve">when exercising functions and powers relating to the </w:t>
      </w:r>
      <w:proofErr w:type="gramStart"/>
      <w:r w:rsidRPr="00153BB8">
        <w:rPr>
          <w:rFonts w:asciiTheme="minorHAnsi" w:hAnsiTheme="minorHAnsi" w:cstheme="minorHAnsi"/>
          <w:sz w:val="22"/>
          <w:szCs w:val="22"/>
        </w:rPr>
        <w:t>APPs</w:t>
      </w:r>
      <w:r>
        <w:rPr>
          <w:rFonts w:asciiTheme="minorHAnsi" w:hAnsiTheme="minorHAnsi" w:cstheme="minorHAnsi"/>
          <w:sz w:val="22"/>
          <w:szCs w:val="22"/>
        </w:rPr>
        <w:t>;</w:t>
      </w:r>
      <w:proofErr w:type="gramEnd"/>
    </w:p>
    <w:p w14:paraId="46134615" w14:textId="77777777" w:rsidR="00A55836" w:rsidRPr="00153BB8" w:rsidRDefault="00A55836" w:rsidP="00A55836">
      <w:pPr>
        <w:pStyle w:val="Default"/>
        <w:numPr>
          <w:ilvl w:val="0"/>
          <w:numId w:val="5"/>
        </w:numPr>
        <w:spacing w:line="276" w:lineRule="auto"/>
        <w:rPr>
          <w:rFonts w:asciiTheme="minorHAnsi" w:hAnsiTheme="minorHAnsi" w:cstheme="minorHAnsi"/>
          <w:sz w:val="22"/>
          <w:szCs w:val="22"/>
        </w:rPr>
      </w:pPr>
      <w:r w:rsidRPr="00153BB8">
        <w:rPr>
          <w:rFonts w:asciiTheme="minorHAnsi" w:hAnsiTheme="minorHAnsi" w:cstheme="minorHAnsi"/>
          <w:sz w:val="22"/>
          <w:szCs w:val="22"/>
        </w:rPr>
        <w:t xml:space="preserve">examples that explain how the APPs may apply to </w:t>
      </w:r>
      <w:proofErr w:type="gramStart"/>
      <w:r w:rsidRPr="00153BB8">
        <w:rPr>
          <w:rFonts w:asciiTheme="minorHAnsi" w:hAnsiTheme="minorHAnsi" w:cstheme="minorHAnsi"/>
          <w:sz w:val="22"/>
          <w:szCs w:val="22"/>
        </w:rPr>
        <w:t>particular circumstances</w:t>
      </w:r>
      <w:proofErr w:type="gramEnd"/>
      <w:r w:rsidRPr="00153BB8">
        <w:rPr>
          <w:rFonts w:asciiTheme="minorHAnsi" w:hAnsiTheme="minorHAnsi" w:cstheme="minorHAnsi"/>
          <w:sz w:val="22"/>
          <w:szCs w:val="22"/>
        </w:rPr>
        <w:t>; and</w:t>
      </w:r>
    </w:p>
    <w:p w14:paraId="6C747119" w14:textId="77777777" w:rsidR="00A55836" w:rsidRPr="00153BB8" w:rsidRDefault="00A55836" w:rsidP="00A55836">
      <w:pPr>
        <w:pStyle w:val="ListParagraph"/>
        <w:numPr>
          <w:ilvl w:val="0"/>
          <w:numId w:val="5"/>
        </w:numPr>
        <w:autoSpaceDE w:val="0"/>
        <w:autoSpaceDN w:val="0"/>
        <w:adjustRightInd w:val="0"/>
        <w:spacing w:after="0"/>
        <w:rPr>
          <w:rFonts w:cstheme="minorHAnsi"/>
        </w:rPr>
      </w:pPr>
      <w:r w:rsidRPr="00153BB8">
        <w:rPr>
          <w:rFonts w:cstheme="minorHAnsi"/>
        </w:rPr>
        <w:t>good privacy practice to supplement compliance with the mandatory requirements.</w:t>
      </w:r>
    </w:p>
    <w:p w14:paraId="4A23CFF5" w14:textId="77777777" w:rsidR="00A55836" w:rsidRDefault="00A55836" w:rsidP="00A55836">
      <w:pPr>
        <w:autoSpaceDE w:val="0"/>
        <w:autoSpaceDN w:val="0"/>
        <w:adjustRightInd w:val="0"/>
        <w:spacing w:after="0"/>
        <w:rPr>
          <w:rFonts w:cstheme="minorHAnsi"/>
        </w:rPr>
      </w:pPr>
    </w:p>
    <w:p w14:paraId="5AEDB7DA" w14:textId="77777777" w:rsidR="00A55836" w:rsidRPr="00F56CB0" w:rsidRDefault="00A55836" w:rsidP="00A55836">
      <w:pPr>
        <w:autoSpaceDE w:val="0"/>
        <w:autoSpaceDN w:val="0"/>
        <w:adjustRightInd w:val="0"/>
        <w:spacing w:after="0" w:line="240" w:lineRule="auto"/>
        <w:rPr>
          <w:rFonts w:cstheme="minorHAnsi"/>
        </w:rPr>
      </w:pPr>
      <w:r>
        <w:rPr>
          <w:rFonts w:cstheme="minorHAnsi"/>
        </w:rPr>
        <w:t xml:space="preserve">The APP </w:t>
      </w:r>
      <w:r w:rsidRPr="0056167F">
        <w:rPr>
          <w:rFonts w:cstheme="minorHAnsi"/>
        </w:rPr>
        <w:t>Guidelines have traditionally been referenced by the ECS Agencies in applying the Privacy Act for the purposes of the ECSNL, and by the NECS Privacy Commissioner when exercising functions under that Act.</w:t>
      </w:r>
    </w:p>
    <w:p w14:paraId="6CB31BD5" w14:textId="77777777" w:rsidR="00A55836" w:rsidRDefault="00A55836" w:rsidP="00A55836">
      <w:pPr>
        <w:autoSpaceDE w:val="0"/>
        <w:autoSpaceDN w:val="0"/>
        <w:adjustRightInd w:val="0"/>
        <w:spacing w:after="0" w:line="240" w:lineRule="auto"/>
        <w:rPr>
          <w:rFonts w:cstheme="minorHAnsi"/>
          <w:b/>
          <w:bCs/>
          <w:iCs/>
          <w:color w:val="31849B" w:themeColor="accent5" w:themeShade="BF"/>
          <w:sz w:val="28"/>
          <w:szCs w:val="28"/>
        </w:rPr>
      </w:pPr>
    </w:p>
    <w:p w14:paraId="2E3F9AF7" w14:textId="77777777" w:rsidR="00A55836" w:rsidRPr="00640571" w:rsidRDefault="00A55836" w:rsidP="00A55836">
      <w:pPr>
        <w:autoSpaceDE w:val="0"/>
        <w:autoSpaceDN w:val="0"/>
        <w:adjustRightInd w:val="0"/>
        <w:spacing w:after="0" w:line="240" w:lineRule="auto"/>
        <w:rPr>
          <w:rFonts w:cstheme="minorHAnsi"/>
          <w:b/>
          <w:bCs/>
          <w:iCs/>
          <w:color w:val="365F91" w:themeColor="accent1" w:themeShade="BF"/>
          <w:sz w:val="28"/>
          <w:szCs w:val="28"/>
        </w:rPr>
      </w:pPr>
      <w:r w:rsidRPr="00640571">
        <w:rPr>
          <w:rFonts w:cstheme="minorHAnsi"/>
          <w:b/>
          <w:bCs/>
          <w:iCs/>
          <w:color w:val="365F91" w:themeColor="accent1" w:themeShade="BF"/>
          <w:sz w:val="28"/>
          <w:szCs w:val="28"/>
        </w:rPr>
        <w:t>Purpose of this NECS Privacy Commissioner Guideline</w:t>
      </w:r>
    </w:p>
    <w:p w14:paraId="5928AE73" w14:textId="77777777" w:rsidR="00A55836" w:rsidRPr="00DB6DE1" w:rsidRDefault="00A55836" w:rsidP="00A55836">
      <w:pPr>
        <w:autoSpaceDE w:val="0"/>
        <w:autoSpaceDN w:val="0"/>
        <w:adjustRightInd w:val="0"/>
        <w:spacing w:before="120" w:after="0" w:line="240" w:lineRule="auto"/>
      </w:pPr>
      <w:r w:rsidRPr="00DB6DE1">
        <w:t>The purpose</w:t>
      </w:r>
      <w:r>
        <w:t xml:space="preserve"> </w:t>
      </w:r>
      <w:r w:rsidRPr="00DB6DE1">
        <w:t>of th</w:t>
      </w:r>
      <w:r>
        <w:t>is</w:t>
      </w:r>
      <w:r w:rsidRPr="00DB6DE1">
        <w:t xml:space="preserve"> NECS Privacy</w:t>
      </w:r>
      <w:r>
        <w:t xml:space="preserve"> Commissioner </w:t>
      </w:r>
      <w:r w:rsidRPr="00DB6DE1">
        <w:t>Guideline</w:t>
      </w:r>
      <w:r>
        <w:t xml:space="preserve"> is</w:t>
      </w:r>
      <w:r w:rsidRPr="00DB6DE1">
        <w:t xml:space="preserve"> to:</w:t>
      </w:r>
    </w:p>
    <w:p w14:paraId="08B95EE0" w14:textId="77777777" w:rsidR="00A55836" w:rsidRDefault="00A55836" w:rsidP="00A55836">
      <w:pPr>
        <w:pStyle w:val="ListParagraph"/>
        <w:numPr>
          <w:ilvl w:val="0"/>
          <w:numId w:val="3"/>
        </w:numPr>
        <w:autoSpaceDE w:val="0"/>
        <w:autoSpaceDN w:val="0"/>
        <w:adjustRightInd w:val="0"/>
        <w:spacing w:after="0"/>
      </w:pPr>
      <w:r w:rsidRPr="00DB6DE1">
        <w:t xml:space="preserve">provide clarification as to the guidelines on </w:t>
      </w:r>
      <w:r>
        <w:t xml:space="preserve">the implementation of the Australian Privacy Principles </w:t>
      </w:r>
      <w:r w:rsidRPr="00DB6DE1">
        <w:t xml:space="preserve">that apply for the purposes of the </w:t>
      </w:r>
      <w:proofErr w:type="gramStart"/>
      <w:r w:rsidRPr="00DB6DE1">
        <w:t>ECSNL;</w:t>
      </w:r>
      <w:proofErr w:type="gramEnd"/>
    </w:p>
    <w:p w14:paraId="4A797CD5" w14:textId="77777777" w:rsidR="00A55836" w:rsidRDefault="00A55836" w:rsidP="00A55836">
      <w:pPr>
        <w:pStyle w:val="ListParagraph"/>
        <w:numPr>
          <w:ilvl w:val="0"/>
          <w:numId w:val="3"/>
        </w:numPr>
        <w:autoSpaceDE w:val="0"/>
        <w:autoSpaceDN w:val="0"/>
        <w:adjustRightInd w:val="0"/>
        <w:spacing w:after="0"/>
      </w:pPr>
      <w:r w:rsidRPr="00DB6DE1">
        <w:t>ensure consistency in the interpretation and application of the Privacy Act</w:t>
      </w:r>
      <w:r w:rsidRPr="00206251">
        <w:rPr>
          <w:i/>
          <w:iCs/>
        </w:rPr>
        <w:t xml:space="preserve">; </w:t>
      </w:r>
      <w:r w:rsidRPr="00206251">
        <w:rPr>
          <w:iCs/>
        </w:rPr>
        <w:t xml:space="preserve">and </w:t>
      </w:r>
    </w:p>
    <w:p w14:paraId="31B6DFD5" w14:textId="77777777" w:rsidR="00A55836" w:rsidRDefault="00A55836" w:rsidP="00A55836">
      <w:pPr>
        <w:pStyle w:val="ListParagraph"/>
        <w:numPr>
          <w:ilvl w:val="0"/>
          <w:numId w:val="3"/>
        </w:numPr>
        <w:autoSpaceDE w:val="0"/>
        <w:autoSpaceDN w:val="0"/>
        <w:adjustRightInd w:val="0"/>
        <w:spacing w:after="0"/>
      </w:pPr>
      <w:r w:rsidRPr="00DB6DE1">
        <w:t>remove any uncertainty for agencies or the public as to the expectations of the Office of the NECS Privacy Commissioner in the application of the Privacy Act for the purposes of the ECSNL.</w:t>
      </w:r>
    </w:p>
    <w:p w14:paraId="4FB5A9CC" w14:textId="77777777" w:rsidR="00A55836" w:rsidRPr="00225165" w:rsidRDefault="00A55836" w:rsidP="00A55836">
      <w:pPr>
        <w:pStyle w:val="ListParagraph"/>
        <w:autoSpaceDE w:val="0"/>
        <w:autoSpaceDN w:val="0"/>
        <w:adjustRightInd w:val="0"/>
        <w:spacing w:after="0"/>
      </w:pPr>
    </w:p>
    <w:p w14:paraId="073FD287" w14:textId="77777777" w:rsidR="00A55836" w:rsidRPr="00640571" w:rsidRDefault="00A55836" w:rsidP="00A55836">
      <w:pPr>
        <w:autoSpaceDE w:val="0"/>
        <w:autoSpaceDN w:val="0"/>
        <w:adjustRightInd w:val="0"/>
        <w:spacing w:after="0" w:line="240" w:lineRule="auto"/>
        <w:rPr>
          <w:rFonts w:cstheme="minorHAnsi"/>
          <w:iCs/>
          <w:color w:val="365F91" w:themeColor="accent1" w:themeShade="BF"/>
        </w:rPr>
      </w:pPr>
      <w:r w:rsidRPr="00640571">
        <w:rPr>
          <w:rFonts w:cstheme="minorHAnsi"/>
          <w:b/>
          <w:bCs/>
          <w:iCs/>
          <w:color w:val="365F91" w:themeColor="accent1" w:themeShade="BF"/>
          <w:sz w:val="28"/>
          <w:szCs w:val="28"/>
        </w:rPr>
        <w:t xml:space="preserve">Adoption of Parts of the APP </w:t>
      </w:r>
      <w:r w:rsidRPr="00640571">
        <w:rPr>
          <w:b/>
          <w:bCs/>
          <w:color w:val="365F91" w:themeColor="accent1" w:themeShade="BF"/>
          <w:sz w:val="28"/>
          <w:szCs w:val="28"/>
        </w:rPr>
        <w:t>Guidelines</w:t>
      </w:r>
    </w:p>
    <w:p w14:paraId="367C293C" w14:textId="77777777" w:rsidR="00A55836" w:rsidRPr="00DB6DE1" w:rsidRDefault="00A55836" w:rsidP="00A55836">
      <w:pPr>
        <w:pStyle w:val="ListParagraph"/>
        <w:numPr>
          <w:ilvl w:val="0"/>
          <w:numId w:val="4"/>
        </w:numPr>
        <w:autoSpaceDE w:val="0"/>
        <w:autoSpaceDN w:val="0"/>
        <w:adjustRightInd w:val="0"/>
        <w:spacing w:before="120" w:after="0"/>
      </w:pPr>
      <w:r w:rsidRPr="00DB6DE1">
        <w:t xml:space="preserve">Pursuant to </w:t>
      </w:r>
      <w:r>
        <w:t xml:space="preserve">section </w:t>
      </w:r>
      <w:r w:rsidRPr="00A56565">
        <w:rPr>
          <w:rFonts w:cstheme="minorHAnsi"/>
        </w:rPr>
        <w:t xml:space="preserve">28(1)(a) of the Privacy Act (as modified by the ECSNL), and </w:t>
      </w:r>
      <w:r w:rsidRPr="00A56565">
        <w:rPr>
          <w:rFonts w:cstheme="minorHAnsi"/>
          <w:b/>
        </w:rPr>
        <w:t xml:space="preserve">subject to the matters stated in paragraphs 2 to </w:t>
      </w:r>
      <w:r>
        <w:rPr>
          <w:rFonts w:cstheme="minorHAnsi"/>
          <w:b/>
        </w:rPr>
        <w:t xml:space="preserve">18 </w:t>
      </w:r>
      <w:r w:rsidRPr="00A56565">
        <w:rPr>
          <w:rFonts w:cstheme="minorHAnsi"/>
          <w:b/>
        </w:rPr>
        <w:t>below</w:t>
      </w:r>
      <w:r w:rsidRPr="00A56565">
        <w:rPr>
          <w:rFonts w:cstheme="minorHAnsi"/>
        </w:rPr>
        <w:t xml:space="preserve">, </w:t>
      </w:r>
      <w:r w:rsidRPr="00DB6DE1">
        <w:t>I hereby adopt the following Parts of the APP Guidelines as NECS Privacy Guidelines for the purposes of the ECSNL.</w:t>
      </w:r>
    </w:p>
    <w:p w14:paraId="5446B25F" w14:textId="77777777" w:rsidR="00A55836" w:rsidRPr="00DB6DE1" w:rsidRDefault="00A55836" w:rsidP="00A55836">
      <w:pPr>
        <w:autoSpaceDE w:val="0"/>
        <w:autoSpaceDN w:val="0"/>
        <w:adjustRightInd w:val="0"/>
        <w:spacing w:after="0"/>
        <w:ind w:left="720"/>
      </w:pPr>
    </w:p>
    <w:p w14:paraId="3735BC9B" w14:textId="77777777" w:rsidR="00A55836" w:rsidRPr="00DB6DE1" w:rsidRDefault="00A55836" w:rsidP="00A55836">
      <w:pPr>
        <w:autoSpaceDE w:val="0"/>
        <w:autoSpaceDN w:val="0"/>
        <w:adjustRightInd w:val="0"/>
        <w:spacing w:after="0"/>
        <w:ind w:left="1440"/>
      </w:pPr>
      <w:r w:rsidRPr="00DB6DE1">
        <w:t xml:space="preserve">General matters </w:t>
      </w:r>
      <w:r>
        <w:t>Chapters A, B and C</w:t>
      </w:r>
    </w:p>
    <w:p w14:paraId="239154D6" w14:textId="77777777" w:rsidR="00A55836" w:rsidRPr="00DB6DE1" w:rsidRDefault="00A55836" w:rsidP="00A55836">
      <w:pPr>
        <w:autoSpaceDE w:val="0"/>
        <w:autoSpaceDN w:val="0"/>
        <w:adjustRightInd w:val="0"/>
        <w:spacing w:after="0"/>
        <w:ind w:left="1440"/>
      </w:pPr>
      <w:r w:rsidRPr="00DB6DE1">
        <w:t>Part 1</w:t>
      </w:r>
      <w:r w:rsidRPr="00DB6DE1">
        <w:tab/>
      </w:r>
      <w:r w:rsidRPr="00DB6DE1">
        <w:tab/>
        <w:t>Consideration of personal privacy information</w:t>
      </w:r>
    </w:p>
    <w:p w14:paraId="19705702" w14:textId="77777777" w:rsidR="00A55836" w:rsidRPr="00DB6DE1" w:rsidRDefault="00A55836" w:rsidP="00A55836">
      <w:pPr>
        <w:autoSpaceDE w:val="0"/>
        <w:autoSpaceDN w:val="0"/>
        <w:adjustRightInd w:val="0"/>
        <w:spacing w:after="0"/>
        <w:ind w:left="1440"/>
      </w:pPr>
      <w:r w:rsidRPr="00DB6DE1">
        <w:t>Part 2</w:t>
      </w:r>
      <w:r w:rsidRPr="00DB6DE1">
        <w:tab/>
      </w:r>
      <w:r w:rsidRPr="00DB6DE1">
        <w:tab/>
        <w:t>Collection of personal information</w:t>
      </w:r>
    </w:p>
    <w:p w14:paraId="05C6A339" w14:textId="77777777" w:rsidR="00A55836" w:rsidRPr="00DB6DE1" w:rsidRDefault="00A55836" w:rsidP="00A55836">
      <w:pPr>
        <w:autoSpaceDE w:val="0"/>
        <w:autoSpaceDN w:val="0"/>
        <w:adjustRightInd w:val="0"/>
        <w:spacing w:after="0"/>
        <w:ind w:left="1440"/>
      </w:pPr>
      <w:r w:rsidRPr="00DB6DE1">
        <w:t xml:space="preserve">Part 3 </w:t>
      </w:r>
      <w:r w:rsidRPr="00DB6DE1">
        <w:tab/>
      </w:r>
      <w:r w:rsidRPr="00DB6DE1">
        <w:tab/>
        <w:t>Dealing with personal information</w:t>
      </w:r>
    </w:p>
    <w:p w14:paraId="30707DBA" w14:textId="77777777" w:rsidR="00A55836" w:rsidRPr="00DB6DE1" w:rsidRDefault="00A55836" w:rsidP="00A55836">
      <w:pPr>
        <w:autoSpaceDE w:val="0"/>
        <w:autoSpaceDN w:val="0"/>
        <w:adjustRightInd w:val="0"/>
        <w:spacing w:after="0"/>
        <w:ind w:left="1440"/>
      </w:pPr>
      <w:r w:rsidRPr="00DB6DE1">
        <w:t>Part 4</w:t>
      </w:r>
      <w:r w:rsidRPr="00DB6DE1">
        <w:tab/>
      </w:r>
      <w:r w:rsidRPr="00DB6DE1">
        <w:tab/>
        <w:t>Integrity of personal information</w:t>
      </w:r>
    </w:p>
    <w:p w14:paraId="66940F00" w14:textId="77777777" w:rsidR="00A55836" w:rsidRPr="00DB6DE1" w:rsidRDefault="00A55836" w:rsidP="00A55836">
      <w:pPr>
        <w:autoSpaceDE w:val="0"/>
        <w:autoSpaceDN w:val="0"/>
        <w:adjustRightInd w:val="0"/>
        <w:spacing w:after="0"/>
        <w:ind w:left="1440"/>
      </w:pPr>
      <w:r w:rsidRPr="00DB6DE1">
        <w:t xml:space="preserve">Part 5 </w:t>
      </w:r>
      <w:r w:rsidRPr="00DB6DE1">
        <w:tab/>
      </w:r>
      <w:r w:rsidRPr="00DB6DE1">
        <w:tab/>
        <w:t xml:space="preserve">Access to, and correction of, personal information </w:t>
      </w:r>
    </w:p>
    <w:p w14:paraId="59106950" w14:textId="77777777" w:rsidR="00A55836" w:rsidRPr="00DB6DE1" w:rsidRDefault="00A55836" w:rsidP="00A55836">
      <w:pPr>
        <w:autoSpaceDE w:val="0"/>
        <w:autoSpaceDN w:val="0"/>
        <w:adjustRightInd w:val="0"/>
        <w:spacing w:after="0"/>
      </w:pPr>
    </w:p>
    <w:p w14:paraId="65A4F4A2" w14:textId="472C76BA" w:rsidR="00A55836" w:rsidRPr="00DB6DE1" w:rsidRDefault="00A55836" w:rsidP="00A55836">
      <w:pPr>
        <w:pStyle w:val="ListParagraph"/>
        <w:numPr>
          <w:ilvl w:val="0"/>
          <w:numId w:val="4"/>
        </w:numPr>
        <w:autoSpaceDE w:val="0"/>
        <w:autoSpaceDN w:val="0"/>
        <w:adjustRightInd w:val="0"/>
        <w:spacing w:after="0"/>
      </w:pPr>
      <w:r>
        <w:t xml:space="preserve">The APP Guidelines being adopted are those published in the combined </w:t>
      </w:r>
      <w:r w:rsidR="004B5CF5">
        <w:t>July</w:t>
      </w:r>
      <w:r>
        <w:t xml:space="preserve"> 2019 edition of the APP Guidelines, available at </w:t>
      </w:r>
      <w:hyperlink r:id="rId50">
        <w:r w:rsidRPr="560C29F7">
          <w:rPr>
            <w:rStyle w:val="Hyperlink"/>
          </w:rPr>
          <w:t>https://www.oaic.gov.au/privacy/australian-privacy-principles-guidelines/</w:t>
        </w:r>
      </w:hyperlink>
    </w:p>
    <w:p w14:paraId="0449CB23" w14:textId="77777777" w:rsidR="00A55836" w:rsidRPr="00DB6DE1" w:rsidRDefault="00A55836" w:rsidP="00A55836">
      <w:pPr>
        <w:autoSpaceDE w:val="0"/>
        <w:autoSpaceDN w:val="0"/>
        <w:adjustRightInd w:val="0"/>
        <w:spacing w:after="0" w:line="240" w:lineRule="auto"/>
      </w:pPr>
    </w:p>
    <w:p w14:paraId="1E02C0DA" w14:textId="01E87609" w:rsidR="00A55836" w:rsidRDefault="00A55836" w:rsidP="00A55836">
      <w:pPr>
        <w:pStyle w:val="ListParagraph"/>
        <w:numPr>
          <w:ilvl w:val="0"/>
          <w:numId w:val="4"/>
        </w:numPr>
        <w:autoSpaceDE w:val="0"/>
        <w:autoSpaceDN w:val="0"/>
        <w:adjustRightInd w:val="0"/>
        <w:spacing w:after="0"/>
      </w:pPr>
      <w:r>
        <w:t xml:space="preserve">Revisions </w:t>
      </w:r>
      <w:r w:rsidRPr="00163346">
        <w:t xml:space="preserve">by the </w:t>
      </w:r>
      <w:r w:rsidRPr="00163346">
        <w:rPr>
          <w:rStyle w:val="Hyperlink"/>
          <w:color w:val="auto"/>
          <w:u w:val="none"/>
        </w:rPr>
        <w:t>Australian Information Commissioner</w:t>
      </w:r>
      <w:r w:rsidRPr="00163346">
        <w:rPr>
          <w:rStyle w:val="Hyperlink"/>
          <w:b/>
          <w:bCs/>
          <w:color w:val="auto"/>
        </w:rPr>
        <w:t xml:space="preserve"> </w:t>
      </w:r>
      <w:r>
        <w:t xml:space="preserve">to the </w:t>
      </w:r>
      <w:r w:rsidR="007F4600">
        <w:t>July</w:t>
      </w:r>
      <w:r>
        <w:t xml:space="preserve"> 2019</w:t>
      </w:r>
      <w:r w:rsidR="008F2DBF">
        <w:t xml:space="preserve"> e</w:t>
      </w:r>
      <w:r>
        <w:t xml:space="preserve">dition of the APP Guidelines will be considered and, if relevant, included in updates to this NECS Privacy Commissioner </w:t>
      </w:r>
      <w:r w:rsidRPr="560C29F7">
        <w:rPr>
          <w:rFonts w:cstheme="minorBidi"/>
        </w:rPr>
        <w:t>Guideline</w:t>
      </w:r>
      <w:r>
        <w:t>.  Pending any such updates, ECS Agencies should consider whether any revisions to the APP Guidelines are relevant, and if so, should be applied for the purposes of the ECSNL.</w:t>
      </w:r>
    </w:p>
    <w:p w14:paraId="6AAD3B71" w14:textId="77777777" w:rsidR="00A55836" w:rsidRDefault="00A55836" w:rsidP="00A55836">
      <w:pPr>
        <w:pStyle w:val="ListParagraph"/>
        <w:autoSpaceDE w:val="0"/>
        <w:autoSpaceDN w:val="0"/>
        <w:adjustRightInd w:val="0"/>
        <w:spacing w:after="0"/>
      </w:pPr>
    </w:p>
    <w:p w14:paraId="12CE4C80" w14:textId="77777777" w:rsidR="00A55836" w:rsidRDefault="00A55836" w:rsidP="00A55836">
      <w:pPr>
        <w:pStyle w:val="ListParagraph"/>
        <w:numPr>
          <w:ilvl w:val="0"/>
          <w:numId w:val="4"/>
        </w:numPr>
        <w:autoSpaceDE w:val="0"/>
        <w:autoSpaceDN w:val="0"/>
        <w:adjustRightInd w:val="0"/>
        <w:spacing w:after="0"/>
      </w:pPr>
      <w:r>
        <w:t>References in the APP Guidelines to the Australian Information Commissioner exercising a power or performing a duty or function should generally be read to mean the NECS Privacy Commissioner exercising the power or performing the duty or function in relation to the ECS Agencies.</w:t>
      </w:r>
    </w:p>
    <w:p w14:paraId="0F5973F0" w14:textId="77777777" w:rsidR="00A55836" w:rsidRDefault="00A55836" w:rsidP="00A55836">
      <w:pPr>
        <w:pStyle w:val="ListParagraph"/>
        <w:autoSpaceDE w:val="0"/>
        <w:autoSpaceDN w:val="0"/>
        <w:adjustRightInd w:val="0"/>
        <w:spacing w:after="0"/>
      </w:pPr>
    </w:p>
    <w:p w14:paraId="60740663" w14:textId="4323A65D" w:rsidR="00A55836" w:rsidRPr="00640571" w:rsidRDefault="00A55836" w:rsidP="00871BB5">
      <w:pPr>
        <w:pStyle w:val="ListParagraph"/>
        <w:numPr>
          <w:ilvl w:val="0"/>
          <w:numId w:val="4"/>
        </w:numPr>
        <w:autoSpaceDE w:val="0"/>
        <w:autoSpaceDN w:val="0"/>
        <w:adjustRightInd w:val="0"/>
        <w:spacing w:after="0"/>
        <w:ind w:left="714" w:hanging="357"/>
        <w:rPr>
          <w:rFonts w:cstheme="minorHAnsi"/>
          <w:color w:val="365F91" w:themeColor="accent1" w:themeShade="BF"/>
          <w:sz w:val="24"/>
          <w:szCs w:val="24"/>
        </w:rPr>
      </w:pPr>
      <w:r>
        <w:t xml:space="preserve">ECS Agencies must note that the APP Guidelines are not legally binding </w:t>
      </w:r>
      <w:r w:rsidRPr="003533A6">
        <w:t xml:space="preserve">and do not constitute legal advice about how an </w:t>
      </w:r>
      <w:r>
        <w:t>ECS Agency</w:t>
      </w:r>
      <w:r w:rsidRPr="003533A6">
        <w:t xml:space="preserve"> should comply with the A</w:t>
      </w:r>
      <w:r>
        <w:t xml:space="preserve">ustralian Privacy Principles </w:t>
      </w:r>
      <w:r w:rsidRPr="003533A6">
        <w:t xml:space="preserve">in particular circumstances. </w:t>
      </w:r>
      <w:r>
        <w:t xml:space="preserve">ECS Agencies </w:t>
      </w:r>
      <w:r w:rsidRPr="003533A6">
        <w:t xml:space="preserve">may </w:t>
      </w:r>
      <w:r>
        <w:t xml:space="preserve">wish </w:t>
      </w:r>
      <w:r w:rsidRPr="003533A6">
        <w:t>to seek independent legal advice where appropriate.</w:t>
      </w:r>
      <w:r w:rsidR="00611EA3">
        <w:br/>
      </w:r>
      <w:r w:rsidR="00611EA3">
        <w:br/>
      </w:r>
      <w:r w:rsidRPr="00640571">
        <w:rPr>
          <w:b/>
          <w:color w:val="365F91" w:themeColor="accent1" w:themeShade="BF"/>
          <w:sz w:val="24"/>
          <w:szCs w:val="24"/>
        </w:rPr>
        <w:t xml:space="preserve">Exclusions - </w:t>
      </w:r>
      <w:r w:rsidRPr="00640571">
        <w:rPr>
          <w:rFonts w:cstheme="minorHAnsi"/>
          <w:b/>
          <w:color w:val="365F91" w:themeColor="accent1" w:themeShade="BF"/>
          <w:sz w:val="24"/>
          <w:szCs w:val="24"/>
        </w:rPr>
        <w:t>tax file numbers, credit reporting, and emergencies and disasters</w:t>
      </w:r>
    </w:p>
    <w:p w14:paraId="5E25E239" w14:textId="77777777" w:rsidR="00A55836" w:rsidRPr="00DB6DE1" w:rsidRDefault="00A55836" w:rsidP="00A55836">
      <w:pPr>
        <w:autoSpaceDE w:val="0"/>
        <w:autoSpaceDN w:val="0"/>
        <w:adjustRightInd w:val="0"/>
        <w:spacing w:after="0"/>
        <w:ind w:left="720" w:hanging="720"/>
        <w:rPr>
          <w:sz w:val="6"/>
          <w:szCs w:val="6"/>
        </w:rPr>
      </w:pPr>
    </w:p>
    <w:p w14:paraId="6E6491E0" w14:textId="77777777" w:rsidR="00A55836" w:rsidRPr="00A56565" w:rsidRDefault="00A55836" w:rsidP="00A55836">
      <w:pPr>
        <w:pStyle w:val="ListParagraph"/>
        <w:numPr>
          <w:ilvl w:val="0"/>
          <w:numId w:val="4"/>
        </w:numPr>
        <w:autoSpaceDE w:val="0"/>
        <w:autoSpaceDN w:val="0"/>
        <w:adjustRightInd w:val="0"/>
        <w:spacing w:after="0"/>
        <w:rPr>
          <w:rFonts w:cstheme="minorHAnsi"/>
        </w:rPr>
      </w:pPr>
      <w:r>
        <w:t xml:space="preserve">ECSNL Regulations 196(d) and 201(o) </w:t>
      </w:r>
      <w:r w:rsidRPr="00A56565">
        <w:rPr>
          <w:rFonts w:cstheme="minorHAnsi"/>
        </w:rPr>
        <w:t>exclude the following matters from the functions of the NECS Privacy Commissioner.  Accordingly, t</w:t>
      </w:r>
      <w:r>
        <w:t xml:space="preserve">he APP Guidelines on those matters </w:t>
      </w:r>
      <w:r w:rsidRPr="00A56565">
        <w:rPr>
          <w:rFonts w:cstheme="minorHAnsi"/>
        </w:rPr>
        <w:t>are excluded from th</w:t>
      </w:r>
      <w:r>
        <w:rPr>
          <w:rFonts w:cstheme="minorHAnsi"/>
        </w:rPr>
        <w:t>is</w:t>
      </w:r>
      <w:r w:rsidRPr="00A56565">
        <w:rPr>
          <w:rFonts w:cstheme="minorHAnsi"/>
        </w:rPr>
        <w:t xml:space="preserve"> NECS Privacy Guideline.  The excluded matters comprise the following:</w:t>
      </w:r>
    </w:p>
    <w:p w14:paraId="233D312B" w14:textId="77777777" w:rsidR="00A55836" w:rsidRDefault="00A55836" w:rsidP="00A55836">
      <w:pPr>
        <w:pStyle w:val="ListParagraph"/>
        <w:autoSpaceDE w:val="0"/>
        <w:autoSpaceDN w:val="0"/>
        <w:adjustRightInd w:val="0"/>
        <w:spacing w:before="120" w:after="0"/>
        <w:ind w:left="1440" w:hanging="720"/>
        <w:rPr>
          <w:rFonts w:cstheme="minorHAnsi"/>
        </w:rPr>
      </w:pPr>
      <w:r>
        <w:rPr>
          <w:rFonts w:cstheme="minorHAnsi"/>
        </w:rPr>
        <w:t>(a)</w:t>
      </w:r>
      <w:r>
        <w:rPr>
          <w:rFonts w:cstheme="minorHAnsi"/>
        </w:rPr>
        <w:tab/>
        <w:t>ECSNL regulation 196(d) excludes matters relating to tax file numbers (set out in s17 and s18 of the Privacy Act</w:t>
      </w:r>
      <w:proofErr w:type="gramStart"/>
      <w:r>
        <w:rPr>
          <w:rFonts w:cstheme="minorHAnsi"/>
        </w:rPr>
        <w:t>);</w:t>
      </w:r>
      <w:proofErr w:type="gramEnd"/>
    </w:p>
    <w:p w14:paraId="7D93FC95" w14:textId="77777777" w:rsidR="00A55836" w:rsidRPr="00685BFC" w:rsidRDefault="00A55836" w:rsidP="00A55836">
      <w:pPr>
        <w:pStyle w:val="ListParagraph"/>
        <w:autoSpaceDE w:val="0"/>
        <w:autoSpaceDN w:val="0"/>
        <w:adjustRightInd w:val="0"/>
        <w:spacing w:before="120" w:after="0"/>
        <w:ind w:left="1440" w:hanging="720"/>
        <w:rPr>
          <w:sz w:val="6"/>
          <w:szCs w:val="6"/>
        </w:rPr>
      </w:pPr>
    </w:p>
    <w:p w14:paraId="314DE8A6" w14:textId="77777777" w:rsidR="00A55836" w:rsidRDefault="00A55836" w:rsidP="00A55836">
      <w:pPr>
        <w:pStyle w:val="ListParagraph"/>
        <w:autoSpaceDE w:val="0"/>
        <w:autoSpaceDN w:val="0"/>
        <w:adjustRightInd w:val="0"/>
        <w:spacing w:before="120" w:after="120"/>
        <w:ind w:left="1440" w:hanging="720"/>
        <w:rPr>
          <w:rFonts w:cstheme="minorHAnsi"/>
        </w:rPr>
      </w:pPr>
      <w:r>
        <w:rPr>
          <w:rFonts w:cstheme="minorHAnsi"/>
        </w:rPr>
        <w:t>(b)</w:t>
      </w:r>
      <w:r>
        <w:rPr>
          <w:rFonts w:cstheme="minorHAnsi"/>
        </w:rPr>
        <w:tab/>
        <w:t>ECSNL regulation 196(d) excludes matters relating to credit reporting (set out in s19 to s21W of the Privacy Act</w:t>
      </w:r>
      <w:proofErr w:type="gramStart"/>
      <w:r>
        <w:rPr>
          <w:rFonts w:cstheme="minorHAnsi"/>
        </w:rPr>
        <w:t>);</w:t>
      </w:r>
      <w:proofErr w:type="gramEnd"/>
    </w:p>
    <w:p w14:paraId="14E30059" w14:textId="77777777" w:rsidR="00A55836" w:rsidRPr="00685BFC" w:rsidRDefault="00A55836" w:rsidP="00A55836">
      <w:pPr>
        <w:pStyle w:val="ListParagraph"/>
        <w:autoSpaceDE w:val="0"/>
        <w:autoSpaceDN w:val="0"/>
        <w:adjustRightInd w:val="0"/>
        <w:spacing w:before="120" w:after="120"/>
        <w:ind w:left="1440" w:hanging="720"/>
        <w:rPr>
          <w:sz w:val="6"/>
          <w:szCs w:val="6"/>
        </w:rPr>
      </w:pPr>
    </w:p>
    <w:p w14:paraId="63911A37" w14:textId="77777777" w:rsidR="00A55836" w:rsidRPr="000D23F8" w:rsidRDefault="00A55836" w:rsidP="00A55836">
      <w:pPr>
        <w:pStyle w:val="ListParagraph"/>
        <w:autoSpaceDE w:val="0"/>
        <w:autoSpaceDN w:val="0"/>
        <w:adjustRightInd w:val="0"/>
        <w:spacing w:before="120" w:after="0"/>
        <w:ind w:left="1440" w:hanging="720"/>
        <w:rPr>
          <w:rFonts w:cstheme="minorHAnsi"/>
        </w:rPr>
      </w:pPr>
      <w:r>
        <w:rPr>
          <w:rFonts w:cstheme="minorHAnsi"/>
        </w:rPr>
        <w:t>(c)</w:t>
      </w:r>
      <w:r>
        <w:rPr>
          <w:rFonts w:cstheme="minorHAnsi"/>
        </w:rPr>
        <w:tab/>
        <w:t>ECSNL Regulation 201(o) excludes matters relating to emergencies and disasters (set out in s80F to s80T of the Privacy Act).</w:t>
      </w:r>
    </w:p>
    <w:p w14:paraId="50A79F8C" w14:textId="77777777" w:rsidR="00A55836" w:rsidRPr="00A34B56" w:rsidRDefault="00A55836" w:rsidP="00A55836">
      <w:pPr>
        <w:autoSpaceDE w:val="0"/>
        <w:autoSpaceDN w:val="0"/>
        <w:adjustRightInd w:val="0"/>
        <w:spacing w:after="0"/>
        <w:ind w:left="720" w:hanging="720"/>
        <w:rPr>
          <w:sz w:val="24"/>
          <w:szCs w:val="24"/>
        </w:rPr>
      </w:pPr>
    </w:p>
    <w:p w14:paraId="49A0A975" w14:textId="77777777" w:rsidR="00A55836" w:rsidRPr="00F314DB" w:rsidRDefault="00A55836" w:rsidP="00A55836">
      <w:pPr>
        <w:autoSpaceDE w:val="0"/>
        <w:autoSpaceDN w:val="0"/>
        <w:adjustRightInd w:val="0"/>
        <w:spacing w:after="0"/>
        <w:rPr>
          <w:rFonts w:cstheme="minorHAnsi"/>
          <w:b/>
          <w:color w:val="365F91" w:themeColor="accent1" w:themeShade="BF"/>
          <w:sz w:val="24"/>
          <w:szCs w:val="24"/>
        </w:rPr>
      </w:pPr>
      <w:r w:rsidRPr="00F314DB">
        <w:rPr>
          <w:b/>
          <w:color w:val="365F91" w:themeColor="accent1" w:themeShade="BF"/>
          <w:sz w:val="24"/>
          <w:szCs w:val="24"/>
        </w:rPr>
        <w:t xml:space="preserve">Exclusions - </w:t>
      </w:r>
      <w:r w:rsidRPr="00F314DB">
        <w:rPr>
          <w:rFonts w:cstheme="minorHAnsi"/>
          <w:b/>
          <w:color w:val="365F91" w:themeColor="accent1" w:themeShade="BF"/>
          <w:sz w:val="24"/>
          <w:szCs w:val="24"/>
        </w:rPr>
        <w:t>medical research, health information and genetic information</w:t>
      </w:r>
    </w:p>
    <w:p w14:paraId="3391C10D" w14:textId="77777777" w:rsidR="00A55836" w:rsidRPr="00DB6DE1" w:rsidRDefault="00A55836" w:rsidP="00A55836">
      <w:pPr>
        <w:autoSpaceDE w:val="0"/>
        <w:autoSpaceDN w:val="0"/>
        <w:adjustRightInd w:val="0"/>
        <w:spacing w:after="0"/>
        <w:ind w:left="720" w:hanging="720"/>
        <w:rPr>
          <w:sz w:val="6"/>
          <w:szCs w:val="6"/>
        </w:rPr>
      </w:pPr>
    </w:p>
    <w:p w14:paraId="79A7D780" w14:textId="77777777" w:rsidR="00A55836" w:rsidRDefault="00A55836" w:rsidP="00A55836">
      <w:pPr>
        <w:pStyle w:val="ListParagraph"/>
        <w:numPr>
          <w:ilvl w:val="0"/>
          <w:numId w:val="4"/>
        </w:numPr>
        <w:autoSpaceDE w:val="0"/>
        <w:autoSpaceDN w:val="0"/>
        <w:adjustRightInd w:val="0"/>
        <w:spacing w:after="0"/>
        <w:rPr>
          <w:rFonts w:cstheme="minorHAnsi"/>
        </w:rPr>
      </w:pPr>
      <w:r>
        <w:t>T</w:t>
      </w:r>
      <w:r w:rsidRPr="00A56565">
        <w:rPr>
          <w:rFonts w:cstheme="minorHAnsi"/>
        </w:rPr>
        <w:t xml:space="preserve">he making of guidelines about medical research, health information and genetic information are </w:t>
      </w:r>
      <w:r>
        <w:rPr>
          <w:rFonts w:cstheme="minorHAnsi"/>
        </w:rPr>
        <w:t xml:space="preserve">also </w:t>
      </w:r>
      <w:r w:rsidRPr="00A56565">
        <w:rPr>
          <w:rFonts w:cstheme="minorHAnsi"/>
        </w:rPr>
        <w:t xml:space="preserve">excluded from the functions of the NECS Privacy Commissioner by </w:t>
      </w:r>
      <w:r>
        <w:t xml:space="preserve">ECSNL Regulation 201(q).  </w:t>
      </w:r>
      <w:r w:rsidRPr="00A56565">
        <w:rPr>
          <w:rFonts w:cstheme="minorHAnsi"/>
        </w:rPr>
        <w:t xml:space="preserve"> </w:t>
      </w:r>
      <w:r>
        <w:t>Accordingly, this NECS Privacy Guideline does not adopt the APP Guidelines on those matters.</w:t>
      </w:r>
      <w:r w:rsidRPr="00A56565">
        <w:rPr>
          <w:rFonts w:cstheme="minorHAnsi"/>
        </w:rPr>
        <w:t xml:space="preserve">   </w:t>
      </w:r>
    </w:p>
    <w:p w14:paraId="37034A27" w14:textId="77777777" w:rsidR="00A55836" w:rsidRDefault="00A55836" w:rsidP="00A55836">
      <w:pPr>
        <w:pStyle w:val="ListParagraph"/>
        <w:autoSpaceDE w:val="0"/>
        <w:autoSpaceDN w:val="0"/>
        <w:adjustRightInd w:val="0"/>
        <w:spacing w:after="0"/>
        <w:rPr>
          <w:rFonts w:cstheme="minorHAnsi"/>
        </w:rPr>
      </w:pPr>
    </w:p>
    <w:p w14:paraId="14408F5D" w14:textId="77777777" w:rsidR="00A55836" w:rsidRPr="00225165" w:rsidRDefault="00A55836" w:rsidP="00A55836">
      <w:pPr>
        <w:pStyle w:val="ListParagraph"/>
        <w:numPr>
          <w:ilvl w:val="0"/>
          <w:numId w:val="4"/>
        </w:numPr>
        <w:autoSpaceDE w:val="0"/>
        <w:autoSpaceDN w:val="0"/>
        <w:adjustRightInd w:val="0"/>
        <w:spacing w:after="0"/>
        <w:rPr>
          <w:rFonts w:cstheme="minorHAnsi"/>
        </w:rPr>
      </w:pPr>
      <w:r w:rsidRPr="00225165">
        <w:rPr>
          <w:rFonts w:cstheme="minorHAnsi"/>
        </w:rPr>
        <w:t xml:space="preserve">ECS Agencies will nevertheless have to comply with the Privacy Act provisions on medical research, health information and genetic information, where those provisions apply to </w:t>
      </w:r>
      <w:r w:rsidRPr="00225165">
        <w:rPr>
          <w:i/>
        </w:rPr>
        <w:t>Agencies, APP entities, or Entities</w:t>
      </w:r>
      <w:r w:rsidRPr="00225165">
        <w:rPr>
          <w:rFonts w:cstheme="minorHAnsi"/>
        </w:rPr>
        <w:t>.  For example, APP 3.3(a)(</w:t>
      </w:r>
      <w:proofErr w:type="spellStart"/>
      <w:r w:rsidRPr="00225165">
        <w:rPr>
          <w:rFonts w:cstheme="minorHAnsi"/>
        </w:rPr>
        <w:t>i</w:t>
      </w:r>
      <w:proofErr w:type="spellEnd"/>
      <w:r w:rsidRPr="00225165">
        <w:rPr>
          <w:rFonts w:cstheme="minorHAnsi"/>
        </w:rPr>
        <w:t xml:space="preserve">) deals with the collection of </w:t>
      </w:r>
      <w:r w:rsidRPr="00225165">
        <w:rPr>
          <w:rFonts w:cstheme="minorHAnsi"/>
          <w:i/>
        </w:rPr>
        <w:t>sensitive information</w:t>
      </w:r>
      <w:r w:rsidRPr="00225165">
        <w:rPr>
          <w:rFonts w:cstheme="minorHAnsi"/>
        </w:rPr>
        <w:t xml:space="preserve"> by an </w:t>
      </w:r>
      <w:r w:rsidRPr="00225165">
        <w:rPr>
          <w:rFonts w:cstheme="minorHAnsi"/>
          <w:i/>
        </w:rPr>
        <w:t>agency</w:t>
      </w:r>
      <w:r w:rsidRPr="00225165">
        <w:rPr>
          <w:rFonts w:cstheme="minorHAnsi"/>
        </w:rPr>
        <w:t xml:space="preserve">, and sensitive information is defined in s6 of the Privacy Act to include </w:t>
      </w:r>
      <w:r w:rsidRPr="00225165">
        <w:rPr>
          <w:rFonts w:cstheme="minorHAnsi"/>
          <w:i/>
        </w:rPr>
        <w:t>health information</w:t>
      </w:r>
      <w:r w:rsidRPr="00225165">
        <w:rPr>
          <w:rFonts w:cstheme="minorHAnsi"/>
        </w:rPr>
        <w:t xml:space="preserve">.   ECS Agencies should therefore have regard to the </w:t>
      </w:r>
      <w:r>
        <w:t xml:space="preserve">APP Guidelines on </w:t>
      </w:r>
      <w:r w:rsidRPr="00225165">
        <w:rPr>
          <w:rFonts w:cstheme="minorHAnsi"/>
        </w:rPr>
        <w:t>medical research, health information and genetic information</w:t>
      </w:r>
      <w:r>
        <w:t xml:space="preserve"> </w:t>
      </w:r>
      <w:r w:rsidRPr="00225165">
        <w:rPr>
          <w:rFonts w:cstheme="minorHAnsi"/>
        </w:rPr>
        <w:t xml:space="preserve">where the Privacy Act provisions (as modified by the ECSNL) apply to them.   (See paragraphs </w:t>
      </w:r>
      <w:r w:rsidRPr="00DD240A">
        <w:rPr>
          <w:rFonts w:cstheme="minorHAnsi"/>
        </w:rPr>
        <w:t>11 to 15</w:t>
      </w:r>
      <w:r w:rsidRPr="00225165">
        <w:rPr>
          <w:rFonts w:cstheme="minorHAnsi"/>
        </w:rPr>
        <w:t xml:space="preserve"> of th</w:t>
      </w:r>
      <w:r>
        <w:rPr>
          <w:rFonts w:cstheme="minorHAnsi"/>
        </w:rPr>
        <w:t xml:space="preserve">is </w:t>
      </w:r>
      <w:r w:rsidRPr="00225165">
        <w:rPr>
          <w:rFonts w:cstheme="minorHAnsi"/>
        </w:rPr>
        <w:t>Guideline for more details).</w:t>
      </w:r>
    </w:p>
    <w:p w14:paraId="0BC8AA6C" w14:textId="77777777" w:rsidR="00A55836" w:rsidRDefault="00A55836" w:rsidP="00A55836">
      <w:pPr>
        <w:autoSpaceDE w:val="0"/>
        <w:autoSpaceDN w:val="0"/>
        <w:adjustRightInd w:val="0"/>
        <w:spacing w:after="0" w:line="240" w:lineRule="auto"/>
        <w:ind w:left="720" w:hanging="720"/>
      </w:pPr>
    </w:p>
    <w:p w14:paraId="2C3E9739" w14:textId="77777777" w:rsidR="00A55836" w:rsidRPr="00F314DB" w:rsidRDefault="00A55836" w:rsidP="00A55836">
      <w:pPr>
        <w:autoSpaceDE w:val="0"/>
        <w:autoSpaceDN w:val="0"/>
        <w:adjustRightInd w:val="0"/>
        <w:spacing w:after="0"/>
        <w:rPr>
          <w:b/>
          <w:color w:val="365F91" w:themeColor="accent1" w:themeShade="BF"/>
          <w:sz w:val="24"/>
          <w:szCs w:val="24"/>
        </w:rPr>
      </w:pPr>
      <w:r w:rsidRPr="00F314DB">
        <w:rPr>
          <w:b/>
          <w:color w:val="365F91" w:themeColor="accent1" w:themeShade="BF"/>
          <w:sz w:val="24"/>
          <w:szCs w:val="24"/>
        </w:rPr>
        <w:t>Exclusion – Privacy Regulations made under the Privacy Act</w:t>
      </w:r>
    </w:p>
    <w:p w14:paraId="783C4311" w14:textId="77777777" w:rsidR="00A55836" w:rsidRPr="00DB6DE1" w:rsidRDefault="00A55836" w:rsidP="00A55836">
      <w:pPr>
        <w:autoSpaceDE w:val="0"/>
        <w:autoSpaceDN w:val="0"/>
        <w:adjustRightInd w:val="0"/>
        <w:spacing w:after="0"/>
        <w:ind w:left="720" w:hanging="720"/>
        <w:rPr>
          <w:sz w:val="6"/>
          <w:szCs w:val="6"/>
        </w:rPr>
      </w:pPr>
    </w:p>
    <w:p w14:paraId="3AE5C974" w14:textId="77777777" w:rsidR="00A55836" w:rsidRDefault="00A55836" w:rsidP="00A55836">
      <w:pPr>
        <w:pStyle w:val="ListParagraph"/>
        <w:numPr>
          <w:ilvl w:val="0"/>
          <w:numId w:val="4"/>
        </w:numPr>
        <w:autoSpaceDE w:val="0"/>
        <w:autoSpaceDN w:val="0"/>
        <w:adjustRightInd w:val="0"/>
        <w:spacing w:after="0"/>
      </w:pPr>
      <w:r>
        <w:t>ECSNL Regulation 203 states that the regulations made under the Privacy Act do not apply.  Accordingly, any APP Guidelines which implement or rely on those regulations do not apply to this NECS Privacy Guideline.</w:t>
      </w:r>
    </w:p>
    <w:p w14:paraId="1C6E3EBC" w14:textId="77777777" w:rsidR="00A55836" w:rsidRPr="00A34B56" w:rsidRDefault="00A55836" w:rsidP="00A55836">
      <w:pPr>
        <w:autoSpaceDE w:val="0"/>
        <w:autoSpaceDN w:val="0"/>
        <w:adjustRightInd w:val="0"/>
        <w:spacing w:after="0" w:line="240" w:lineRule="auto"/>
        <w:ind w:left="720" w:hanging="720"/>
        <w:rPr>
          <w:sz w:val="24"/>
          <w:szCs w:val="24"/>
        </w:rPr>
      </w:pPr>
    </w:p>
    <w:p w14:paraId="4C6972BC" w14:textId="77777777" w:rsidR="00A55836" w:rsidRPr="00F314DB" w:rsidRDefault="00A55836" w:rsidP="00A55836">
      <w:pPr>
        <w:autoSpaceDE w:val="0"/>
        <w:autoSpaceDN w:val="0"/>
        <w:adjustRightInd w:val="0"/>
        <w:spacing w:after="0"/>
        <w:ind w:left="720" w:hanging="720"/>
        <w:rPr>
          <w:rFonts w:cstheme="minorHAnsi"/>
          <w:b/>
          <w:iCs/>
          <w:color w:val="365F91" w:themeColor="accent1" w:themeShade="BF"/>
          <w:sz w:val="24"/>
          <w:szCs w:val="24"/>
        </w:rPr>
      </w:pPr>
      <w:r w:rsidRPr="00F314DB">
        <w:rPr>
          <w:b/>
          <w:color w:val="365F91" w:themeColor="accent1" w:themeShade="BF"/>
          <w:sz w:val="24"/>
          <w:szCs w:val="24"/>
        </w:rPr>
        <w:t xml:space="preserve">Exclusion - </w:t>
      </w:r>
      <w:r w:rsidRPr="00F314DB">
        <w:rPr>
          <w:rFonts w:cstheme="minorHAnsi"/>
          <w:b/>
          <w:iCs/>
          <w:color w:val="365F91" w:themeColor="accent1" w:themeShade="BF"/>
          <w:sz w:val="24"/>
          <w:szCs w:val="24"/>
        </w:rPr>
        <w:t>paragraphs A29 to A32 of the APP Guidelines</w:t>
      </w:r>
    </w:p>
    <w:p w14:paraId="0463783B" w14:textId="77777777" w:rsidR="00A55836" w:rsidRPr="00DB6DE1" w:rsidRDefault="00A55836" w:rsidP="00A55836">
      <w:pPr>
        <w:autoSpaceDE w:val="0"/>
        <w:autoSpaceDN w:val="0"/>
        <w:adjustRightInd w:val="0"/>
        <w:spacing w:after="0"/>
        <w:ind w:left="720" w:hanging="720"/>
        <w:rPr>
          <w:sz w:val="6"/>
          <w:szCs w:val="6"/>
        </w:rPr>
      </w:pPr>
    </w:p>
    <w:p w14:paraId="7708326B" w14:textId="77777777" w:rsidR="00A55836" w:rsidRDefault="00A55836" w:rsidP="00A55836">
      <w:pPr>
        <w:pStyle w:val="ListParagraph"/>
        <w:numPr>
          <w:ilvl w:val="0"/>
          <w:numId w:val="4"/>
        </w:numPr>
        <w:autoSpaceDE w:val="0"/>
        <w:autoSpaceDN w:val="0"/>
        <w:adjustRightInd w:val="0"/>
        <w:spacing w:after="0"/>
      </w:pPr>
      <w:r w:rsidRPr="00A56565">
        <w:rPr>
          <w:rFonts w:cstheme="minorHAnsi"/>
          <w:iCs/>
        </w:rPr>
        <w:t>Paragraphs A29 to A32 of the APP Guidelines are to be disregarded.  Those paragraphs note that t</w:t>
      </w:r>
      <w:r w:rsidRPr="00DB6DE1">
        <w:t xml:space="preserve">he ACT </w:t>
      </w:r>
      <w:r w:rsidRPr="00A34B56">
        <w:rPr>
          <w:i/>
        </w:rPr>
        <w:t xml:space="preserve">Information Privacy Act 2014 </w:t>
      </w:r>
      <w:r w:rsidRPr="00DB6DE1">
        <w:t>regulates how personal information is handled by ACT public sector agencies</w:t>
      </w:r>
      <w:r>
        <w:t>, and</w:t>
      </w:r>
      <w:r w:rsidRPr="00DB6DE1">
        <w:t xml:space="preserve"> </w:t>
      </w:r>
      <w:r>
        <w:t>that under an arrangement between the ACT Government and the Australian Government, the Australian Information Commissioner is exercising some of the functions of the ACT Information Privacy Commissioner.</w:t>
      </w:r>
    </w:p>
    <w:p w14:paraId="10831B8D" w14:textId="77777777" w:rsidR="00A55836" w:rsidRDefault="00A55836" w:rsidP="00A55836">
      <w:pPr>
        <w:autoSpaceDE w:val="0"/>
        <w:autoSpaceDN w:val="0"/>
        <w:adjustRightInd w:val="0"/>
        <w:spacing w:after="0" w:line="240" w:lineRule="auto"/>
        <w:ind w:left="720" w:hanging="720"/>
      </w:pPr>
    </w:p>
    <w:p w14:paraId="10C49A43" w14:textId="77777777" w:rsidR="00A55836" w:rsidRPr="00F314DB" w:rsidRDefault="00A55836" w:rsidP="00A55836">
      <w:pPr>
        <w:autoSpaceDE w:val="0"/>
        <w:autoSpaceDN w:val="0"/>
        <w:adjustRightInd w:val="0"/>
        <w:spacing w:after="0"/>
        <w:rPr>
          <w:color w:val="365F91" w:themeColor="accent1" w:themeShade="BF"/>
          <w:sz w:val="24"/>
          <w:szCs w:val="24"/>
        </w:rPr>
      </w:pPr>
      <w:r w:rsidRPr="00F314DB">
        <w:rPr>
          <w:b/>
          <w:color w:val="365F91" w:themeColor="accent1" w:themeShade="BF"/>
          <w:sz w:val="24"/>
          <w:szCs w:val="24"/>
        </w:rPr>
        <w:t>Provisions of the Privacy Act applying to an Agency, APP Entity or Entity will also apply to ECS Agencies.</w:t>
      </w:r>
    </w:p>
    <w:p w14:paraId="615EABFE" w14:textId="77777777" w:rsidR="00A55836" w:rsidRPr="00DB6DE1" w:rsidRDefault="00A55836" w:rsidP="00A55836">
      <w:pPr>
        <w:autoSpaceDE w:val="0"/>
        <w:autoSpaceDN w:val="0"/>
        <w:adjustRightInd w:val="0"/>
        <w:spacing w:after="0"/>
        <w:ind w:left="720" w:hanging="720"/>
        <w:rPr>
          <w:sz w:val="6"/>
          <w:szCs w:val="6"/>
        </w:rPr>
      </w:pPr>
    </w:p>
    <w:p w14:paraId="07F91D32" w14:textId="4FAF9105" w:rsidR="00A55836" w:rsidRDefault="00A55836" w:rsidP="00A55836">
      <w:pPr>
        <w:pStyle w:val="ListParagraph"/>
        <w:numPr>
          <w:ilvl w:val="0"/>
          <w:numId w:val="4"/>
        </w:numPr>
        <w:autoSpaceDE w:val="0"/>
        <w:autoSpaceDN w:val="0"/>
        <w:adjustRightInd w:val="0"/>
        <w:spacing w:after="0"/>
      </w:pPr>
      <w:r>
        <w:t xml:space="preserve">ECSNL Regulation 199 states that the Privacy Act only applies to </w:t>
      </w:r>
      <w:r w:rsidRPr="00A56565">
        <w:rPr>
          <w:i/>
        </w:rPr>
        <w:t>agencies</w:t>
      </w:r>
      <w:r>
        <w:t xml:space="preserve">, and the </w:t>
      </w:r>
      <w:r w:rsidRPr="00A56565">
        <w:rPr>
          <w:i/>
        </w:rPr>
        <w:t>agencies</w:t>
      </w:r>
      <w:r>
        <w:t xml:space="preserve"> are the </w:t>
      </w:r>
      <w:r w:rsidRPr="00A56565">
        <w:rPr>
          <w:i/>
        </w:rPr>
        <w:t>National Authority</w:t>
      </w:r>
      <w:r>
        <w:t xml:space="preserve"> and </w:t>
      </w:r>
      <w:r w:rsidRPr="00A56565">
        <w:rPr>
          <w:i/>
        </w:rPr>
        <w:t>each Regulatory Authority of a participating jurisdiction</w:t>
      </w:r>
      <w:r>
        <w:t>. The Privacy Act uses the following definitional terms:</w:t>
      </w:r>
    </w:p>
    <w:p w14:paraId="7AE1CC8B" w14:textId="77777777" w:rsidR="00A55836" w:rsidRPr="00DB6DE1" w:rsidRDefault="00A55836" w:rsidP="00A55836">
      <w:pPr>
        <w:autoSpaceDE w:val="0"/>
        <w:autoSpaceDN w:val="0"/>
        <w:adjustRightInd w:val="0"/>
        <w:spacing w:after="0"/>
        <w:ind w:left="720" w:hanging="720"/>
        <w:rPr>
          <w:sz w:val="6"/>
          <w:szCs w:val="6"/>
        </w:rPr>
      </w:pPr>
      <w:r w:rsidRPr="00DB6DE1">
        <w:rPr>
          <w:sz w:val="6"/>
          <w:szCs w:val="6"/>
        </w:rPr>
        <w:t xml:space="preserve">  </w:t>
      </w:r>
    </w:p>
    <w:p w14:paraId="4370F857" w14:textId="77777777" w:rsidR="00A55836" w:rsidRDefault="00A55836" w:rsidP="00A55836">
      <w:pPr>
        <w:pStyle w:val="ListParagraph"/>
        <w:autoSpaceDE w:val="0"/>
        <w:autoSpaceDN w:val="0"/>
        <w:adjustRightInd w:val="0"/>
        <w:spacing w:after="0"/>
        <w:ind w:left="1440" w:hanging="720"/>
      </w:pPr>
      <w:r w:rsidRPr="00DB6DE1">
        <w:t>(a)</w:t>
      </w:r>
      <w:r>
        <w:rPr>
          <w:b/>
          <w:i/>
        </w:rPr>
        <w:tab/>
      </w:r>
      <w:r w:rsidRPr="002405C5">
        <w:rPr>
          <w:b/>
          <w:i/>
        </w:rPr>
        <w:t>Agency</w:t>
      </w:r>
      <w:r>
        <w:t xml:space="preserve"> - which is defined in s6 of the Privacy Act to mean a Minister, or a Department (and includes a long list of other Government bodies).</w:t>
      </w:r>
    </w:p>
    <w:p w14:paraId="5FF40795" w14:textId="77777777" w:rsidR="00A55836" w:rsidRPr="00DB6DE1" w:rsidRDefault="00A55836" w:rsidP="00A55836">
      <w:pPr>
        <w:pStyle w:val="ListParagraph"/>
        <w:autoSpaceDE w:val="0"/>
        <w:autoSpaceDN w:val="0"/>
        <w:adjustRightInd w:val="0"/>
        <w:spacing w:after="0"/>
        <w:ind w:left="1440"/>
        <w:rPr>
          <w:sz w:val="6"/>
          <w:szCs w:val="6"/>
        </w:rPr>
      </w:pPr>
    </w:p>
    <w:p w14:paraId="2FD3C123" w14:textId="77777777" w:rsidR="00A55836" w:rsidRDefault="00A55836" w:rsidP="00A55836">
      <w:pPr>
        <w:pStyle w:val="ListParagraph"/>
        <w:autoSpaceDE w:val="0"/>
        <w:autoSpaceDN w:val="0"/>
        <w:adjustRightInd w:val="0"/>
        <w:spacing w:after="0"/>
        <w:ind w:left="1440" w:hanging="720"/>
      </w:pPr>
      <w:r w:rsidRPr="00DB6DE1">
        <w:t>(b)</w:t>
      </w:r>
      <w:r>
        <w:rPr>
          <w:b/>
          <w:i/>
        </w:rPr>
        <w:tab/>
      </w:r>
      <w:r w:rsidRPr="00DB6DE1">
        <w:rPr>
          <w:b/>
          <w:i/>
        </w:rPr>
        <w:t>APP entity</w:t>
      </w:r>
      <w:r>
        <w:t xml:space="preserve">, which is defined in s6 of the Privacy Act to mean 'an </w:t>
      </w:r>
      <w:r w:rsidRPr="00DB6DE1">
        <w:rPr>
          <w:b/>
          <w:i/>
        </w:rPr>
        <w:t>agency</w:t>
      </w:r>
      <w:r>
        <w:t xml:space="preserve"> or organisation".   </w:t>
      </w:r>
    </w:p>
    <w:p w14:paraId="69A525AB" w14:textId="77777777" w:rsidR="00A55836" w:rsidRPr="00DB6DE1" w:rsidRDefault="00A55836" w:rsidP="00A55836">
      <w:pPr>
        <w:pStyle w:val="ListParagraph"/>
        <w:autoSpaceDE w:val="0"/>
        <w:autoSpaceDN w:val="0"/>
        <w:adjustRightInd w:val="0"/>
        <w:spacing w:after="0"/>
        <w:ind w:left="1440"/>
        <w:rPr>
          <w:sz w:val="6"/>
          <w:szCs w:val="6"/>
        </w:rPr>
      </w:pPr>
    </w:p>
    <w:p w14:paraId="7FA2F5AC" w14:textId="77777777" w:rsidR="00A55836" w:rsidRDefault="00A55836" w:rsidP="00A55836">
      <w:pPr>
        <w:pStyle w:val="ListParagraph"/>
        <w:autoSpaceDE w:val="0"/>
        <w:autoSpaceDN w:val="0"/>
        <w:adjustRightInd w:val="0"/>
        <w:spacing w:after="0"/>
        <w:ind w:left="1440" w:hanging="720"/>
      </w:pPr>
      <w:r w:rsidRPr="00DB6DE1">
        <w:t>(c)</w:t>
      </w:r>
      <w:r>
        <w:rPr>
          <w:b/>
          <w:i/>
        </w:rPr>
        <w:tab/>
      </w:r>
      <w:r w:rsidRPr="002405C5">
        <w:rPr>
          <w:b/>
          <w:i/>
        </w:rPr>
        <w:t>Entity</w:t>
      </w:r>
      <w:r>
        <w:t xml:space="preserve"> - which is defined in s6 of the Privacy Act to mean 'an </w:t>
      </w:r>
      <w:r w:rsidRPr="002405C5">
        <w:rPr>
          <w:b/>
          <w:i/>
        </w:rPr>
        <w:t>agency</w:t>
      </w:r>
      <w:r>
        <w:t>, organisation or small business operator.</w:t>
      </w:r>
    </w:p>
    <w:p w14:paraId="29B7BE8C" w14:textId="77777777" w:rsidR="00A55836" w:rsidRPr="00DB6DE1" w:rsidRDefault="00A55836" w:rsidP="00A55836">
      <w:pPr>
        <w:pStyle w:val="ListParagraph"/>
        <w:autoSpaceDE w:val="0"/>
        <w:autoSpaceDN w:val="0"/>
        <w:adjustRightInd w:val="0"/>
        <w:spacing w:after="0"/>
        <w:ind w:left="1440"/>
        <w:rPr>
          <w:sz w:val="6"/>
          <w:szCs w:val="6"/>
        </w:rPr>
      </w:pPr>
    </w:p>
    <w:p w14:paraId="0915CC77" w14:textId="77777777" w:rsidR="00A55836" w:rsidRDefault="00A55836" w:rsidP="00A55836">
      <w:pPr>
        <w:pStyle w:val="ListParagraph"/>
        <w:autoSpaceDE w:val="0"/>
        <w:autoSpaceDN w:val="0"/>
        <w:adjustRightInd w:val="0"/>
        <w:spacing w:after="0"/>
        <w:ind w:left="1440" w:hanging="720"/>
      </w:pPr>
      <w:r w:rsidRPr="00DB6DE1">
        <w:t>(d)</w:t>
      </w:r>
      <w:r>
        <w:rPr>
          <w:b/>
          <w:i/>
        </w:rPr>
        <w:tab/>
      </w:r>
      <w:r w:rsidRPr="00DB6DE1">
        <w:rPr>
          <w:b/>
          <w:i/>
        </w:rPr>
        <w:t>Organisation</w:t>
      </w:r>
      <w:r w:rsidRPr="00A13BB6">
        <w:rPr>
          <w:b/>
          <w:i/>
        </w:rPr>
        <w:t xml:space="preserve"> - </w:t>
      </w:r>
      <w:r w:rsidRPr="00DB6DE1">
        <w:t>which is def</w:t>
      </w:r>
      <w:r>
        <w:t>i</w:t>
      </w:r>
      <w:r w:rsidRPr="00DB6DE1">
        <w:t>ned</w:t>
      </w:r>
      <w:r>
        <w:t xml:space="preserve"> in s6C</w:t>
      </w:r>
      <w:r w:rsidRPr="00A94B61">
        <w:t xml:space="preserve"> </w:t>
      </w:r>
      <w:r>
        <w:t xml:space="preserve">of the Privacy Act to include </w:t>
      </w:r>
      <w:proofErr w:type="gramStart"/>
      <w:r>
        <w:t>a number of</w:t>
      </w:r>
      <w:proofErr w:type="gramEnd"/>
      <w:r>
        <w:t xml:space="preserve"> bodies, but most relevantly a person or body that is </w:t>
      </w:r>
      <w:r w:rsidRPr="00DB6DE1">
        <w:rPr>
          <w:u w:val="single"/>
        </w:rPr>
        <w:t>not</w:t>
      </w:r>
      <w:r>
        <w:t xml:space="preserve"> a </w:t>
      </w:r>
      <w:r>
        <w:rPr>
          <w:b/>
          <w:i/>
        </w:rPr>
        <w:t xml:space="preserve">small business, </w:t>
      </w:r>
      <w:r w:rsidRPr="00DB6DE1">
        <w:t>namely</w:t>
      </w:r>
      <w:r>
        <w:rPr>
          <w:b/>
          <w:i/>
        </w:rPr>
        <w:t xml:space="preserve"> </w:t>
      </w:r>
      <w:r w:rsidRPr="00DB6DE1">
        <w:t>a</w:t>
      </w:r>
      <w:r>
        <w:rPr>
          <w:b/>
          <w:i/>
        </w:rPr>
        <w:t xml:space="preserve"> </w:t>
      </w:r>
      <w:r>
        <w:t>business that has an annual turnover of $3million or less.</w:t>
      </w:r>
    </w:p>
    <w:p w14:paraId="2451AF46" w14:textId="77777777" w:rsidR="00A55836" w:rsidRDefault="00A55836" w:rsidP="00A55836">
      <w:pPr>
        <w:pStyle w:val="ListParagraph"/>
        <w:autoSpaceDE w:val="0"/>
        <w:autoSpaceDN w:val="0"/>
        <w:adjustRightInd w:val="0"/>
        <w:spacing w:after="0" w:line="240" w:lineRule="auto"/>
        <w:ind w:left="1440" w:hanging="720"/>
      </w:pPr>
    </w:p>
    <w:p w14:paraId="6CBDD330" w14:textId="77777777" w:rsidR="00A55836" w:rsidRDefault="00A55836" w:rsidP="00A55836">
      <w:pPr>
        <w:pStyle w:val="ListParagraph"/>
        <w:numPr>
          <w:ilvl w:val="0"/>
          <w:numId w:val="4"/>
        </w:numPr>
        <w:autoSpaceDE w:val="0"/>
        <w:autoSpaceDN w:val="0"/>
        <w:adjustRightInd w:val="0"/>
        <w:spacing w:after="0" w:line="240" w:lineRule="auto"/>
      </w:pPr>
      <w:r>
        <w:t>In applying ECSNL Regulation 199, ECS Agencies should note the following:</w:t>
      </w:r>
    </w:p>
    <w:p w14:paraId="495BD292" w14:textId="77777777" w:rsidR="00A55836" w:rsidRPr="00DB6DE1" w:rsidRDefault="00A55836" w:rsidP="00A55836">
      <w:pPr>
        <w:autoSpaceDE w:val="0"/>
        <w:autoSpaceDN w:val="0"/>
        <w:adjustRightInd w:val="0"/>
        <w:spacing w:after="0" w:line="240" w:lineRule="auto"/>
        <w:ind w:left="720" w:hanging="720"/>
        <w:rPr>
          <w:sz w:val="6"/>
          <w:szCs w:val="6"/>
        </w:rPr>
      </w:pPr>
    </w:p>
    <w:p w14:paraId="62AA07E0" w14:textId="77777777" w:rsidR="00A55836" w:rsidRDefault="00A55836" w:rsidP="00A800E6">
      <w:pPr>
        <w:autoSpaceDE w:val="0"/>
        <w:autoSpaceDN w:val="0"/>
        <w:adjustRightInd w:val="0"/>
        <w:spacing w:after="0" w:line="240" w:lineRule="auto"/>
        <w:ind w:left="1440" w:hanging="720"/>
      </w:pPr>
      <w:r>
        <w:t>(a)</w:t>
      </w:r>
      <w:r>
        <w:tab/>
        <w:t xml:space="preserve">The Privacy Act applies different parts of the Act to different bodies.  </w:t>
      </w:r>
    </w:p>
    <w:p w14:paraId="2FFCF83D" w14:textId="77777777" w:rsidR="00A55836" w:rsidRPr="0054196B" w:rsidRDefault="00A55836" w:rsidP="00A800E6">
      <w:pPr>
        <w:autoSpaceDE w:val="0"/>
        <w:autoSpaceDN w:val="0"/>
        <w:adjustRightInd w:val="0"/>
        <w:spacing w:after="0" w:line="240" w:lineRule="auto"/>
        <w:ind w:left="1440" w:hanging="720"/>
        <w:rPr>
          <w:sz w:val="6"/>
          <w:szCs w:val="6"/>
        </w:rPr>
      </w:pPr>
    </w:p>
    <w:p w14:paraId="16CC0A2A" w14:textId="77777777" w:rsidR="00A55836" w:rsidRDefault="00A55836" w:rsidP="00A800E6">
      <w:pPr>
        <w:autoSpaceDE w:val="0"/>
        <w:autoSpaceDN w:val="0"/>
        <w:adjustRightInd w:val="0"/>
        <w:spacing w:after="0" w:line="240" w:lineRule="auto"/>
        <w:ind w:left="1440" w:hanging="720"/>
        <w:rPr>
          <w:b/>
          <w:bCs/>
          <w:i/>
          <w:iCs/>
        </w:rPr>
      </w:pPr>
      <w:r>
        <w:t>(b)</w:t>
      </w:r>
      <w:r>
        <w:tab/>
        <w:t xml:space="preserve">Not </w:t>
      </w:r>
      <w:proofErr w:type="gramStart"/>
      <w:r>
        <w:t>all of</w:t>
      </w:r>
      <w:proofErr w:type="gramEnd"/>
      <w:r>
        <w:t xml:space="preserve"> the Privacy Act applies to </w:t>
      </w:r>
      <w:r w:rsidRPr="0CA0E573">
        <w:rPr>
          <w:b/>
          <w:bCs/>
          <w:i/>
          <w:iCs/>
        </w:rPr>
        <w:t>Agencies.</w:t>
      </w:r>
    </w:p>
    <w:p w14:paraId="2CAEA41B" w14:textId="77777777" w:rsidR="00A55836" w:rsidRPr="0054196B" w:rsidRDefault="00A55836" w:rsidP="00A55836">
      <w:pPr>
        <w:autoSpaceDE w:val="0"/>
        <w:autoSpaceDN w:val="0"/>
        <w:adjustRightInd w:val="0"/>
        <w:spacing w:after="0" w:line="240" w:lineRule="auto"/>
        <w:ind w:left="720" w:hanging="720"/>
        <w:rPr>
          <w:sz w:val="6"/>
          <w:szCs w:val="6"/>
        </w:rPr>
      </w:pPr>
    </w:p>
    <w:p w14:paraId="42DA7826" w14:textId="77777777" w:rsidR="00A55836" w:rsidRPr="002678F4" w:rsidRDefault="00A55836" w:rsidP="00A55836">
      <w:pPr>
        <w:autoSpaceDE w:val="0"/>
        <w:autoSpaceDN w:val="0"/>
        <w:adjustRightInd w:val="0"/>
        <w:spacing w:after="0" w:line="240" w:lineRule="auto"/>
        <w:ind w:left="1440" w:hanging="720"/>
      </w:pPr>
      <w:r>
        <w:t>(c)</w:t>
      </w:r>
      <w:r>
        <w:tab/>
        <w:t xml:space="preserve">The definitions in the Privacy Act of </w:t>
      </w:r>
      <w:r w:rsidRPr="00DB6DE1">
        <w:rPr>
          <w:i/>
        </w:rPr>
        <w:t>APP entity</w:t>
      </w:r>
      <w:r>
        <w:t xml:space="preserve"> and </w:t>
      </w:r>
      <w:r w:rsidRPr="00DB6DE1">
        <w:rPr>
          <w:i/>
        </w:rPr>
        <w:t xml:space="preserve">entity </w:t>
      </w:r>
      <w:r w:rsidRPr="000D23F8">
        <w:rPr>
          <w:b/>
        </w:rPr>
        <w:t>include</w:t>
      </w:r>
      <w:r w:rsidRPr="00DB6DE1">
        <w:t xml:space="preserve"> an</w:t>
      </w:r>
      <w:r>
        <w:rPr>
          <w:i/>
        </w:rPr>
        <w:t xml:space="preserve"> Agency.</w:t>
      </w:r>
      <w:r>
        <w:t xml:space="preserve"> </w:t>
      </w:r>
    </w:p>
    <w:p w14:paraId="52402990" w14:textId="77777777" w:rsidR="00A55836" w:rsidRDefault="00A55836" w:rsidP="00A55836">
      <w:pPr>
        <w:autoSpaceDE w:val="0"/>
        <w:autoSpaceDN w:val="0"/>
        <w:adjustRightInd w:val="0"/>
        <w:spacing w:after="0"/>
        <w:ind w:right="-424"/>
        <w:rPr>
          <w:b/>
          <w:color w:val="31849B" w:themeColor="accent5" w:themeShade="BF"/>
        </w:rPr>
      </w:pPr>
    </w:p>
    <w:p w14:paraId="02875867" w14:textId="77777777" w:rsidR="00A55836" w:rsidRDefault="00A55836" w:rsidP="00A55836">
      <w:pPr>
        <w:pStyle w:val="ListParagraph"/>
        <w:autoSpaceDE w:val="0"/>
        <w:autoSpaceDN w:val="0"/>
        <w:adjustRightInd w:val="0"/>
        <w:spacing w:after="0"/>
        <w:ind w:left="0"/>
        <w:rPr>
          <w:sz w:val="6"/>
          <w:szCs w:val="6"/>
        </w:rPr>
      </w:pPr>
    </w:p>
    <w:p w14:paraId="1D5707CA" w14:textId="77777777" w:rsidR="00A55836" w:rsidRDefault="00A55836" w:rsidP="00A55836">
      <w:pPr>
        <w:pStyle w:val="ListParagraph"/>
        <w:numPr>
          <w:ilvl w:val="0"/>
          <w:numId w:val="4"/>
        </w:numPr>
        <w:autoSpaceDE w:val="0"/>
        <w:autoSpaceDN w:val="0"/>
        <w:adjustRightInd w:val="0"/>
        <w:spacing w:after="0"/>
      </w:pPr>
      <w:r>
        <w:t>The sections of the Privacy Act that apply to an Agency, APP Entity or Entity, will also apply to ECS Agencies.  For example:</w:t>
      </w:r>
    </w:p>
    <w:p w14:paraId="2ED295D8" w14:textId="77777777" w:rsidR="00A55836" w:rsidRPr="00DB6DE1" w:rsidRDefault="00A55836" w:rsidP="00A55836">
      <w:pPr>
        <w:pStyle w:val="ListParagraph"/>
        <w:autoSpaceDE w:val="0"/>
        <w:autoSpaceDN w:val="0"/>
        <w:adjustRightInd w:val="0"/>
        <w:spacing w:after="0"/>
        <w:ind w:hanging="720"/>
        <w:rPr>
          <w:sz w:val="6"/>
          <w:szCs w:val="6"/>
        </w:rPr>
      </w:pPr>
    </w:p>
    <w:p w14:paraId="5FCB588F" w14:textId="77777777" w:rsidR="00A55836" w:rsidRDefault="00A55836" w:rsidP="00A55836">
      <w:pPr>
        <w:pStyle w:val="ListParagraph"/>
        <w:autoSpaceDE w:val="0"/>
        <w:autoSpaceDN w:val="0"/>
        <w:adjustRightInd w:val="0"/>
        <w:spacing w:after="0"/>
        <w:ind w:left="1440" w:hanging="720"/>
      </w:pPr>
      <w:r>
        <w:t>(a)</w:t>
      </w:r>
      <w:r>
        <w:tab/>
        <w:t xml:space="preserve">Section 13(a) of the Privacy Act states that an act of an </w:t>
      </w:r>
      <w:r w:rsidRPr="00DB6DE1">
        <w:rPr>
          <w:b/>
          <w:i/>
        </w:rPr>
        <w:t>APP entity</w:t>
      </w:r>
      <w:r>
        <w:t xml:space="preserve"> is an interference with the privacy of an individual if it breaches an Australian Privacy </w:t>
      </w:r>
      <w:proofErr w:type="gramStart"/>
      <w:r>
        <w:t>Principle, or</w:t>
      </w:r>
      <w:proofErr w:type="gramEnd"/>
      <w:r>
        <w:t xml:space="preserve"> breaches a registered APP code that binds that entity.  As the definition of an APP entity includes an Agency, that section will apply to ECS Agencies. </w:t>
      </w:r>
    </w:p>
    <w:p w14:paraId="17113EAB" w14:textId="77777777" w:rsidR="00A55836" w:rsidRPr="00DB6DE1" w:rsidRDefault="00A55836" w:rsidP="00A55836">
      <w:pPr>
        <w:pStyle w:val="ListParagraph"/>
        <w:autoSpaceDE w:val="0"/>
        <w:autoSpaceDN w:val="0"/>
        <w:adjustRightInd w:val="0"/>
        <w:spacing w:after="0"/>
        <w:ind w:left="1440" w:hanging="720"/>
        <w:rPr>
          <w:sz w:val="6"/>
          <w:szCs w:val="6"/>
        </w:rPr>
      </w:pPr>
    </w:p>
    <w:p w14:paraId="0B9DDC00" w14:textId="77777777" w:rsidR="00A55836" w:rsidRDefault="00A55836" w:rsidP="00A55836">
      <w:pPr>
        <w:pStyle w:val="ListParagraph"/>
        <w:autoSpaceDE w:val="0"/>
        <w:autoSpaceDN w:val="0"/>
        <w:adjustRightInd w:val="0"/>
        <w:spacing w:after="0"/>
        <w:ind w:left="1440" w:hanging="720"/>
      </w:pPr>
      <w:r>
        <w:t>(b)</w:t>
      </w:r>
      <w:r>
        <w:tab/>
        <w:t xml:space="preserve">Section 15 of the Privacy Act states an APP entity must not do an act, or engage in a practice, that breaches an Australian Privacy Principle.  As the definition of an APP entity includes an Agency, that section will apply to ECS Agencies.  </w:t>
      </w:r>
    </w:p>
    <w:p w14:paraId="420D901E" w14:textId="77777777" w:rsidR="00A55836" w:rsidRPr="00DB6DE1" w:rsidRDefault="00A55836" w:rsidP="00A55836">
      <w:pPr>
        <w:pStyle w:val="ListParagraph"/>
        <w:autoSpaceDE w:val="0"/>
        <w:autoSpaceDN w:val="0"/>
        <w:adjustRightInd w:val="0"/>
        <w:spacing w:after="0"/>
        <w:ind w:left="1440" w:hanging="720"/>
        <w:rPr>
          <w:sz w:val="6"/>
          <w:szCs w:val="6"/>
        </w:rPr>
      </w:pPr>
    </w:p>
    <w:p w14:paraId="1D5E9782" w14:textId="77777777" w:rsidR="00A55836" w:rsidRDefault="00A55836" w:rsidP="00A55836">
      <w:pPr>
        <w:pStyle w:val="ListParagraph"/>
        <w:autoSpaceDE w:val="0"/>
        <w:autoSpaceDN w:val="0"/>
        <w:adjustRightInd w:val="0"/>
        <w:spacing w:after="0"/>
        <w:ind w:left="1440" w:hanging="720"/>
      </w:pPr>
      <w:r>
        <w:t>(c)</w:t>
      </w:r>
      <w:r>
        <w:tab/>
        <w:t xml:space="preserve">Section 16A of the Privacy Act lists some permitted general situations in relation to the collection, use or disclosure of personal information.  The situations are listed in a table to that section, and column 1 of that table lists the entities that are given the relevant permissions.  Items 1 to 6 list an </w:t>
      </w:r>
      <w:r w:rsidRPr="00DB6DE1">
        <w:rPr>
          <w:i/>
        </w:rPr>
        <w:t>APP entity</w:t>
      </w:r>
      <w:r>
        <w:t xml:space="preserve">.  As the definition of an APP entity includes an Agency, those items will apply to ECS Agencies.  Item 7 lists the Defence Force, which will </w:t>
      </w:r>
      <w:r w:rsidRPr="00DB6DE1">
        <w:rPr>
          <w:u w:val="single"/>
        </w:rPr>
        <w:t>not</w:t>
      </w:r>
      <w:r>
        <w:t xml:space="preserve"> include an ECS Agency. </w:t>
      </w:r>
    </w:p>
    <w:p w14:paraId="50E70A14" w14:textId="77777777" w:rsidR="00A55836" w:rsidRPr="00DB6DE1" w:rsidRDefault="00A55836" w:rsidP="00A55836">
      <w:pPr>
        <w:pStyle w:val="ListParagraph"/>
        <w:autoSpaceDE w:val="0"/>
        <w:autoSpaceDN w:val="0"/>
        <w:adjustRightInd w:val="0"/>
        <w:spacing w:after="0"/>
        <w:ind w:left="1440" w:hanging="720"/>
        <w:rPr>
          <w:sz w:val="6"/>
          <w:szCs w:val="6"/>
        </w:rPr>
      </w:pPr>
    </w:p>
    <w:p w14:paraId="4A7A6F6A" w14:textId="77777777" w:rsidR="00A55836" w:rsidRDefault="00A55836" w:rsidP="00A55836">
      <w:pPr>
        <w:pStyle w:val="ListParagraph"/>
        <w:autoSpaceDE w:val="0"/>
        <w:autoSpaceDN w:val="0"/>
        <w:adjustRightInd w:val="0"/>
        <w:spacing w:after="0"/>
        <w:ind w:left="1440" w:hanging="720"/>
      </w:pPr>
      <w:r>
        <w:t>(d)</w:t>
      </w:r>
      <w:r>
        <w:tab/>
        <w:t>The above points are illustrative examples only and are not intended as an exhaustive list of the sections of the Privacy Act that apply to the ECS Agencies.</w:t>
      </w:r>
    </w:p>
    <w:p w14:paraId="561120A7" w14:textId="77777777" w:rsidR="00A55836" w:rsidRDefault="00A55836" w:rsidP="00A55836">
      <w:pPr>
        <w:pStyle w:val="ListParagraph"/>
        <w:autoSpaceDE w:val="0"/>
        <w:autoSpaceDN w:val="0"/>
        <w:adjustRightInd w:val="0"/>
        <w:spacing w:after="0" w:line="240" w:lineRule="auto"/>
        <w:ind w:left="1440" w:hanging="720"/>
      </w:pPr>
    </w:p>
    <w:p w14:paraId="6A1E9D21" w14:textId="77777777" w:rsidR="00A55836" w:rsidRDefault="00A55836" w:rsidP="00A55836">
      <w:pPr>
        <w:pStyle w:val="ListParagraph"/>
        <w:numPr>
          <w:ilvl w:val="0"/>
          <w:numId w:val="4"/>
        </w:numPr>
        <w:autoSpaceDE w:val="0"/>
        <w:autoSpaceDN w:val="0"/>
        <w:adjustRightInd w:val="0"/>
        <w:spacing w:after="0"/>
      </w:pPr>
      <w:r>
        <w:t xml:space="preserve">The sections of the Privacy Act which </w:t>
      </w:r>
      <w:r w:rsidRPr="00DD240A">
        <w:rPr>
          <w:b/>
        </w:rPr>
        <w:t>do</w:t>
      </w:r>
      <w:r>
        <w:t xml:space="preserve"> </w:t>
      </w:r>
      <w:r w:rsidRPr="00DD240A">
        <w:rPr>
          <w:b/>
        </w:rPr>
        <w:t xml:space="preserve">not </w:t>
      </w:r>
      <w:r>
        <w:t xml:space="preserve">apply to an Agency, APP Entity or Entity, will </w:t>
      </w:r>
      <w:r w:rsidRPr="00DD240A">
        <w:rPr>
          <w:b/>
        </w:rPr>
        <w:t>not</w:t>
      </w:r>
      <w:r>
        <w:t xml:space="preserve"> apply to ECS Agencies.  Whilst the following examples refer to the credit reporting matters excluded by </w:t>
      </w:r>
      <w:r>
        <w:rPr>
          <w:rFonts w:cstheme="minorHAnsi"/>
        </w:rPr>
        <w:t xml:space="preserve">ECSNL regulation 196(d) - and discussed in </w:t>
      </w:r>
      <w:r w:rsidRPr="00DD240A">
        <w:rPr>
          <w:rFonts w:cstheme="minorHAnsi"/>
        </w:rPr>
        <w:t>paragraph 6 above</w:t>
      </w:r>
      <w:r>
        <w:rPr>
          <w:rFonts w:cstheme="minorHAnsi"/>
        </w:rPr>
        <w:t xml:space="preserve"> – they provide appropriate examples to illustrate this definition:</w:t>
      </w:r>
      <w:r>
        <w:t xml:space="preserve"> </w:t>
      </w:r>
    </w:p>
    <w:p w14:paraId="337EDB7F" w14:textId="77777777" w:rsidR="00A55836" w:rsidRDefault="00A55836" w:rsidP="00A55836">
      <w:pPr>
        <w:pStyle w:val="ListParagraph"/>
        <w:autoSpaceDE w:val="0"/>
        <w:autoSpaceDN w:val="0"/>
        <w:adjustRightInd w:val="0"/>
        <w:spacing w:after="0"/>
      </w:pPr>
    </w:p>
    <w:p w14:paraId="24B76F2E" w14:textId="77777777" w:rsidR="00A55836" w:rsidRDefault="00A55836" w:rsidP="00A55836">
      <w:pPr>
        <w:pStyle w:val="ListParagraph"/>
        <w:autoSpaceDE w:val="0"/>
        <w:autoSpaceDN w:val="0"/>
        <w:adjustRightInd w:val="0"/>
        <w:spacing w:after="60"/>
        <w:ind w:left="1440" w:hanging="720"/>
      </w:pPr>
      <w:r>
        <w:t>(a)</w:t>
      </w:r>
      <w:r>
        <w:tab/>
        <w:t xml:space="preserve">Part 111A of the Privacy Act (comprising s19 to 20ZA) applies to </w:t>
      </w:r>
      <w:r w:rsidRPr="00DB6DE1">
        <w:rPr>
          <w:i/>
        </w:rPr>
        <w:t>credit reporting bodies</w:t>
      </w:r>
      <w:r>
        <w:t>.   Those bodies are defined in s6 to mean an organisation, or an agency prescribed by regulations (</w:t>
      </w:r>
      <w:proofErr w:type="spellStart"/>
      <w:r>
        <w:t>ie</w:t>
      </w:r>
      <w:proofErr w:type="spellEnd"/>
      <w:r>
        <w:t xml:space="preserve"> by the </w:t>
      </w:r>
      <w:r w:rsidRPr="00A04608">
        <w:t>Privacy Regulations (</w:t>
      </w:r>
      <w:proofErr w:type="spellStart"/>
      <w:r w:rsidRPr="00A04608">
        <w:t>Cth</w:t>
      </w:r>
      <w:proofErr w:type="spellEnd"/>
      <w:r w:rsidRPr="00A04608">
        <w:t>))</w:t>
      </w:r>
      <w:r>
        <w:t xml:space="preserve"> that carries on a credit reporting business.  The first body is not an Agency.  The second body (an agency prescribed by the regulations) will not include an ECS Agency, because (as stated earlier in paragraph 6) ECS regulation 203 states the Privacy Regulations do not apply.</w:t>
      </w:r>
    </w:p>
    <w:p w14:paraId="2C30FB99" w14:textId="77777777" w:rsidR="00A55836" w:rsidRPr="00DB6DE1" w:rsidRDefault="00A55836" w:rsidP="00A55836">
      <w:pPr>
        <w:pStyle w:val="ListParagraph"/>
        <w:autoSpaceDE w:val="0"/>
        <w:autoSpaceDN w:val="0"/>
        <w:adjustRightInd w:val="0"/>
        <w:spacing w:after="60"/>
        <w:ind w:left="1440"/>
        <w:rPr>
          <w:sz w:val="6"/>
          <w:szCs w:val="6"/>
        </w:rPr>
      </w:pPr>
    </w:p>
    <w:p w14:paraId="6E30E5C9" w14:textId="77777777" w:rsidR="00A55836" w:rsidRDefault="00A55836" w:rsidP="00A55836">
      <w:pPr>
        <w:pStyle w:val="ListParagraph"/>
        <w:autoSpaceDE w:val="0"/>
        <w:autoSpaceDN w:val="0"/>
        <w:adjustRightInd w:val="0"/>
        <w:spacing w:before="60" w:after="0"/>
        <w:ind w:left="1440" w:hanging="720"/>
      </w:pPr>
      <w:r>
        <w:t>(b)</w:t>
      </w:r>
      <w:r>
        <w:tab/>
        <w:t>Division 3 of Part 111A</w:t>
      </w:r>
      <w:r w:rsidRPr="00D02D16">
        <w:t xml:space="preserve"> </w:t>
      </w:r>
      <w:r>
        <w:t xml:space="preserve">of the Privacy Act (comprising sections 21 to 21W) applies to </w:t>
      </w:r>
      <w:r w:rsidRPr="00DB6DE1">
        <w:rPr>
          <w:i/>
        </w:rPr>
        <w:t>credit providers</w:t>
      </w:r>
      <w:r>
        <w:t>.  Those bodies are defined in s6G to 6K to mean an organisation, a small business operator, or an agency prescribed by regulations.  The first two bodies are not an Agency.  For the same reason expressed in the previous example, the third body will not include an ECS Agency, because ECS regulation 203 states the Privacy Regulations do not apply.</w:t>
      </w:r>
    </w:p>
    <w:p w14:paraId="64EC3B9D" w14:textId="77777777" w:rsidR="00A55836" w:rsidRPr="00DB6DE1" w:rsidRDefault="00A55836" w:rsidP="00A55836">
      <w:pPr>
        <w:pStyle w:val="ListParagraph"/>
        <w:autoSpaceDE w:val="0"/>
        <w:autoSpaceDN w:val="0"/>
        <w:adjustRightInd w:val="0"/>
        <w:spacing w:before="60" w:after="0"/>
        <w:ind w:left="1440"/>
        <w:rPr>
          <w:sz w:val="6"/>
          <w:szCs w:val="6"/>
        </w:rPr>
      </w:pPr>
    </w:p>
    <w:p w14:paraId="55B7EFF1" w14:textId="77777777" w:rsidR="00A55836" w:rsidRDefault="00A55836" w:rsidP="00A55836">
      <w:pPr>
        <w:pStyle w:val="ListParagraph"/>
        <w:autoSpaceDE w:val="0"/>
        <w:autoSpaceDN w:val="0"/>
        <w:adjustRightInd w:val="0"/>
        <w:spacing w:after="0"/>
        <w:ind w:left="1440" w:hanging="720"/>
      </w:pPr>
      <w:r>
        <w:t>(c)</w:t>
      </w:r>
      <w:r>
        <w:tab/>
        <w:t>The above points are illustrative examples only and are not intended as an exhaustive list of the sections of the Privacy Act that do not apply to the ECS Agencies.</w:t>
      </w:r>
    </w:p>
    <w:p w14:paraId="0C7CDEB3" w14:textId="77777777" w:rsidR="00A55836" w:rsidRDefault="00A55836" w:rsidP="00A55836">
      <w:pPr>
        <w:autoSpaceDE w:val="0"/>
        <w:autoSpaceDN w:val="0"/>
        <w:adjustRightInd w:val="0"/>
        <w:spacing w:after="0"/>
        <w:ind w:left="1440" w:hanging="720"/>
      </w:pPr>
    </w:p>
    <w:p w14:paraId="2D782CF4" w14:textId="77777777" w:rsidR="00A55836" w:rsidRDefault="00A55836" w:rsidP="00A55836">
      <w:pPr>
        <w:pStyle w:val="ListParagraph"/>
        <w:numPr>
          <w:ilvl w:val="0"/>
          <w:numId w:val="4"/>
        </w:numPr>
        <w:autoSpaceDE w:val="0"/>
        <w:autoSpaceDN w:val="0"/>
        <w:adjustRightInd w:val="0"/>
        <w:spacing w:after="0"/>
      </w:pPr>
      <w:r w:rsidRPr="00A04608">
        <w:t xml:space="preserve">The approach in paragraphs </w:t>
      </w:r>
      <w:r>
        <w:t>11</w:t>
      </w:r>
      <w:r w:rsidRPr="00DD240A">
        <w:t xml:space="preserve"> to 14</w:t>
      </w:r>
      <w:r w:rsidRPr="00A04608">
        <w:t xml:space="preserve"> to determining the provisions of the Privacy Act which do, and do not, apply to the ECS Agencies</w:t>
      </w:r>
      <w:r>
        <w:t xml:space="preserve"> also applies to the </w:t>
      </w:r>
      <w:r w:rsidRPr="00A04608">
        <w:t>application of</w:t>
      </w:r>
      <w:r>
        <w:t xml:space="preserve"> the Australian Privacy Principles listed in Schedule 1 to the Privacy Act.   For example:</w:t>
      </w:r>
    </w:p>
    <w:p w14:paraId="766161C2" w14:textId="77777777" w:rsidR="00A55836" w:rsidRPr="00DB6DE1" w:rsidRDefault="00A55836" w:rsidP="00A55836">
      <w:pPr>
        <w:autoSpaceDE w:val="0"/>
        <w:autoSpaceDN w:val="0"/>
        <w:adjustRightInd w:val="0"/>
        <w:spacing w:after="0"/>
        <w:rPr>
          <w:sz w:val="6"/>
          <w:szCs w:val="6"/>
        </w:rPr>
      </w:pPr>
    </w:p>
    <w:p w14:paraId="10F03682" w14:textId="77777777" w:rsidR="00A55836" w:rsidRDefault="00A55836" w:rsidP="00A55836">
      <w:pPr>
        <w:pStyle w:val="ListParagraph"/>
        <w:autoSpaceDE w:val="0"/>
        <w:autoSpaceDN w:val="0"/>
        <w:adjustRightInd w:val="0"/>
        <w:spacing w:after="0"/>
        <w:ind w:left="1440" w:hanging="720"/>
      </w:pPr>
      <w:r w:rsidRPr="00DB6DE1">
        <w:t>(a)</w:t>
      </w:r>
      <w:r w:rsidRPr="00DB6DE1">
        <w:tab/>
      </w:r>
      <w:r w:rsidRPr="00DD240A">
        <w:rPr>
          <w:b/>
        </w:rPr>
        <w:t xml:space="preserve">Most </w:t>
      </w:r>
      <w:r>
        <w:t xml:space="preserve">of the Australian Privacy Principles are expressed to impose obligations on </w:t>
      </w:r>
      <w:r w:rsidRPr="00A04608">
        <w:rPr>
          <w:i/>
        </w:rPr>
        <w:t xml:space="preserve">APP </w:t>
      </w:r>
      <w:r w:rsidRPr="00A16673">
        <w:rPr>
          <w:i/>
        </w:rPr>
        <w:t>entities</w:t>
      </w:r>
      <w:r>
        <w:t xml:space="preserve">.  As the definition of an APP entity includes an Agency, those Principles which impose obligations on APP entities also apply to ECS Agencies. </w:t>
      </w:r>
    </w:p>
    <w:p w14:paraId="6A67C369" w14:textId="77777777" w:rsidR="00A55836" w:rsidRPr="00DB6DE1" w:rsidRDefault="00A55836" w:rsidP="00A55836">
      <w:pPr>
        <w:pStyle w:val="ListParagraph"/>
        <w:autoSpaceDE w:val="0"/>
        <w:autoSpaceDN w:val="0"/>
        <w:adjustRightInd w:val="0"/>
        <w:spacing w:after="0"/>
        <w:ind w:left="1440" w:hanging="720"/>
        <w:rPr>
          <w:sz w:val="6"/>
          <w:szCs w:val="6"/>
        </w:rPr>
      </w:pPr>
    </w:p>
    <w:p w14:paraId="29C0771A" w14:textId="77777777" w:rsidR="00A55836" w:rsidRDefault="00A55836" w:rsidP="00A55836">
      <w:pPr>
        <w:pStyle w:val="ListParagraph"/>
        <w:autoSpaceDE w:val="0"/>
        <w:autoSpaceDN w:val="0"/>
        <w:adjustRightInd w:val="0"/>
        <w:spacing w:after="0"/>
        <w:ind w:left="1440" w:hanging="720"/>
      </w:pPr>
      <w:r w:rsidRPr="00DB6DE1">
        <w:t>(b)</w:t>
      </w:r>
      <w:r w:rsidRPr="00DB6DE1">
        <w:tab/>
      </w:r>
      <w:r w:rsidRPr="00DD240A">
        <w:rPr>
          <w:b/>
        </w:rPr>
        <w:t xml:space="preserve">Some </w:t>
      </w:r>
      <w:r>
        <w:t xml:space="preserve">of the Australian Privacy Principles are expressed to </w:t>
      </w:r>
      <w:r w:rsidRPr="00DD240A">
        <w:rPr>
          <w:b/>
        </w:rPr>
        <w:t xml:space="preserve">only apply to an </w:t>
      </w:r>
      <w:r w:rsidRPr="00DD240A">
        <w:rPr>
          <w:b/>
          <w:i/>
        </w:rPr>
        <w:t>organisation</w:t>
      </w:r>
      <w:r>
        <w:t xml:space="preserve">.  Some examples are APPs 3.2, 6.4 and 12.8, which only apply if the APP entity is an </w:t>
      </w:r>
      <w:r w:rsidRPr="00DB6DE1">
        <w:rPr>
          <w:i/>
        </w:rPr>
        <w:t>organisation</w:t>
      </w:r>
      <w:r>
        <w:t xml:space="preserve">.  Similarly, APP 7 deals with direct marketing and only applies to </w:t>
      </w:r>
      <w:r w:rsidRPr="00DB6DE1">
        <w:rPr>
          <w:i/>
        </w:rPr>
        <w:t>organisations</w:t>
      </w:r>
      <w:r>
        <w:t xml:space="preserve">, as does APP 9 which deals with </w:t>
      </w:r>
      <w:r w:rsidRPr="00DB6DE1">
        <w:rPr>
          <w:i/>
        </w:rPr>
        <w:t>government related identifiers</w:t>
      </w:r>
      <w:r>
        <w:t xml:space="preserve">.     The definition of organisation falls outside the meaning of agency, and therefore those APPs </w:t>
      </w:r>
      <w:r w:rsidRPr="00DD240A">
        <w:rPr>
          <w:b/>
        </w:rPr>
        <w:t>do not</w:t>
      </w:r>
      <w:r>
        <w:t xml:space="preserve"> apply to ECS Agencies.</w:t>
      </w:r>
    </w:p>
    <w:p w14:paraId="57A5DFC2" w14:textId="77777777" w:rsidR="00A55836" w:rsidRPr="00F314DB" w:rsidRDefault="00A55836" w:rsidP="00A55836">
      <w:pPr>
        <w:autoSpaceDE w:val="0"/>
        <w:autoSpaceDN w:val="0"/>
        <w:adjustRightInd w:val="0"/>
        <w:spacing w:after="0"/>
        <w:ind w:left="720" w:hanging="720"/>
        <w:rPr>
          <w:color w:val="365F91" w:themeColor="accent1" w:themeShade="BF"/>
          <w:sz w:val="24"/>
          <w:szCs w:val="24"/>
        </w:rPr>
      </w:pPr>
    </w:p>
    <w:p w14:paraId="118601FA" w14:textId="77777777" w:rsidR="00A55836" w:rsidRPr="00F314DB" w:rsidRDefault="00A55836" w:rsidP="00A55836">
      <w:pPr>
        <w:autoSpaceDE w:val="0"/>
        <w:autoSpaceDN w:val="0"/>
        <w:adjustRightInd w:val="0"/>
        <w:spacing w:after="0"/>
        <w:ind w:left="720" w:hanging="720"/>
        <w:rPr>
          <w:b/>
          <w:color w:val="365F91" w:themeColor="accent1" w:themeShade="BF"/>
          <w:sz w:val="24"/>
          <w:szCs w:val="24"/>
        </w:rPr>
      </w:pPr>
      <w:r w:rsidRPr="00F314DB">
        <w:rPr>
          <w:b/>
          <w:color w:val="365F91" w:themeColor="accent1" w:themeShade="BF"/>
          <w:sz w:val="24"/>
          <w:szCs w:val="24"/>
        </w:rPr>
        <w:t>Further modifications made by the ECSNL Regulations</w:t>
      </w:r>
    </w:p>
    <w:p w14:paraId="5D0687E5" w14:textId="77777777" w:rsidR="00A55836" w:rsidRPr="00DB6DE1" w:rsidRDefault="00A55836" w:rsidP="00A55836">
      <w:pPr>
        <w:autoSpaceDE w:val="0"/>
        <w:autoSpaceDN w:val="0"/>
        <w:adjustRightInd w:val="0"/>
        <w:spacing w:after="0"/>
        <w:ind w:left="720" w:hanging="720"/>
        <w:rPr>
          <w:sz w:val="6"/>
          <w:szCs w:val="6"/>
        </w:rPr>
      </w:pPr>
    </w:p>
    <w:p w14:paraId="5E983F3F" w14:textId="77777777" w:rsidR="00A55836" w:rsidRDefault="00A55836" w:rsidP="00A55836">
      <w:pPr>
        <w:pStyle w:val="ListParagraph"/>
        <w:numPr>
          <w:ilvl w:val="0"/>
          <w:numId w:val="4"/>
        </w:numPr>
        <w:autoSpaceDE w:val="0"/>
        <w:autoSpaceDN w:val="0"/>
        <w:adjustRightInd w:val="0"/>
        <w:spacing w:after="0"/>
      </w:pPr>
      <w:r>
        <w:t>In applying the APP Guidelines, ECS Agencies will need to be mindful of all the modifications made to the Privacy Act by the ECSNL Regulations</w:t>
      </w:r>
      <w:proofErr w:type="gramStart"/>
      <w:r>
        <w:t>, and in particular</w:t>
      </w:r>
      <w:proofErr w:type="gramEnd"/>
      <w:r>
        <w:t xml:space="preserve"> the following.</w:t>
      </w:r>
    </w:p>
    <w:p w14:paraId="11BF32AD" w14:textId="77777777" w:rsidR="00A55836" w:rsidRPr="00DB6DE1" w:rsidRDefault="00A55836" w:rsidP="00A55836">
      <w:pPr>
        <w:autoSpaceDE w:val="0"/>
        <w:autoSpaceDN w:val="0"/>
        <w:adjustRightInd w:val="0"/>
        <w:spacing w:after="0"/>
        <w:ind w:left="1440" w:hanging="720"/>
        <w:rPr>
          <w:sz w:val="12"/>
          <w:szCs w:val="12"/>
        </w:rPr>
      </w:pPr>
    </w:p>
    <w:p w14:paraId="6F07C1B4" w14:textId="77777777" w:rsidR="00A55836" w:rsidRPr="003D1C78" w:rsidRDefault="00A55836" w:rsidP="00A55836">
      <w:pPr>
        <w:autoSpaceDE w:val="0"/>
        <w:autoSpaceDN w:val="0"/>
        <w:adjustRightInd w:val="0"/>
        <w:spacing w:after="0"/>
        <w:ind w:left="1440" w:hanging="720"/>
      </w:pPr>
      <w:r>
        <w:t>(a)</w:t>
      </w:r>
      <w:r>
        <w:tab/>
        <w:t>As required by ECSNL Regulation 201(</w:t>
      </w:r>
      <w:proofErr w:type="spellStart"/>
      <w:r>
        <w:t>i</w:t>
      </w:r>
      <w:proofErr w:type="spellEnd"/>
      <w:r>
        <w:t xml:space="preserve">), </w:t>
      </w:r>
      <w:r w:rsidRPr="003D1C78">
        <w:t xml:space="preserve">a reference to a contracted service provider </w:t>
      </w:r>
      <w:r>
        <w:t xml:space="preserve">is to be applied as if it </w:t>
      </w:r>
      <w:r w:rsidRPr="003D1C78">
        <w:t>were a reference to a person who provides goods or services under a contract with the National Authority or a Regulatory Authority</w:t>
      </w:r>
      <w:r w:rsidRPr="00DB6DE1">
        <w:t xml:space="preserve"> (of a participating jurisdiction)</w:t>
      </w:r>
      <w:r w:rsidRPr="003D1C78">
        <w:t>, or a subcontract for that contract</w:t>
      </w:r>
      <w:r w:rsidRPr="00DB6DE1">
        <w:t>.</w:t>
      </w:r>
    </w:p>
    <w:p w14:paraId="179F12B3" w14:textId="77777777" w:rsidR="00A55836" w:rsidRPr="00DB6DE1" w:rsidRDefault="00A55836" w:rsidP="00A55836">
      <w:pPr>
        <w:autoSpaceDE w:val="0"/>
        <w:autoSpaceDN w:val="0"/>
        <w:adjustRightInd w:val="0"/>
        <w:spacing w:after="0"/>
        <w:ind w:left="1440" w:hanging="720"/>
        <w:rPr>
          <w:sz w:val="12"/>
          <w:szCs w:val="12"/>
        </w:rPr>
      </w:pPr>
    </w:p>
    <w:p w14:paraId="4C9D1DB1" w14:textId="77777777" w:rsidR="00A55836" w:rsidRDefault="00A55836" w:rsidP="00A55836">
      <w:pPr>
        <w:autoSpaceDE w:val="0"/>
        <w:autoSpaceDN w:val="0"/>
        <w:adjustRightInd w:val="0"/>
        <w:spacing w:after="0"/>
        <w:ind w:left="1440" w:hanging="720"/>
      </w:pPr>
      <w:r>
        <w:t>(b)</w:t>
      </w:r>
      <w:r>
        <w:tab/>
        <w:t xml:space="preserve">As required by ECSNL Regulation 201(j), a reference to a Commonwealth contract, a government contract or a State contract, is to be applied as if it </w:t>
      </w:r>
      <w:r w:rsidRPr="003D1C78">
        <w:t>were</w:t>
      </w:r>
      <w:r>
        <w:t xml:space="preserve"> a reference to a contract under which goods or services are to be, or were to be, provided to the National Authority or a Regulatory Authority (</w:t>
      </w:r>
      <w:r w:rsidRPr="009D4B77">
        <w:t>of a participating jurisdiction)</w:t>
      </w:r>
      <w:r>
        <w:t>.</w:t>
      </w:r>
    </w:p>
    <w:p w14:paraId="4288DFC6" w14:textId="77777777" w:rsidR="00A55836" w:rsidRPr="00DB6DE1" w:rsidRDefault="00A55836" w:rsidP="00A55836">
      <w:pPr>
        <w:autoSpaceDE w:val="0"/>
        <w:autoSpaceDN w:val="0"/>
        <w:adjustRightInd w:val="0"/>
        <w:spacing w:after="0"/>
        <w:ind w:left="1440" w:hanging="720"/>
        <w:rPr>
          <w:sz w:val="12"/>
          <w:szCs w:val="12"/>
        </w:rPr>
      </w:pPr>
    </w:p>
    <w:p w14:paraId="17FD8BEB" w14:textId="77777777" w:rsidR="00A55836" w:rsidRDefault="00A55836" w:rsidP="00A55836">
      <w:pPr>
        <w:autoSpaceDE w:val="0"/>
        <w:autoSpaceDN w:val="0"/>
        <w:adjustRightInd w:val="0"/>
        <w:spacing w:after="0"/>
        <w:ind w:left="1440" w:hanging="720"/>
      </w:pPr>
      <w:r>
        <w:t>(c)</w:t>
      </w:r>
      <w:r>
        <w:tab/>
        <w:t>As required by ECSNL Regulation 201(h),</w:t>
      </w:r>
      <w:r w:rsidRPr="003D1C78">
        <w:t xml:space="preserve"> </w:t>
      </w:r>
      <w:r>
        <w:t xml:space="preserve">a reference to the Ombudsman is to be applied as if it </w:t>
      </w:r>
      <w:r w:rsidRPr="003D1C78">
        <w:t>were</w:t>
      </w:r>
      <w:r>
        <w:t xml:space="preserve"> a reference to the ECS Ombudsman.</w:t>
      </w:r>
    </w:p>
    <w:p w14:paraId="74ED79CE" w14:textId="77777777" w:rsidR="00A55836" w:rsidRDefault="00A55836" w:rsidP="00A55836">
      <w:pPr>
        <w:autoSpaceDE w:val="0"/>
        <w:autoSpaceDN w:val="0"/>
        <w:adjustRightInd w:val="0"/>
        <w:spacing w:after="0"/>
        <w:ind w:left="1440" w:hanging="720"/>
      </w:pPr>
    </w:p>
    <w:p w14:paraId="5566BFF5" w14:textId="77777777" w:rsidR="00A55836" w:rsidRDefault="00A55836" w:rsidP="00A55836">
      <w:pPr>
        <w:autoSpaceDE w:val="0"/>
        <w:autoSpaceDN w:val="0"/>
        <w:adjustRightInd w:val="0"/>
        <w:spacing w:after="0"/>
        <w:ind w:left="1440" w:hanging="720"/>
      </w:pPr>
      <w:r>
        <w:t>(d)</w:t>
      </w:r>
      <w:r>
        <w:tab/>
        <w:t>As required by ECSNL Regulation 201(p),</w:t>
      </w:r>
      <w:r w:rsidRPr="003D1C78">
        <w:t xml:space="preserve"> </w:t>
      </w:r>
      <w:r>
        <w:t xml:space="preserve">the provisions relating to transferring complaints to the Ombudsman do not apply to complaints made about a Regulatory Authority </w:t>
      </w:r>
      <w:r w:rsidRPr="009D4B77">
        <w:t>of a participating jurisdiction</w:t>
      </w:r>
      <w:r>
        <w:t>.</w:t>
      </w:r>
    </w:p>
    <w:p w14:paraId="61DEF80A" w14:textId="77777777" w:rsidR="00A55836" w:rsidRPr="00DB6DE1" w:rsidRDefault="00A55836" w:rsidP="00A55836">
      <w:pPr>
        <w:autoSpaceDE w:val="0"/>
        <w:autoSpaceDN w:val="0"/>
        <w:adjustRightInd w:val="0"/>
        <w:spacing w:after="0"/>
        <w:ind w:left="1440" w:hanging="720"/>
        <w:rPr>
          <w:sz w:val="12"/>
          <w:szCs w:val="12"/>
        </w:rPr>
      </w:pPr>
    </w:p>
    <w:p w14:paraId="41DE6FE6" w14:textId="77777777" w:rsidR="00A55836" w:rsidRPr="00910763" w:rsidRDefault="00A55836" w:rsidP="00A55836">
      <w:pPr>
        <w:autoSpaceDE w:val="0"/>
        <w:autoSpaceDN w:val="0"/>
        <w:adjustRightInd w:val="0"/>
        <w:spacing w:after="0"/>
        <w:ind w:left="1440" w:hanging="720"/>
      </w:pPr>
      <w:r>
        <w:t>(e)</w:t>
      </w:r>
      <w:r>
        <w:tab/>
        <w:t xml:space="preserve">As required by ECSNL Regulation 201(e), a reference to the Administrative Appeals Tribunal is to be applied as if it </w:t>
      </w:r>
      <w:r w:rsidRPr="003D1C78">
        <w:t>were</w:t>
      </w:r>
      <w:r>
        <w:t xml:space="preserve"> a reference to a </w:t>
      </w:r>
      <w:r w:rsidRPr="00DB6DE1">
        <w:rPr>
          <w:i/>
        </w:rPr>
        <w:t>relevant administrative tribunal</w:t>
      </w:r>
      <w:r>
        <w:rPr>
          <w:i/>
        </w:rPr>
        <w:t xml:space="preserve">.   </w:t>
      </w:r>
      <w:r w:rsidRPr="00DB6DE1">
        <w:t xml:space="preserve">(Note: </w:t>
      </w:r>
      <w:r>
        <w:t xml:space="preserve">ECS Regulation 202 lists the </w:t>
      </w:r>
      <w:r w:rsidRPr="00DB6DE1">
        <w:t>relevant administrative tribunal</w:t>
      </w:r>
      <w:r w:rsidRPr="00546940">
        <w:t xml:space="preserve"> </w:t>
      </w:r>
      <w:r>
        <w:t xml:space="preserve">of </w:t>
      </w:r>
      <w:r w:rsidRPr="00546940">
        <w:t>the participating</w:t>
      </w:r>
      <w:r>
        <w:t xml:space="preserve"> jurisdictions).</w:t>
      </w:r>
    </w:p>
    <w:p w14:paraId="0D77A359" w14:textId="77777777" w:rsidR="00A55836" w:rsidRPr="00DB6DE1" w:rsidRDefault="00A55836" w:rsidP="00A55836">
      <w:pPr>
        <w:autoSpaceDE w:val="0"/>
        <w:autoSpaceDN w:val="0"/>
        <w:adjustRightInd w:val="0"/>
        <w:spacing w:after="0"/>
        <w:ind w:left="1440" w:hanging="720"/>
        <w:rPr>
          <w:sz w:val="12"/>
          <w:szCs w:val="12"/>
        </w:rPr>
      </w:pPr>
    </w:p>
    <w:p w14:paraId="41C24A2D" w14:textId="77777777" w:rsidR="00A55836" w:rsidRDefault="00A55836" w:rsidP="00A55836">
      <w:pPr>
        <w:autoSpaceDE w:val="0"/>
        <w:autoSpaceDN w:val="0"/>
        <w:adjustRightInd w:val="0"/>
        <w:spacing w:after="0"/>
        <w:ind w:left="1440" w:hanging="720"/>
      </w:pPr>
      <w:r>
        <w:t>(f)</w:t>
      </w:r>
      <w:r>
        <w:tab/>
        <w:t>As required by ECSNL Regulation 201(f),</w:t>
      </w:r>
      <w:r w:rsidRPr="00546940">
        <w:t xml:space="preserve"> </w:t>
      </w:r>
      <w:r>
        <w:t xml:space="preserve">a reference to the Federal Court is to be applied as if it </w:t>
      </w:r>
      <w:r w:rsidRPr="003D1C78">
        <w:t>were</w:t>
      </w:r>
      <w:r>
        <w:t xml:space="preserve"> a reference to the Supreme Court of a participating jurisdiction.</w:t>
      </w:r>
    </w:p>
    <w:p w14:paraId="55A466B4" w14:textId="77777777" w:rsidR="00A55836" w:rsidRPr="00DB6DE1" w:rsidRDefault="00A55836" w:rsidP="00A55836">
      <w:pPr>
        <w:autoSpaceDE w:val="0"/>
        <w:autoSpaceDN w:val="0"/>
        <w:adjustRightInd w:val="0"/>
        <w:spacing w:after="0"/>
        <w:ind w:left="1440" w:hanging="720"/>
        <w:rPr>
          <w:sz w:val="12"/>
          <w:szCs w:val="12"/>
        </w:rPr>
      </w:pPr>
    </w:p>
    <w:p w14:paraId="1F04F6BD" w14:textId="77777777" w:rsidR="00A55836" w:rsidRDefault="00A55836" w:rsidP="00A55836">
      <w:pPr>
        <w:autoSpaceDE w:val="0"/>
        <w:autoSpaceDN w:val="0"/>
        <w:adjustRightInd w:val="0"/>
        <w:spacing w:after="0"/>
        <w:ind w:left="1440" w:hanging="720"/>
      </w:pPr>
      <w:r>
        <w:t>(g)</w:t>
      </w:r>
      <w:r>
        <w:tab/>
        <w:t>As required by ECSNL Regulation 201(g),</w:t>
      </w:r>
      <w:r w:rsidRPr="00546940">
        <w:t xml:space="preserve"> </w:t>
      </w:r>
      <w:r>
        <w:t xml:space="preserve">a reference to the Federal Magistrates Court is to be applied as if it </w:t>
      </w:r>
      <w:r w:rsidRPr="003D1C78">
        <w:t>were</w:t>
      </w:r>
      <w:r>
        <w:t xml:space="preserve"> a reference to the Magistrates Court or Local Court of a participating jurisdiction.   (Note:  Federal Magistrates Courts have been renamed Federal Circuit Courts.)</w:t>
      </w:r>
    </w:p>
    <w:p w14:paraId="1C7A60FE" w14:textId="77777777" w:rsidR="00A55836" w:rsidRPr="002678F4" w:rsidRDefault="00A55836" w:rsidP="00A55836">
      <w:pPr>
        <w:autoSpaceDE w:val="0"/>
        <w:autoSpaceDN w:val="0"/>
        <w:adjustRightInd w:val="0"/>
        <w:spacing w:after="0"/>
        <w:ind w:left="1440" w:hanging="720"/>
      </w:pPr>
    </w:p>
    <w:p w14:paraId="1DE7A9D2" w14:textId="77777777" w:rsidR="00A55836" w:rsidRPr="00F314DB" w:rsidRDefault="00A55836" w:rsidP="00A55836">
      <w:pPr>
        <w:autoSpaceDE w:val="0"/>
        <w:autoSpaceDN w:val="0"/>
        <w:adjustRightInd w:val="0"/>
        <w:spacing w:after="0"/>
        <w:rPr>
          <w:color w:val="365F91" w:themeColor="accent1" w:themeShade="BF"/>
          <w:sz w:val="24"/>
          <w:szCs w:val="24"/>
        </w:rPr>
      </w:pPr>
      <w:r w:rsidRPr="00F314DB">
        <w:rPr>
          <w:b/>
          <w:color w:val="365F91" w:themeColor="accent1" w:themeShade="BF"/>
          <w:sz w:val="24"/>
          <w:szCs w:val="24"/>
        </w:rPr>
        <w:t>References in APP Guidelines to other OAIC guides and material</w:t>
      </w:r>
      <w:r w:rsidRPr="00F314DB">
        <w:rPr>
          <w:color w:val="365F91" w:themeColor="accent1" w:themeShade="BF"/>
          <w:sz w:val="24"/>
          <w:szCs w:val="24"/>
        </w:rPr>
        <w:t>.</w:t>
      </w:r>
    </w:p>
    <w:p w14:paraId="5B6AA3F2" w14:textId="77777777" w:rsidR="00A55836" w:rsidRPr="00F314DB" w:rsidRDefault="00A55836" w:rsidP="00A55836">
      <w:pPr>
        <w:autoSpaceDE w:val="0"/>
        <w:autoSpaceDN w:val="0"/>
        <w:adjustRightInd w:val="0"/>
        <w:spacing w:after="0"/>
        <w:ind w:left="720" w:hanging="720"/>
        <w:rPr>
          <w:color w:val="365F91" w:themeColor="accent1" w:themeShade="BF"/>
          <w:sz w:val="6"/>
          <w:szCs w:val="6"/>
        </w:rPr>
      </w:pPr>
    </w:p>
    <w:p w14:paraId="25205FC5" w14:textId="77777777" w:rsidR="00A55836" w:rsidRDefault="00A55836" w:rsidP="00A55836">
      <w:pPr>
        <w:pStyle w:val="ListParagraph"/>
        <w:numPr>
          <w:ilvl w:val="0"/>
          <w:numId w:val="4"/>
        </w:numPr>
        <w:autoSpaceDE w:val="0"/>
        <w:autoSpaceDN w:val="0"/>
        <w:adjustRightInd w:val="0"/>
        <w:spacing w:after="0"/>
      </w:pPr>
      <w:r>
        <w:t xml:space="preserve">The guides and material referred to in the APP Guidelines form part of this NECS Guideline.  For example, footnote 1 to the APP Guidelines on APP1 refers to the </w:t>
      </w:r>
      <w:r w:rsidRPr="002678F4">
        <w:rPr>
          <w:i/>
        </w:rPr>
        <w:t>OAIC Guide to Undertaking Privacy Impact Assessments</w:t>
      </w:r>
      <w:r>
        <w:t xml:space="preserve">, and footnote 2 refers to the </w:t>
      </w:r>
      <w:r w:rsidRPr="002678F4">
        <w:rPr>
          <w:i/>
        </w:rPr>
        <w:t>OAIC Data Breach preparation and Response.</w:t>
      </w:r>
      <w:r>
        <w:t xml:space="preserve">  The relevant guides and material can be found on the OAIC website at </w:t>
      </w:r>
      <w:hyperlink r:id="rId51" w:history="1">
        <w:r w:rsidRPr="00410CF5">
          <w:rPr>
            <w:rStyle w:val="Hyperlink"/>
          </w:rPr>
          <w:t>https://www.oaic.gov.au</w:t>
        </w:r>
      </w:hyperlink>
      <w:r>
        <w:t xml:space="preserve"> under the </w:t>
      </w:r>
      <w:r w:rsidRPr="002678F4">
        <w:rPr>
          <w:i/>
        </w:rPr>
        <w:t>Privacy Tab</w:t>
      </w:r>
      <w:r>
        <w:t>.</w:t>
      </w:r>
    </w:p>
    <w:p w14:paraId="6606CEC6" w14:textId="77777777" w:rsidR="00A55836" w:rsidRDefault="00A55836" w:rsidP="00A55836">
      <w:pPr>
        <w:pStyle w:val="ListParagraph"/>
        <w:autoSpaceDE w:val="0"/>
        <w:autoSpaceDN w:val="0"/>
        <w:adjustRightInd w:val="0"/>
        <w:spacing w:after="0"/>
      </w:pPr>
    </w:p>
    <w:p w14:paraId="2E376356" w14:textId="77777777" w:rsidR="00A55836" w:rsidRPr="00DB6DE1" w:rsidRDefault="00A55836" w:rsidP="00A55836">
      <w:pPr>
        <w:autoSpaceDE w:val="0"/>
        <w:autoSpaceDN w:val="0"/>
        <w:adjustRightInd w:val="0"/>
        <w:spacing w:after="0"/>
        <w:ind w:left="1440" w:hanging="720"/>
        <w:rPr>
          <w:sz w:val="6"/>
          <w:szCs w:val="6"/>
        </w:rPr>
      </w:pPr>
    </w:p>
    <w:p w14:paraId="1DEAB92E" w14:textId="77777777" w:rsidR="00A55836" w:rsidRPr="008A60D4" w:rsidRDefault="00A55836" w:rsidP="00A55836">
      <w:pPr>
        <w:autoSpaceDE w:val="0"/>
        <w:autoSpaceDN w:val="0"/>
        <w:adjustRightInd w:val="0"/>
        <w:spacing w:after="0"/>
        <w:ind w:left="720" w:hanging="720"/>
        <w:rPr>
          <w:sz w:val="6"/>
          <w:szCs w:val="6"/>
          <w:highlight w:val="yellow"/>
        </w:rPr>
      </w:pPr>
    </w:p>
    <w:p w14:paraId="50CED282" w14:textId="77777777" w:rsidR="00A55836" w:rsidRPr="002678F4" w:rsidRDefault="00A55836" w:rsidP="00A55836">
      <w:pPr>
        <w:pStyle w:val="ListParagraph"/>
        <w:numPr>
          <w:ilvl w:val="0"/>
          <w:numId w:val="4"/>
        </w:numPr>
        <w:autoSpaceDE w:val="0"/>
        <w:autoSpaceDN w:val="0"/>
        <w:adjustRightInd w:val="0"/>
        <w:spacing w:after="0"/>
      </w:pPr>
      <w:r w:rsidRPr="002678F4">
        <w:t>The adoption of the APP Guidelines is not intended to preclude the NECS</w:t>
      </w:r>
      <w:r>
        <w:t xml:space="preserve"> </w:t>
      </w:r>
      <w:r w:rsidRPr="002678F4">
        <w:t xml:space="preserve">Privacy </w:t>
      </w:r>
      <w:r>
        <w:t>C</w:t>
      </w:r>
      <w:r w:rsidRPr="002678F4">
        <w:t>ommissioner</w:t>
      </w:r>
      <w:r>
        <w:t xml:space="preserve"> </w:t>
      </w:r>
      <w:r w:rsidRPr="002678F4">
        <w:t xml:space="preserve">from issuing further guidance material </w:t>
      </w:r>
      <w:r>
        <w:t xml:space="preserve">to ECS Agencies on the operations of the Privacy Act (as modified) </w:t>
      </w:r>
      <w:r w:rsidRPr="002678F4">
        <w:t>as necessary</w:t>
      </w:r>
      <w:r>
        <w:t>.</w:t>
      </w:r>
    </w:p>
    <w:p w14:paraId="296E92EE" w14:textId="77777777" w:rsidR="00A55836" w:rsidRDefault="00A55836" w:rsidP="00A55836">
      <w:pPr>
        <w:autoSpaceDE w:val="0"/>
        <w:autoSpaceDN w:val="0"/>
        <w:adjustRightInd w:val="0"/>
        <w:spacing w:after="0"/>
        <w:ind w:left="720" w:hanging="720"/>
      </w:pPr>
    </w:p>
    <w:p w14:paraId="120775CD" w14:textId="24C8B089" w:rsidR="00A55836" w:rsidRDefault="00A55836" w:rsidP="00A55836">
      <w:pPr>
        <w:autoSpaceDE w:val="0"/>
        <w:autoSpaceDN w:val="0"/>
        <w:adjustRightInd w:val="0"/>
        <w:spacing w:after="0"/>
      </w:pPr>
    </w:p>
    <w:p w14:paraId="433EFBEF" w14:textId="77777777" w:rsidR="00A55836" w:rsidRPr="00210127" w:rsidRDefault="00A55836" w:rsidP="00A55836">
      <w:pPr>
        <w:autoSpaceDE w:val="0"/>
        <w:autoSpaceDN w:val="0"/>
        <w:adjustRightInd w:val="0"/>
        <w:spacing w:after="0"/>
        <w:rPr>
          <w:b/>
          <w:bCs/>
        </w:rPr>
      </w:pPr>
      <w:r w:rsidRPr="411602C8">
        <w:rPr>
          <w:b/>
          <w:bCs/>
        </w:rPr>
        <w:t>Lesley Foster</w:t>
      </w:r>
    </w:p>
    <w:p w14:paraId="6253DE15" w14:textId="77777777" w:rsidR="00A55836" w:rsidRDefault="00A55836" w:rsidP="00A55836">
      <w:pPr>
        <w:autoSpaceDE w:val="0"/>
        <w:autoSpaceDN w:val="0"/>
        <w:adjustRightInd w:val="0"/>
        <w:spacing w:after="0"/>
        <w:rPr>
          <w:b/>
          <w:bCs/>
        </w:rPr>
      </w:pPr>
      <w:r w:rsidRPr="00210127">
        <w:rPr>
          <w:b/>
          <w:bCs/>
        </w:rPr>
        <w:t xml:space="preserve">National Education and Care Services </w:t>
      </w:r>
      <w:r>
        <w:rPr>
          <w:b/>
          <w:bCs/>
        </w:rPr>
        <w:t xml:space="preserve">Privacy </w:t>
      </w:r>
      <w:r w:rsidRPr="00210127">
        <w:rPr>
          <w:b/>
          <w:bCs/>
        </w:rPr>
        <w:t>Commissioner</w:t>
      </w:r>
    </w:p>
    <w:p w14:paraId="467BB8CD" w14:textId="77777777" w:rsidR="00A55836" w:rsidRDefault="00A55836" w:rsidP="00A55836">
      <w:pPr>
        <w:autoSpaceDE w:val="0"/>
        <w:autoSpaceDN w:val="0"/>
        <w:adjustRightInd w:val="0"/>
        <w:spacing w:after="0"/>
        <w:rPr>
          <w:rFonts w:cstheme="minorHAnsi"/>
          <w:b/>
          <w:bCs/>
          <w:color w:val="000000"/>
        </w:rPr>
      </w:pPr>
    </w:p>
    <w:p w14:paraId="136D5CE7" w14:textId="77777777" w:rsidR="00A55836" w:rsidRPr="00210127" w:rsidRDefault="00A55836" w:rsidP="411602C8">
      <w:pPr>
        <w:autoSpaceDE w:val="0"/>
        <w:autoSpaceDN w:val="0"/>
        <w:adjustRightInd w:val="0"/>
        <w:spacing w:after="0"/>
        <w:rPr>
          <w:rFonts w:cstheme="minorBidi"/>
          <w:b/>
          <w:bCs/>
          <w:color w:val="000000"/>
        </w:rPr>
      </w:pPr>
    </w:p>
    <w:p w14:paraId="6591C7E2" w14:textId="77777777" w:rsidR="00A55836" w:rsidRPr="00F314DB" w:rsidRDefault="00A55836" w:rsidP="00A55836">
      <w:pPr>
        <w:autoSpaceDE w:val="0"/>
        <w:autoSpaceDN w:val="0"/>
        <w:adjustRightInd w:val="0"/>
        <w:spacing w:after="0"/>
        <w:rPr>
          <w:rFonts w:cstheme="minorHAnsi"/>
          <w:color w:val="365F91" w:themeColor="accent1" w:themeShade="BF"/>
        </w:rPr>
      </w:pPr>
      <w:r w:rsidRPr="00F314DB">
        <w:rPr>
          <w:rFonts w:cstheme="minorHAnsi"/>
          <w:color w:val="365F91" w:themeColor="accent1" w:themeShade="BF"/>
          <w:sz w:val="26"/>
          <w:szCs w:val="26"/>
          <w:lang w:val="en-US"/>
        </w:rPr>
        <w:t>Document Currency</w:t>
      </w:r>
    </w:p>
    <w:p w14:paraId="24AE0B42" w14:textId="77777777" w:rsidR="00A55836" w:rsidRDefault="00A55836" w:rsidP="00A55836">
      <w:pPr>
        <w:autoSpaceDE w:val="0"/>
        <w:autoSpaceDN w:val="0"/>
        <w:adjustRightInd w:val="0"/>
        <w:spacing w:after="0"/>
      </w:pPr>
    </w:p>
    <w:p w14:paraId="43F2BADE" w14:textId="77777777" w:rsidR="00A55836" w:rsidRDefault="00A55836" w:rsidP="00A55836">
      <w:pPr>
        <w:autoSpaceDE w:val="0"/>
        <w:autoSpaceDN w:val="0"/>
        <w:adjustRightInd w:val="0"/>
        <w:spacing w:after="0"/>
        <w:rPr>
          <w:b/>
        </w:rPr>
      </w:pPr>
      <w:r>
        <w:t>This Guide will be reviewed as necessary and at the latest every 6 months and may, by instrument in writing, be varied, amended, or revoked.</w:t>
      </w:r>
    </w:p>
    <w:p w14:paraId="51F7B2F6" w14:textId="77777777" w:rsidR="00A55836" w:rsidRPr="00A14980" w:rsidRDefault="00A55836" w:rsidP="00A55836">
      <w:pPr>
        <w:autoSpaceDE w:val="0"/>
        <w:autoSpaceDN w:val="0"/>
        <w:adjustRightInd w:val="0"/>
        <w:spacing w:after="0"/>
        <w:rPr>
          <w:b/>
        </w:rPr>
      </w:pPr>
    </w:p>
    <w:tbl>
      <w:tblPr>
        <w:tblStyle w:val="TableGrid"/>
        <w:tblW w:w="0" w:type="auto"/>
        <w:tblLook w:val="04A0" w:firstRow="1" w:lastRow="0" w:firstColumn="1" w:lastColumn="0" w:noHBand="0" w:noVBand="1"/>
      </w:tblPr>
      <w:tblGrid>
        <w:gridCol w:w="2191"/>
        <w:gridCol w:w="7545"/>
      </w:tblGrid>
      <w:tr w:rsidR="00A55836" w14:paraId="31C2ACBC" w14:textId="77777777" w:rsidTr="00C66290">
        <w:tc>
          <w:tcPr>
            <w:tcW w:w="2191" w:type="dxa"/>
          </w:tcPr>
          <w:p w14:paraId="269958D1" w14:textId="1D5B441C" w:rsidR="00A55836" w:rsidRPr="00A14980" w:rsidRDefault="00A55836" w:rsidP="00C66290">
            <w:pPr>
              <w:tabs>
                <w:tab w:val="left" w:pos="3686"/>
              </w:tabs>
              <w:rPr>
                <w:rFonts w:cstheme="minorHAnsi"/>
                <w:lang w:val="en-US"/>
              </w:rPr>
            </w:pPr>
            <w:r w:rsidRPr="00A14980">
              <w:rPr>
                <w:rFonts w:cstheme="minorHAnsi"/>
                <w:lang w:val="en-US"/>
              </w:rPr>
              <w:t xml:space="preserve">This </w:t>
            </w:r>
            <w:r w:rsidR="006D7FF5">
              <w:rPr>
                <w:rFonts w:cstheme="minorHAnsi"/>
                <w:lang w:val="en-US"/>
              </w:rPr>
              <w:t>v</w:t>
            </w:r>
            <w:r w:rsidRPr="00A14980">
              <w:rPr>
                <w:rFonts w:cstheme="minorHAnsi"/>
                <w:lang w:val="en-US"/>
              </w:rPr>
              <w:t>ersion</w:t>
            </w:r>
          </w:p>
        </w:tc>
        <w:tc>
          <w:tcPr>
            <w:tcW w:w="7545" w:type="dxa"/>
          </w:tcPr>
          <w:p w14:paraId="63F10E69" w14:textId="1FA6FE80" w:rsidR="00A55836" w:rsidRPr="00A14980" w:rsidRDefault="00A55836" w:rsidP="00C66290">
            <w:pPr>
              <w:tabs>
                <w:tab w:val="left" w:pos="3686"/>
              </w:tabs>
              <w:rPr>
                <w:rFonts w:cstheme="minorHAnsi"/>
                <w:lang w:val="en-US"/>
              </w:rPr>
            </w:pPr>
            <w:r>
              <w:rPr>
                <w:rFonts w:cstheme="minorHAnsi"/>
                <w:lang w:val="en-US"/>
              </w:rPr>
              <w:t xml:space="preserve">Reviewed June </w:t>
            </w:r>
            <w:r w:rsidR="003E21E9">
              <w:rPr>
                <w:rFonts w:cstheme="minorHAnsi"/>
                <w:lang w:val="en-US"/>
              </w:rPr>
              <w:t>2023</w:t>
            </w:r>
          </w:p>
        </w:tc>
      </w:tr>
    </w:tbl>
    <w:p w14:paraId="146972EE" w14:textId="77777777" w:rsidR="00A55836" w:rsidRDefault="00A55836" w:rsidP="00A55836">
      <w:pPr>
        <w:sectPr w:rsidR="00A55836" w:rsidSect="00512E04">
          <w:headerReference w:type="default" r:id="rId52"/>
          <w:type w:val="continuous"/>
          <w:pgSz w:w="11907" w:h="16840" w:code="9"/>
          <w:pgMar w:top="1440" w:right="1080" w:bottom="1440" w:left="1080" w:header="709" w:footer="709" w:gutter="0"/>
          <w:cols w:space="708"/>
          <w:docGrid w:linePitch="360"/>
        </w:sectPr>
      </w:pPr>
    </w:p>
    <w:p w14:paraId="733D851F" w14:textId="77777777" w:rsidR="00A55836" w:rsidRPr="00A51299" w:rsidRDefault="00A55836" w:rsidP="00A55836">
      <w:pPr>
        <w:rPr>
          <w:color w:val="365F91" w:themeColor="accent1" w:themeShade="BF"/>
          <w:sz w:val="36"/>
          <w:szCs w:val="36"/>
        </w:rPr>
      </w:pPr>
      <w:r>
        <w:rPr>
          <w:noProof/>
          <w:lang w:eastAsia="en-AU"/>
        </w:rPr>
        <w:drawing>
          <wp:inline distT="0" distB="0" distL="0" distR="0" wp14:anchorId="2FDD05E0" wp14:editId="52BABE13">
            <wp:extent cx="2514600" cy="708057"/>
            <wp:effectExtent l="0" t="0" r="6350" b="0"/>
            <wp:docPr id="1935369508" name="Picture 1935369508" descr="National Education &amp; Care Services FOI &amp; Privacy Commissioners &amp; 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69508" name="Picture 1935369508" descr="National Education &amp; Care Services FOI &amp; Privacy Commissioners &amp; Ombudsman log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14600" cy="708057"/>
                    </a:xfrm>
                    <a:prstGeom prst="rect">
                      <a:avLst/>
                    </a:prstGeom>
                  </pic:spPr>
                </pic:pic>
              </a:graphicData>
            </a:graphic>
          </wp:inline>
        </w:drawing>
      </w:r>
    </w:p>
    <w:p w14:paraId="2C4E1567" w14:textId="51AB881C" w:rsidR="00A55836" w:rsidRPr="00F314DB" w:rsidRDefault="00A55836" w:rsidP="00A55836">
      <w:pPr>
        <w:tabs>
          <w:tab w:val="left" w:pos="1824"/>
        </w:tabs>
        <w:jc w:val="right"/>
        <w:rPr>
          <w:color w:val="365F91" w:themeColor="accent1" w:themeShade="BF"/>
          <w:sz w:val="28"/>
          <w:szCs w:val="28"/>
        </w:rPr>
      </w:pPr>
      <w:r w:rsidRPr="00F314DB">
        <w:rPr>
          <w:color w:val="365F91" w:themeColor="accent1" w:themeShade="BF"/>
          <w:sz w:val="28"/>
          <w:szCs w:val="28"/>
        </w:rPr>
        <w:t>NECS FOI Commissioner Instrument 01/V2</w:t>
      </w:r>
    </w:p>
    <w:p w14:paraId="4A97CE4F" w14:textId="77777777" w:rsidR="00A55836" w:rsidRPr="002253A8" w:rsidRDefault="00A55836" w:rsidP="002253A8">
      <w:pPr>
        <w:pStyle w:val="Heading2"/>
        <w:rPr>
          <w:sz w:val="36"/>
          <w:szCs w:val="36"/>
        </w:rPr>
      </w:pPr>
      <w:bookmarkStart w:id="40" w:name="_Instrument_adopting_parts"/>
      <w:bookmarkStart w:id="41" w:name="_Toc160544969"/>
      <w:bookmarkEnd w:id="40"/>
      <w:r w:rsidRPr="002253A8">
        <w:rPr>
          <w:sz w:val="36"/>
          <w:szCs w:val="36"/>
        </w:rPr>
        <w:t>Instrument adopting parts of the Australian Information Commissioner Freedom of Information Guidelines</w:t>
      </w:r>
      <w:bookmarkEnd w:id="41"/>
    </w:p>
    <w:p w14:paraId="3CD287E3" w14:textId="77777777" w:rsidR="00A55836" w:rsidRPr="00F314DB" w:rsidRDefault="00A55836" w:rsidP="00A55836">
      <w:pPr>
        <w:spacing w:before="240" w:after="240"/>
        <w:rPr>
          <w:color w:val="365F91" w:themeColor="accent1" w:themeShade="BF"/>
          <w:sz w:val="28"/>
          <w:szCs w:val="28"/>
        </w:rPr>
      </w:pPr>
      <w:r w:rsidRPr="00F314DB">
        <w:rPr>
          <w:color w:val="365F91" w:themeColor="accent1" w:themeShade="BF"/>
          <w:sz w:val="28"/>
          <w:szCs w:val="28"/>
        </w:rPr>
        <w:t>Terms</w:t>
      </w:r>
    </w:p>
    <w:p w14:paraId="73B3EB79" w14:textId="77777777" w:rsidR="00A55836" w:rsidRPr="008A6B47" w:rsidRDefault="00A55836" w:rsidP="00A55836">
      <w:pPr>
        <w:spacing w:before="240" w:after="240"/>
      </w:pPr>
      <w:r w:rsidRPr="008A6B47">
        <w:t xml:space="preserve">The following terms and acronyms are used </w:t>
      </w:r>
      <w:r>
        <w:t>in this Instrument:</w:t>
      </w:r>
    </w:p>
    <w:p w14:paraId="585D8342" w14:textId="77777777" w:rsidR="00A55836" w:rsidRPr="006344A1" w:rsidRDefault="00A55836" w:rsidP="00A55836">
      <w:pPr>
        <w:spacing w:before="60" w:after="0"/>
        <w:jc w:val="both"/>
      </w:pPr>
      <w:r w:rsidRPr="006344A1">
        <w:rPr>
          <w:b/>
        </w:rPr>
        <w:t>ACECQA</w:t>
      </w:r>
      <w:r w:rsidRPr="006344A1">
        <w:t xml:space="preserve"> means the Australian Children’s Education and Care Quality Authority</w:t>
      </w:r>
      <w:r>
        <w:t>.</w:t>
      </w:r>
    </w:p>
    <w:p w14:paraId="16815006" w14:textId="77777777" w:rsidR="00A55836" w:rsidRDefault="00A55836" w:rsidP="00A55836">
      <w:pPr>
        <w:spacing w:before="60" w:after="0"/>
        <w:rPr>
          <w:b/>
        </w:rPr>
      </w:pPr>
      <w:r>
        <w:rPr>
          <w:b/>
        </w:rPr>
        <w:t xml:space="preserve">AIC FOI Guidelines </w:t>
      </w:r>
      <w:r w:rsidRPr="000C3EF9">
        <w:t xml:space="preserve">mean </w:t>
      </w:r>
      <w:r>
        <w:t xml:space="preserve">the Guidelines issued by the Australian Information Commissioner under s93A of the </w:t>
      </w:r>
      <w:r w:rsidRPr="00156026">
        <w:rPr>
          <w:i/>
          <w:iCs/>
        </w:rPr>
        <w:t>Freedom of Information Act 1982</w:t>
      </w:r>
      <w:r>
        <w:rPr>
          <w:b/>
        </w:rPr>
        <w:t xml:space="preserve"> </w:t>
      </w:r>
      <w:r w:rsidRPr="000C3EF9">
        <w:t>(</w:t>
      </w:r>
      <w:proofErr w:type="spellStart"/>
      <w:r w:rsidRPr="000C3EF9">
        <w:t>Cth</w:t>
      </w:r>
      <w:proofErr w:type="spellEnd"/>
      <w:r w:rsidRPr="000C3EF9">
        <w:t>).</w:t>
      </w:r>
      <w:r>
        <w:rPr>
          <w:b/>
        </w:rPr>
        <w:t xml:space="preserve"> </w:t>
      </w:r>
    </w:p>
    <w:p w14:paraId="79E7AFDF" w14:textId="77777777" w:rsidR="00A55836" w:rsidRPr="006344A1" w:rsidRDefault="00A55836" w:rsidP="00A55836">
      <w:pPr>
        <w:spacing w:before="60" w:after="0"/>
        <w:rPr>
          <w:i/>
        </w:rPr>
      </w:pPr>
      <w:r>
        <w:rPr>
          <w:b/>
        </w:rPr>
        <w:t xml:space="preserve">ECS </w:t>
      </w:r>
      <w:r w:rsidRPr="006344A1">
        <w:rPr>
          <w:b/>
        </w:rPr>
        <w:t>Agency/</w:t>
      </w:r>
      <w:proofErr w:type="spellStart"/>
      <w:r w:rsidRPr="006344A1">
        <w:rPr>
          <w:b/>
        </w:rPr>
        <w:t>ies</w:t>
      </w:r>
      <w:proofErr w:type="spellEnd"/>
      <w:r w:rsidRPr="006344A1">
        <w:rPr>
          <w:b/>
        </w:rPr>
        <w:t xml:space="preserve"> </w:t>
      </w:r>
      <w:r w:rsidRPr="006344A1">
        <w:t>means</w:t>
      </w:r>
      <w:r w:rsidRPr="006344A1">
        <w:rPr>
          <w:b/>
        </w:rPr>
        <w:t xml:space="preserve"> </w:t>
      </w:r>
      <w:r w:rsidRPr="006344A1">
        <w:t xml:space="preserve">ACECQA and/or the </w:t>
      </w:r>
      <w:r>
        <w:t xml:space="preserve">state and territory </w:t>
      </w:r>
      <w:r w:rsidRPr="006344A1">
        <w:t>Regulatory Authorities of the participating jurisdictions</w:t>
      </w:r>
      <w:r>
        <w:t>.</w:t>
      </w:r>
      <w:r w:rsidRPr="006344A1">
        <w:rPr>
          <w:i/>
        </w:rPr>
        <w:t xml:space="preserve"> </w:t>
      </w:r>
    </w:p>
    <w:p w14:paraId="4852F8F8" w14:textId="77777777" w:rsidR="00A55836" w:rsidRPr="002E7A6F" w:rsidRDefault="00A55836" w:rsidP="00A55836">
      <w:pPr>
        <w:spacing w:before="60" w:after="0"/>
        <w:jc w:val="both"/>
        <w:rPr>
          <w:rStyle w:val="Hyperlink"/>
          <w:color w:val="auto"/>
          <w:u w:val="none"/>
        </w:rPr>
      </w:pPr>
      <w:r w:rsidRPr="006344A1">
        <w:rPr>
          <w:b/>
        </w:rPr>
        <w:t xml:space="preserve">ECSNL </w:t>
      </w:r>
      <w:r w:rsidRPr="006344A1">
        <w:t xml:space="preserve">means </w:t>
      </w:r>
      <w:r w:rsidRPr="002E7A6F">
        <w:t xml:space="preserve">the </w:t>
      </w:r>
      <w:r w:rsidRPr="002E7A6F">
        <w:rPr>
          <w:rStyle w:val="Hyperlink"/>
          <w:i/>
          <w:color w:val="auto"/>
          <w:u w:val="none"/>
        </w:rPr>
        <w:t xml:space="preserve">Education and Care Services National Law </w:t>
      </w:r>
      <w:r w:rsidRPr="002E7A6F">
        <w:rPr>
          <w:rStyle w:val="Hyperlink"/>
          <w:color w:val="auto"/>
          <w:u w:val="none"/>
        </w:rPr>
        <w:t>as set out in the following provisions:</w:t>
      </w:r>
    </w:p>
    <w:p w14:paraId="32261EC8" w14:textId="77777777" w:rsidR="00A55836" w:rsidRPr="000C3EF9" w:rsidRDefault="00A55836" w:rsidP="00A55836">
      <w:pPr>
        <w:shd w:val="clear" w:color="auto" w:fill="FEFEFE"/>
        <w:spacing w:before="60" w:after="0" w:line="240" w:lineRule="auto"/>
        <w:ind w:left="720"/>
        <w:rPr>
          <w:rFonts w:cstheme="minorHAnsi"/>
          <w:lang w:val="en-US"/>
        </w:rPr>
      </w:pPr>
      <w:r w:rsidRPr="00534A6E">
        <w:rPr>
          <w:rFonts w:cstheme="minorHAnsi"/>
          <w:lang w:val="en-US"/>
        </w:rPr>
        <w:t xml:space="preserve">In respect of the </w:t>
      </w:r>
      <w:r w:rsidRPr="000C3EF9">
        <w:rPr>
          <w:rFonts w:cstheme="minorHAnsi"/>
          <w:lang w:val="en-US"/>
        </w:rPr>
        <w:t>A</w:t>
      </w:r>
      <w:r w:rsidRPr="00534A6E">
        <w:rPr>
          <w:rFonts w:cstheme="minorHAnsi"/>
          <w:lang w:val="en-US"/>
        </w:rPr>
        <w:t xml:space="preserve">ustralian Capital Territory - the Schedule to </w:t>
      </w:r>
      <w:r w:rsidRPr="000C3EF9">
        <w:rPr>
          <w:rFonts w:cstheme="minorHAnsi"/>
          <w:i/>
          <w:lang w:val="en-US"/>
        </w:rPr>
        <w:t xml:space="preserve">the </w:t>
      </w:r>
      <w:hyperlink r:id="rId53" w:tgtFrame="_blank" w:history="1">
        <w:r w:rsidRPr="000C3EF9">
          <w:rPr>
            <w:rFonts w:cstheme="minorHAnsi"/>
            <w:i/>
            <w:lang w:val="en-US"/>
          </w:rPr>
          <w:t>Education and Care Services National Law Act 2010</w:t>
        </w:r>
      </w:hyperlink>
      <w:r w:rsidRPr="00534A6E">
        <w:rPr>
          <w:rFonts w:cstheme="minorHAnsi"/>
          <w:lang w:val="en-US"/>
        </w:rPr>
        <w:t xml:space="preserve"> (Vic) as adopted by the </w:t>
      </w:r>
      <w:hyperlink r:id="rId54" w:tgtFrame="_blank" w:history="1">
        <w:r w:rsidRPr="000C3EF9">
          <w:rPr>
            <w:rFonts w:cstheme="minorHAnsi"/>
            <w:i/>
            <w:iCs/>
            <w:lang w:val="en-US"/>
          </w:rPr>
          <w:t>Education &amp; Care Services National Law (ACT) Act 2011</w:t>
        </w:r>
      </w:hyperlink>
      <w:r w:rsidRPr="00534A6E">
        <w:rPr>
          <w:rFonts w:cstheme="minorHAnsi"/>
          <w:i/>
          <w:iCs/>
          <w:lang w:val="en-US"/>
        </w:rPr>
        <w:t>.</w:t>
      </w:r>
    </w:p>
    <w:p w14:paraId="7B77AC94" w14:textId="77777777" w:rsidR="00A55836" w:rsidRPr="000C3EF9" w:rsidRDefault="00A55836" w:rsidP="00A55836">
      <w:pPr>
        <w:shd w:val="clear" w:color="auto" w:fill="FEFEFE"/>
        <w:spacing w:before="60" w:after="0" w:line="240" w:lineRule="auto"/>
        <w:ind w:left="720"/>
        <w:rPr>
          <w:rFonts w:cstheme="minorHAnsi"/>
          <w:lang w:val="en-US"/>
        </w:rPr>
      </w:pPr>
      <w:r w:rsidRPr="00534A6E">
        <w:rPr>
          <w:rFonts w:cstheme="minorHAnsi"/>
          <w:lang w:val="en-US"/>
        </w:rPr>
        <w:t xml:space="preserve">In respect of </w:t>
      </w:r>
      <w:r w:rsidRPr="000C3EF9">
        <w:rPr>
          <w:rFonts w:cstheme="minorHAnsi"/>
          <w:lang w:val="en-US"/>
        </w:rPr>
        <w:t>N</w:t>
      </w:r>
      <w:r w:rsidRPr="00534A6E">
        <w:rPr>
          <w:rFonts w:cstheme="minorHAnsi"/>
          <w:lang w:val="en-US"/>
        </w:rPr>
        <w:t xml:space="preserve">ew South Wales - the Schedule to the </w:t>
      </w:r>
      <w:hyperlink r:id="rId55" w:tgtFrame="_blank" w:history="1">
        <w:r w:rsidRPr="000C3EF9">
          <w:rPr>
            <w:rFonts w:cstheme="minorHAnsi"/>
            <w:i/>
            <w:lang w:val="en-US"/>
          </w:rPr>
          <w:t>Education and Care Services National Law Act 2010</w:t>
        </w:r>
      </w:hyperlink>
      <w:r w:rsidRPr="00534A6E">
        <w:rPr>
          <w:rFonts w:cstheme="minorHAnsi"/>
          <w:lang w:val="en-US"/>
        </w:rPr>
        <w:t xml:space="preserve"> (Vic) as adopted by the </w:t>
      </w:r>
      <w:hyperlink r:id="rId56" w:anchor="/view/act/2010/104a/full" w:tgtFrame="_blank" w:history="1">
        <w:r w:rsidRPr="000C3EF9">
          <w:rPr>
            <w:rFonts w:cstheme="minorHAnsi"/>
            <w:i/>
            <w:iCs/>
            <w:lang w:val="en-US"/>
          </w:rPr>
          <w:t>Children (Education and Care Services National Law Application) Act 2010</w:t>
        </w:r>
      </w:hyperlink>
      <w:r w:rsidRPr="00534A6E">
        <w:rPr>
          <w:rFonts w:cstheme="minorHAnsi"/>
          <w:i/>
          <w:iCs/>
          <w:lang w:val="en-US"/>
        </w:rPr>
        <w:t xml:space="preserve"> (NSW).</w:t>
      </w:r>
    </w:p>
    <w:p w14:paraId="3924A65F" w14:textId="77777777" w:rsidR="00A55836" w:rsidRPr="000C3EF9" w:rsidRDefault="00A55836" w:rsidP="00A55836">
      <w:pPr>
        <w:shd w:val="clear" w:color="auto" w:fill="FEFEFE"/>
        <w:spacing w:before="60" w:after="0" w:line="240" w:lineRule="auto"/>
        <w:ind w:left="720"/>
        <w:rPr>
          <w:rFonts w:cstheme="minorHAnsi"/>
          <w:lang w:val="en-US"/>
        </w:rPr>
      </w:pPr>
      <w:r w:rsidRPr="00534A6E">
        <w:rPr>
          <w:rFonts w:cstheme="minorHAnsi"/>
          <w:lang w:val="en-US"/>
        </w:rPr>
        <w:t xml:space="preserve">In respect of the </w:t>
      </w:r>
      <w:r w:rsidRPr="000C3EF9">
        <w:rPr>
          <w:rFonts w:cstheme="minorHAnsi"/>
          <w:lang w:val="en-US"/>
        </w:rPr>
        <w:t>N</w:t>
      </w:r>
      <w:r w:rsidRPr="00534A6E">
        <w:rPr>
          <w:rFonts w:cstheme="minorHAnsi"/>
          <w:lang w:val="en-US"/>
        </w:rPr>
        <w:t xml:space="preserve">orthern Territory - the Schedule to the </w:t>
      </w:r>
      <w:hyperlink r:id="rId57" w:tgtFrame="_blank" w:history="1">
        <w:r w:rsidRPr="000C3EF9">
          <w:rPr>
            <w:rFonts w:cstheme="minorHAnsi"/>
            <w:i/>
            <w:lang w:val="en-US"/>
          </w:rPr>
          <w:t>Education and Care Services National Law Act 2010</w:t>
        </w:r>
      </w:hyperlink>
      <w:r w:rsidRPr="00534A6E">
        <w:rPr>
          <w:rFonts w:cstheme="minorHAnsi"/>
          <w:lang w:val="en-US"/>
        </w:rPr>
        <w:t xml:space="preserve"> (Vic) as adopted by the </w:t>
      </w:r>
      <w:hyperlink r:id="rId58" w:tgtFrame="_blank" w:history="1">
        <w:r w:rsidRPr="000C3EF9">
          <w:rPr>
            <w:rFonts w:cstheme="minorHAnsi"/>
            <w:i/>
            <w:iCs/>
            <w:lang w:val="en-US"/>
          </w:rPr>
          <w:t>Education and Care Services (National Uniform Legislation) Act 2011</w:t>
        </w:r>
      </w:hyperlink>
      <w:r w:rsidRPr="00534A6E">
        <w:rPr>
          <w:rFonts w:cstheme="minorHAnsi"/>
          <w:lang w:val="en-US"/>
        </w:rPr>
        <w:t>.</w:t>
      </w:r>
    </w:p>
    <w:p w14:paraId="4E0F670C" w14:textId="77777777" w:rsidR="00A55836" w:rsidRPr="000C3EF9" w:rsidRDefault="00A55836" w:rsidP="00A55836">
      <w:pPr>
        <w:shd w:val="clear" w:color="auto" w:fill="FEFEFE"/>
        <w:spacing w:before="60" w:after="0" w:line="240" w:lineRule="auto"/>
        <w:ind w:left="720"/>
        <w:rPr>
          <w:rFonts w:cstheme="minorHAnsi"/>
          <w:lang w:val="en-US"/>
        </w:rPr>
      </w:pPr>
      <w:r w:rsidRPr="00534A6E">
        <w:rPr>
          <w:rFonts w:cstheme="minorHAnsi"/>
          <w:lang w:val="en-US"/>
        </w:rPr>
        <w:t xml:space="preserve">In respect of </w:t>
      </w:r>
      <w:r w:rsidRPr="000C3EF9">
        <w:rPr>
          <w:rFonts w:cstheme="minorHAnsi"/>
          <w:lang w:val="en-US"/>
        </w:rPr>
        <w:t>Q</w:t>
      </w:r>
      <w:r w:rsidRPr="00534A6E">
        <w:rPr>
          <w:rFonts w:cstheme="minorHAnsi"/>
          <w:lang w:val="en-US"/>
        </w:rPr>
        <w:t xml:space="preserve">ueensland - the Schedule to the </w:t>
      </w:r>
      <w:hyperlink r:id="rId59" w:tgtFrame="_blank" w:history="1">
        <w:r w:rsidRPr="00534A6E">
          <w:rPr>
            <w:rFonts w:cstheme="minorHAnsi"/>
            <w:i/>
            <w:lang w:val="en-US"/>
          </w:rPr>
          <w:t>Education and Care Services National Law Act 2010</w:t>
        </w:r>
      </w:hyperlink>
      <w:r w:rsidRPr="00534A6E">
        <w:rPr>
          <w:rFonts w:cstheme="minorHAnsi"/>
          <w:lang w:val="en-US"/>
        </w:rPr>
        <w:t xml:space="preserve"> (Vic) as adopted by the </w:t>
      </w:r>
      <w:hyperlink r:id="rId60" w:tgtFrame="_blank" w:history="1">
        <w:r w:rsidRPr="000C3EF9">
          <w:rPr>
            <w:rFonts w:cstheme="minorHAnsi"/>
            <w:i/>
            <w:iCs/>
            <w:lang w:val="en-US"/>
          </w:rPr>
          <w:t>Education and Care Services National Law (Queensland) Act 2011</w:t>
        </w:r>
      </w:hyperlink>
      <w:r w:rsidRPr="00534A6E">
        <w:rPr>
          <w:rFonts w:cstheme="minorHAnsi"/>
          <w:i/>
          <w:iCs/>
          <w:lang w:val="en-US"/>
        </w:rPr>
        <w:t>.</w:t>
      </w:r>
    </w:p>
    <w:p w14:paraId="3FF11DB6" w14:textId="77777777" w:rsidR="00A55836" w:rsidRPr="000C3EF9" w:rsidRDefault="00A55836" w:rsidP="00A55836">
      <w:pPr>
        <w:shd w:val="clear" w:color="auto" w:fill="FEFEFE"/>
        <w:spacing w:before="60" w:after="0" w:line="240" w:lineRule="auto"/>
        <w:ind w:left="720"/>
        <w:rPr>
          <w:rFonts w:cstheme="minorHAnsi"/>
          <w:lang w:val="en-US"/>
        </w:rPr>
      </w:pPr>
      <w:r w:rsidRPr="00534A6E">
        <w:rPr>
          <w:rFonts w:cstheme="minorHAnsi"/>
          <w:lang w:val="en-US"/>
        </w:rPr>
        <w:t xml:space="preserve">In respect of </w:t>
      </w:r>
      <w:r w:rsidRPr="000C3EF9">
        <w:rPr>
          <w:rFonts w:cstheme="minorHAnsi"/>
          <w:lang w:val="en-US"/>
        </w:rPr>
        <w:t>S</w:t>
      </w:r>
      <w:r w:rsidRPr="00534A6E">
        <w:rPr>
          <w:rFonts w:cstheme="minorHAnsi"/>
          <w:lang w:val="en-US"/>
        </w:rPr>
        <w:t xml:space="preserve">outh Australia – Schedule 1 to the </w:t>
      </w:r>
      <w:hyperlink r:id="rId61" w:tgtFrame="_blank" w:history="1">
        <w:r w:rsidRPr="000C3EF9">
          <w:rPr>
            <w:rFonts w:cstheme="minorHAnsi"/>
            <w:i/>
            <w:iCs/>
            <w:lang w:val="en-US"/>
          </w:rPr>
          <w:t>Education and Early Childhood Services (Registration and Standards) Act 2011</w:t>
        </w:r>
      </w:hyperlink>
      <w:r w:rsidRPr="00534A6E">
        <w:rPr>
          <w:rFonts w:cstheme="minorHAnsi"/>
          <w:lang w:val="en-US"/>
        </w:rPr>
        <w:t>.</w:t>
      </w:r>
    </w:p>
    <w:p w14:paraId="200DAD9B" w14:textId="77777777" w:rsidR="00A55836" w:rsidRPr="000C3EF9" w:rsidRDefault="00A55836" w:rsidP="00A55836">
      <w:pPr>
        <w:shd w:val="clear" w:color="auto" w:fill="FEFEFE"/>
        <w:spacing w:before="60" w:after="0" w:line="240" w:lineRule="auto"/>
        <w:ind w:left="720"/>
        <w:rPr>
          <w:rFonts w:cstheme="minorHAnsi"/>
          <w:lang w:val="en-US"/>
        </w:rPr>
      </w:pPr>
      <w:r w:rsidRPr="00534A6E">
        <w:rPr>
          <w:rFonts w:cstheme="minorHAnsi"/>
          <w:lang w:val="en-US"/>
        </w:rPr>
        <w:t xml:space="preserve">In respect of </w:t>
      </w:r>
      <w:r w:rsidRPr="000C3EF9">
        <w:rPr>
          <w:rFonts w:cstheme="minorHAnsi"/>
          <w:lang w:val="en-US"/>
        </w:rPr>
        <w:t>Tas</w:t>
      </w:r>
      <w:r w:rsidRPr="00534A6E">
        <w:rPr>
          <w:rFonts w:cstheme="minorHAnsi"/>
          <w:lang w:val="en-US"/>
        </w:rPr>
        <w:t xml:space="preserve">mania - the Schedule to the </w:t>
      </w:r>
      <w:hyperlink r:id="rId62" w:tgtFrame="_blank" w:history="1">
        <w:r w:rsidRPr="00534A6E">
          <w:rPr>
            <w:rFonts w:cstheme="minorHAnsi"/>
            <w:i/>
            <w:lang w:val="en-US"/>
          </w:rPr>
          <w:t>Education and Care Services National Law Act 2010</w:t>
        </w:r>
      </w:hyperlink>
      <w:r w:rsidRPr="00534A6E">
        <w:rPr>
          <w:rFonts w:cstheme="minorHAnsi"/>
          <w:lang w:val="en-US"/>
        </w:rPr>
        <w:t xml:space="preserve"> (Vic) as adopted by the </w:t>
      </w:r>
      <w:hyperlink r:id="rId63" w:tgtFrame="_blank" w:history="1">
        <w:r w:rsidRPr="0093503C">
          <w:rPr>
            <w:rFonts w:cstheme="minorHAnsi"/>
            <w:i/>
            <w:iCs/>
            <w:lang w:val="en-US"/>
          </w:rPr>
          <w:t>Education and Care Services National Law (Application) Act 2011</w:t>
        </w:r>
      </w:hyperlink>
      <w:r w:rsidRPr="0093503C">
        <w:rPr>
          <w:rFonts w:cstheme="minorHAnsi"/>
          <w:i/>
          <w:iCs/>
          <w:lang w:val="en-US"/>
        </w:rPr>
        <w:t>.</w:t>
      </w:r>
    </w:p>
    <w:p w14:paraId="47C9C8A8" w14:textId="77777777" w:rsidR="00A55836" w:rsidRPr="000C3EF9" w:rsidRDefault="00A55836" w:rsidP="00A55836">
      <w:pPr>
        <w:shd w:val="clear" w:color="auto" w:fill="FEFEFE"/>
        <w:spacing w:before="60" w:after="0" w:line="240" w:lineRule="auto"/>
        <w:ind w:left="720" w:right="-154"/>
        <w:rPr>
          <w:rFonts w:cstheme="minorHAnsi"/>
          <w:lang w:val="en-US"/>
        </w:rPr>
      </w:pPr>
      <w:r w:rsidRPr="00534A6E">
        <w:rPr>
          <w:rFonts w:cstheme="minorHAnsi"/>
          <w:lang w:val="en-US"/>
        </w:rPr>
        <w:t xml:space="preserve">In respect of </w:t>
      </w:r>
      <w:r w:rsidRPr="000C3EF9">
        <w:rPr>
          <w:rFonts w:cstheme="minorHAnsi"/>
          <w:lang w:val="en-US"/>
        </w:rPr>
        <w:t>Vic</w:t>
      </w:r>
      <w:r w:rsidRPr="00534A6E">
        <w:rPr>
          <w:rFonts w:cstheme="minorHAnsi"/>
          <w:lang w:val="en-US"/>
        </w:rPr>
        <w:t xml:space="preserve">toria – the Schedule to the </w:t>
      </w:r>
      <w:hyperlink r:id="rId64" w:tgtFrame="_blank" w:history="1">
        <w:r w:rsidRPr="000C3EF9">
          <w:rPr>
            <w:rFonts w:cstheme="minorHAnsi"/>
            <w:i/>
            <w:lang w:val="en-US"/>
          </w:rPr>
          <w:t>Education and Care Services National Law Act 2010</w:t>
        </w:r>
      </w:hyperlink>
      <w:r w:rsidRPr="00534A6E">
        <w:rPr>
          <w:rFonts w:cstheme="minorHAnsi"/>
          <w:lang w:val="en-US"/>
        </w:rPr>
        <w:t xml:space="preserve"> (Vic).</w:t>
      </w:r>
    </w:p>
    <w:p w14:paraId="2323BB76" w14:textId="77777777" w:rsidR="00A55836" w:rsidRPr="000C3EF9" w:rsidRDefault="00A55836" w:rsidP="00A55836">
      <w:pPr>
        <w:shd w:val="clear" w:color="auto" w:fill="FEFEFE"/>
        <w:spacing w:before="60" w:after="0" w:line="240" w:lineRule="auto"/>
        <w:ind w:left="720"/>
        <w:rPr>
          <w:rFonts w:cstheme="minorHAnsi"/>
          <w:lang w:val="en-US"/>
        </w:rPr>
      </w:pPr>
      <w:r w:rsidRPr="00534A6E">
        <w:rPr>
          <w:rFonts w:cstheme="minorHAnsi"/>
          <w:lang w:val="en-US"/>
        </w:rPr>
        <w:t xml:space="preserve">In respect of </w:t>
      </w:r>
      <w:r w:rsidRPr="000C3EF9">
        <w:rPr>
          <w:rFonts w:cstheme="minorHAnsi"/>
          <w:lang w:val="en-US"/>
        </w:rPr>
        <w:t>W</w:t>
      </w:r>
      <w:r w:rsidRPr="00534A6E">
        <w:rPr>
          <w:rFonts w:cstheme="minorHAnsi"/>
          <w:lang w:val="en-US"/>
        </w:rPr>
        <w:t xml:space="preserve">estern </w:t>
      </w:r>
      <w:r w:rsidRPr="000C3EF9">
        <w:rPr>
          <w:rFonts w:cstheme="minorHAnsi"/>
          <w:lang w:val="en-US"/>
        </w:rPr>
        <w:t>A</w:t>
      </w:r>
      <w:r w:rsidRPr="00534A6E">
        <w:rPr>
          <w:rFonts w:cstheme="minorHAnsi"/>
          <w:lang w:val="en-US"/>
        </w:rPr>
        <w:t xml:space="preserve">ustralia - the Schedule to the </w:t>
      </w:r>
      <w:hyperlink r:id="rId65" w:tgtFrame="_blank" w:history="1">
        <w:r w:rsidRPr="000C3EF9">
          <w:rPr>
            <w:rFonts w:cstheme="minorHAnsi"/>
            <w:i/>
            <w:lang w:val="en-US"/>
          </w:rPr>
          <w:t>Education and Care Services National Law (WA) Act 2012</w:t>
        </w:r>
      </w:hyperlink>
      <w:r w:rsidRPr="00534A6E">
        <w:rPr>
          <w:rFonts w:cstheme="minorHAnsi"/>
          <w:i/>
          <w:lang w:val="en-US"/>
        </w:rPr>
        <w:t>.</w:t>
      </w:r>
    </w:p>
    <w:p w14:paraId="2CDB5CF5" w14:textId="77777777" w:rsidR="00A55836" w:rsidRPr="00BB432B" w:rsidRDefault="00A55836" w:rsidP="00A55836">
      <w:pPr>
        <w:spacing w:before="120" w:after="0"/>
      </w:pPr>
      <w:r>
        <w:rPr>
          <w:b/>
        </w:rPr>
        <w:t xml:space="preserve">ECSNL </w:t>
      </w:r>
      <w:r w:rsidRPr="006344A1">
        <w:rPr>
          <w:b/>
        </w:rPr>
        <w:t>Regulation</w:t>
      </w:r>
      <w:r>
        <w:rPr>
          <w:b/>
        </w:rPr>
        <w:t xml:space="preserve">s </w:t>
      </w:r>
      <w:r w:rsidRPr="006344A1">
        <w:t>means</w:t>
      </w:r>
      <w:r>
        <w:t xml:space="preserve"> </w:t>
      </w:r>
      <w:r w:rsidRPr="00BB432B">
        <w:t>the</w:t>
      </w:r>
      <w:r w:rsidRPr="00BB432B">
        <w:rPr>
          <w:b/>
        </w:rPr>
        <w:t xml:space="preserve"> </w:t>
      </w:r>
      <w:r w:rsidRPr="00BB432B">
        <w:rPr>
          <w:rStyle w:val="Hyperlink"/>
          <w:i/>
          <w:color w:val="auto"/>
          <w:u w:val="none"/>
        </w:rPr>
        <w:t>Education and Care Services National Law Regulations.</w:t>
      </w:r>
    </w:p>
    <w:p w14:paraId="7689FA98" w14:textId="77777777" w:rsidR="00A55836" w:rsidRPr="00BB432B" w:rsidRDefault="00A55836" w:rsidP="00A55836">
      <w:pPr>
        <w:spacing w:before="60" w:after="0"/>
      </w:pPr>
      <w:r w:rsidRPr="00BB432B">
        <w:rPr>
          <w:b/>
        </w:rPr>
        <w:t xml:space="preserve">FOI Act </w:t>
      </w:r>
      <w:r w:rsidRPr="00BB432B">
        <w:t xml:space="preserve">means the Commonwealth </w:t>
      </w:r>
      <w:r w:rsidRPr="00BB432B">
        <w:rPr>
          <w:i/>
        </w:rPr>
        <w:t>Freedom of Information Act 1982.</w:t>
      </w:r>
      <w:r w:rsidRPr="00BB432B">
        <w:t xml:space="preserve"> </w:t>
      </w:r>
    </w:p>
    <w:p w14:paraId="20BC0E2E" w14:textId="24F028B3" w:rsidR="00F3647F" w:rsidRDefault="00A55836" w:rsidP="00A55836">
      <w:pPr>
        <w:spacing w:before="60" w:after="0"/>
        <w:jc w:val="both"/>
        <w:rPr>
          <w:rStyle w:val="Hyperlink"/>
          <w:bCs/>
          <w:iCs/>
          <w:color w:val="auto"/>
          <w:u w:val="none"/>
        </w:rPr>
        <w:sectPr w:rsidR="00F3647F" w:rsidSect="00512E04">
          <w:headerReference w:type="even" r:id="rId66"/>
          <w:headerReference w:type="default" r:id="rId67"/>
          <w:headerReference w:type="first" r:id="rId68"/>
          <w:footerReference w:type="first" r:id="rId69"/>
          <w:pgSz w:w="11907" w:h="16840" w:code="9"/>
          <w:pgMar w:top="1440" w:right="1080" w:bottom="1440" w:left="1080" w:header="709" w:footer="709" w:gutter="0"/>
          <w:cols w:space="708"/>
          <w:docGrid w:linePitch="360"/>
        </w:sectPr>
      </w:pPr>
      <w:r w:rsidRPr="00BB432B">
        <w:rPr>
          <w:rStyle w:val="Hyperlink"/>
          <w:b/>
          <w:bCs/>
          <w:iCs/>
          <w:color w:val="auto"/>
          <w:u w:val="none"/>
        </w:rPr>
        <w:t xml:space="preserve">Information Commissioner </w:t>
      </w:r>
      <w:r w:rsidRPr="00BB432B">
        <w:rPr>
          <w:rStyle w:val="Hyperlink"/>
          <w:bCs/>
          <w:iCs/>
          <w:color w:val="auto"/>
          <w:u w:val="none"/>
        </w:rPr>
        <w:t xml:space="preserve">as defined in the FOI Act and the </w:t>
      </w:r>
      <w:r w:rsidRPr="00BB432B">
        <w:rPr>
          <w:rStyle w:val="Hyperlink"/>
          <w:bCs/>
          <w:i/>
          <w:iCs/>
          <w:color w:val="auto"/>
          <w:u w:val="none"/>
        </w:rPr>
        <w:t>Australian Information Commissioner Act 2010 (</w:t>
      </w:r>
      <w:proofErr w:type="spellStart"/>
      <w:r w:rsidRPr="00BB432B">
        <w:rPr>
          <w:rStyle w:val="Hyperlink"/>
          <w:bCs/>
          <w:i/>
          <w:iCs/>
          <w:color w:val="auto"/>
          <w:u w:val="none"/>
        </w:rPr>
        <w:t>Cth</w:t>
      </w:r>
      <w:proofErr w:type="spellEnd"/>
      <w:r w:rsidRPr="00BB432B">
        <w:rPr>
          <w:rStyle w:val="Hyperlink"/>
          <w:bCs/>
          <w:i/>
          <w:iCs/>
          <w:color w:val="auto"/>
          <w:u w:val="none"/>
        </w:rPr>
        <w:t>)</w:t>
      </w:r>
      <w:r w:rsidRPr="00BB432B">
        <w:rPr>
          <w:rStyle w:val="Hyperlink"/>
          <w:bCs/>
          <w:iCs/>
          <w:color w:val="auto"/>
          <w:u w:val="none"/>
        </w:rPr>
        <w:t xml:space="preserve"> means the Australian Information Commissioner.</w:t>
      </w:r>
    </w:p>
    <w:p w14:paraId="38BF21C0" w14:textId="77777777" w:rsidR="00A55836" w:rsidRPr="00BB432B" w:rsidRDefault="00A55836" w:rsidP="00A55836">
      <w:pPr>
        <w:spacing w:before="60" w:after="0"/>
        <w:jc w:val="both"/>
        <w:rPr>
          <w:rStyle w:val="Hyperlink"/>
          <w:bCs/>
          <w:iCs/>
          <w:color w:val="auto"/>
          <w:u w:val="none"/>
        </w:rPr>
      </w:pPr>
      <w:r w:rsidRPr="00BB432B">
        <w:rPr>
          <w:rStyle w:val="Hyperlink"/>
          <w:b/>
          <w:bCs/>
          <w:iCs/>
          <w:color w:val="auto"/>
          <w:u w:val="none"/>
        </w:rPr>
        <w:t xml:space="preserve">Instrument </w:t>
      </w:r>
      <w:r w:rsidRPr="00BB432B">
        <w:rPr>
          <w:rStyle w:val="Hyperlink"/>
          <w:iCs/>
          <w:color w:val="auto"/>
          <w:u w:val="none"/>
        </w:rPr>
        <w:t>as defined by clause 12 of Schedule 1 of the ECSNL includes a statutory instrument.</w:t>
      </w:r>
    </w:p>
    <w:p w14:paraId="177E85BD" w14:textId="77777777" w:rsidR="00A55836" w:rsidRPr="006344A1" w:rsidRDefault="00A55836" w:rsidP="00A55836">
      <w:pPr>
        <w:spacing w:before="60" w:after="0"/>
        <w:jc w:val="both"/>
        <w:rPr>
          <w:b/>
        </w:rPr>
      </w:pPr>
      <w:r w:rsidRPr="006344A1">
        <w:rPr>
          <w:b/>
        </w:rPr>
        <w:t xml:space="preserve">NECS FOI Commissioner </w:t>
      </w:r>
      <w:r w:rsidRPr="006344A1">
        <w:t>means the National Education and Care Services Freedom of Information Commissioner</w:t>
      </w:r>
      <w:r>
        <w:t>.</w:t>
      </w:r>
    </w:p>
    <w:p w14:paraId="6BDD65F8" w14:textId="77777777" w:rsidR="00A55836" w:rsidRDefault="00A55836" w:rsidP="00A55836">
      <w:pPr>
        <w:spacing w:after="0"/>
        <w:rPr>
          <w:rStyle w:val="Hyperlink"/>
          <w:b/>
        </w:rPr>
      </w:pPr>
      <w:r w:rsidRPr="006344A1">
        <w:rPr>
          <w:b/>
        </w:rPr>
        <w:t xml:space="preserve">Regulatory Authority </w:t>
      </w:r>
      <w:r w:rsidRPr="006344A1">
        <w:t xml:space="preserve">means the </w:t>
      </w:r>
      <w:r>
        <w:t xml:space="preserve">state or territory early childhood education and care </w:t>
      </w:r>
      <w:r w:rsidRPr="006344A1">
        <w:t>Regulatory Authority</w:t>
      </w:r>
      <w:r w:rsidRPr="006344A1">
        <w:rPr>
          <w:b/>
        </w:rPr>
        <w:t xml:space="preserve"> </w:t>
      </w:r>
      <w:r w:rsidRPr="006344A1">
        <w:t>of each participating jurisdiction under the Education and Care Services National Law.</w:t>
      </w:r>
      <w:r w:rsidRPr="006344A1">
        <w:rPr>
          <w:b/>
        </w:rPr>
        <w:t xml:space="preserve"> </w:t>
      </w:r>
    </w:p>
    <w:p w14:paraId="279DD1C8" w14:textId="77777777" w:rsidR="00A55836" w:rsidRDefault="00A55836" w:rsidP="00A55836">
      <w:pPr>
        <w:spacing w:after="0"/>
        <w:rPr>
          <w:b/>
          <w:color w:val="0000FF" w:themeColor="hyperlink"/>
          <w:u w:val="single"/>
        </w:rPr>
      </w:pPr>
      <w:r>
        <w:rPr>
          <w:b/>
          <w:bCs/>
        </w:rPr>
        <w:t>Statutory I</w:t>
      </w:r>
      <w:r w:rsidRPr="000C3EF9">
        <w:rPr>
          <w:b/>
          <w:bCs/>
        </w:rPr>
        <w:t xml:space="preserve">nstrument </w:t>
      </w:r>
      <w:r w:rsidRPr="000C3EF9">
        <w:rPr>
          <w:bCs/>
        </w:rPr>
        <w:t xml:space="preserve">as </w:t>
      </w:r>
      <w:r w:rsidRPr="00BB432B">
        <w:rPr>
          <w:bCs/>
        </w:rPr>
        <w:t>defined</w:t>
      </w:r>
      <w:r w:rsidRPr="00BB432B">
        <w:rPr>
          <w:b/>
          <w:bCs/>
        </w:rPr>
        <w:t xml:space="preserve"> </w:t>
      </w:r>
      <w:r w:rsidRPr="00BB432B">
        <w:rPr>
          <w:rStyle w:val="Hyperlink"/>
          <w:iCs/>
          <w:color w:val="auto"/>
          <w:u w:val="none"/>
        </w:rPr>
        <w:t xml:space="preserve">by clause 12 of Schedule 1 of the ECSNL </w:t>
      </w:r>
      <w:r w:rsidRPr="00BB432B">
        <w:t xml:space="preserve">means </w:t>
      </w:r>
      <w:r>
        <w:t>an instrument (including a regulation) made or in force under or for the purposes of this Law, and includes an instrument made or in force under any such instrument.</w:t>
      </w:r>
    </w:p>
    <w:p w14:paraId="6C85B4B4" w14:textId="77777777" w:rsidR="00A55836" w:rsidRPr="00E55CBD" w:rsidRDefault="00A55836" w:rsidP="00A55836">
      <w:pPr>
        <w:pBdr>
          <w:bottom w:val="single" w:sz="8" w:space="1" w:color="8064A2" w:themeColor="accent4"/>
        </w:pBdr>
        <w:spacing w:after="0"/>
        <w:rPr>
          <w:b/>
          <w:color w:val="0000FF" w:themeColor="hyperlink"/>
          <w:u w:val="single"/>
        </w:rPr>
      </w:pPr>
    </w:p>
    <w:p w14:paraId="60724F6E" w14:textId="77777777" w:rsidR="00A55836" w:rsidRDefault="00A55836" w:rsidP="00A55836">
      <w:pPr>
        <w:spacing w:after="0"/>
        <w:rPr>
          <w:b/>
          <w:color w:val="31849B" w:themeColor="accent5" w:themeShade="BF"/>
          <w:sz w:val="28"/>
          <w:szCs w:val="28"/>
        </w:rPr>
      </w:pPr>
    </w:p>
    <w:p w14:paraId="1C5E1A7C" w14:textId="77777777" w:rsidR="00A55836" w:rsidRPr="00F76FD6" w:rsidRDefault="00A55836" w:rsidP="00A55836">
      <w:pPr>
        <w:spacing w:after="0"/>
        <w:rPr>
          <w:b/>
          <w:color w:val="365F91" w:themeColor="accent1" w:themeShade="BF"/>
          <w:sz w:val="28"/>
          <w:szCs w:val="28"/>
        </w:rPr>
      </w:pPr>
      <w:r w:rsidRPr="00F76FD6">
        <w:rPr>
          <w:b/>
          <w:color w:val="365F91" w:themeColor="accent1" w:themeShade="BF"/>
          <w:sz w:val="28"/>
          <w:szCs w:val="28"/>
        </w:rPr>
        <w:t>Preamble</w:t>
      </w:r>
    </w:p>
    <w:p w14:paraId="612AD39F" w14:textId="77777777" w:rsidR="00A55836" w:rsidRPr="00E55CBD" w:rsidRDefault="00A55836" w:rsidP="00A55836">
      <w:pPr>
        <w:spacing w:after="0"/>
        <w:rPr>
          <w:b/>
          <w:color w:val="0000FF" w:themeColor="hyperlink"/>
          <w:u w:val="single"/>
        </w:rPr>
      </w:pPr>
      <w:r w:rsidRPr="00DF5A49">
        <w:rPr>
          <w:rFonts w:cstheme="minorHAnsi"/>
        </w:rPr>
        <w:t xml:space="preserve">Section 264 of the </w:t>
      </w:r>
      <w:r w:rsidRPr="00DF5A49">
        <w:rPr>
          <w:rFonts w:cstheme="minorHAnsi"/>
          <w:i/>
          <w:iCs/>
        </w:rPr>
        <w:t xml:space="preserve">Education and Care Services National Law </w:t>
      </w:r>
      <w:r w:rsidRPr="00DF5A49">
        <w:rPr>
          <w:rFonts w:cstheme="minorHAnsi"/>
        </w:rPr>
        <w:t xml:space="preserve">applies the Commonwealth </w:t>
      </w:r>
      <w:r w:rsidRPr="00DF5A49">
        <w:rPr>
          <w:rFonts w:cstheme="minorHAnsi"/>
          <w:i/>
          <w:iCs/>
        </w:rPr>
        <w:t>Freedom of Information Act 1982</w:t>
      </w:r>
      <w:r w:rsidRPr="00DF5A49">
        <w:rPr>
          <w:rFonts w:cstheme="minorHAnsi"/>
        </w:rPr>
        <w:t xml:space="preserve"> (with modifications) as a law of a participating jurisdiction for the purposes of the National Quality Framework. Section 264(2)(b) of </w:t>
      </w:r>
      <w:r w:rsidRPr="00C415AD">
        <w:rPr>
          <w:rFonts w:cstheme="minorHAnsi"/>
          <w:color w:val="000000"/>
          <w:lang w:val="en-US"/>
        </w:rPr>
        <w:t xml:space="preserve">the </w:t>
      </w:r>
      <w:r w:rsidRPr="00DF5A49">
        <w:rPr>
          <w:rFonts w:cstheme="minorHAnsi"/>
          <w:color w:val="000000"/>
          <w:lang w:val="en-US"/>
        </w:rPr>
        <w:t>ECSNL modifies the FOI Act so that a</w:t>
      </w:r>
      <w:r w:rsidRPr="00C415AD">
        <w:rPr>
          <w:rFonts w:cstheme="minorHAnsi"/>
          <w:color w:val="000000"/>
          <w:lang w:val="en-US"/>
        </w:rPr>
        <w:t xml:space="preserve"> reference to the </w:t>
      </w:r>
      <w:r w:rsidRPr="00C415AD">
        <w:rPr>
          <w:rFonts w:cstheme="minorHAnsi"/>
          <w:i/>
          <w:color w:val="000000"/>
          <w:lang w:val="en-US"/>
        </w:rPr>
        <w:t>Information Commissioner</w:t>
      </w:r>
      <w:r w:rsidRPr="00C415AD">
        <w:rPr>
          <w:rFonts w:cstheme="minorHAnsi"/>
          <w:color w:val="000000"/>
          <w:lang w:val="en-US"/>
        </w:rPr>
        <w:t xml:space="preserve"> is to be construed as </w:t>
      </w:r>
      <w:r w:rsidRPr="00DF5A49">
        <w:rPr>
          <w:rFonts w:cstheme="minorHAnsi"/>
          <w:color w:val="000000"/>
          <w:lang w:val="en-US"/>
        </w:rPr>
        <w:t xml:space="preserve">a </w:t>
      </w:r>
      <w:r w:rsidRPr="00C415AD">
        <w:rPr>
          <w:rFonts w:cstheme="minorHAnsi"/>
          <w:color w:val="000000"/>
          <w:lang w:val="en-US"/>
        </w:rPr>
        <w:t xml:space="preserve">reference to the </w:t>
      </w:r>
      <w:r w:rsidRPr="00C415AD">
        <w:rPr>
          <w:rFonts w:cstheme="minorHAnsi"/>
          <w:i/>
          <w:color w:val="000000"/>
          <w:lang w:val="en-US"/>
        </w:rPr>
        <w:t>National Education and Care Services Freedom of Information Commissioner</w:t>
      </w:r>
      <w:r w:rsidRPr="00DF5A49">
        <w:rPr>
          <w:rFonts w:cstheme="minorHAnsi"/>
          <w:i/>
          <w:color w:val="000000"/>
          <w:lang w:val="en-US"/>
        </w:rPr>
        <w:t>.</w:t>
      </w:r>
      <w:r w:rsidRPr="00DF5A49">
        <w:rPr>
          <w:rFonts w:cstheme="minorHAnsi"/>
          <w:b/>
          <w:bCs/>
          <w:iCs/>
          <w:color w:val="000000"/>
          <w:lang w:val="en-US"/>
        </w:rPr>
        <w:t xml:space="preserve"> </w:t>
      </w:r>
      <w:r w:rsidRPr="00DF5A49">
        <w:rPr>
          <w:rFonts w:cstheme="minorHAnsi"/>
          <w:iCs/>
          <w:color w:val="000000"/>
          <w:lang w:val="en-US"/>
        </w:rPr>
        <w:t xml:space="preserve">Section 264(2)(c) </w:t>
      </w:r>
      <w:r w:rsidRPr="00DF5A49">
        <w:rPr>
          <w:rFonts w:cstheme="minorHAnsi"/>
        </w:rPr>
        <w:t xml:space="preserve">of </w:t>
      </w:r>
      <w:r w:rsidRPr="00C415AD">
        <w:rPr>
          <w:rFonts w:cstheme="minorHAnsi"/>
          <w:color w:val="000000"/>
          <w:lang w:val="en-US"/>
        </w:rPr>
        <w:t xml:space="preserve">the </w:t>
      </w:r>
      <w:r w:rsidRPr="00DF5A49">
        <w:rPr>
          <w:rFonts w:cstheme="minorHAnsi"/>
          <w:color w:val="000000"/>
          <w:lang w:val="en-US"/>
        </w:rPr>
        <w:t xml:space="preserve">ECSNL </w:t>
      </w:r>
      <w:r w:rsidRPr="00DF5A49">
        <w:rPr>
          <w:rFonts w:cstheme="minorHAnsi"/>
          <w:iCs/>
          <w:color w:val="000000"/>
        </w:rPr>
        <w:t xml:space="preserve">provides that the FOI Act applies with any other modifications made by the </w:t>
      </w:r>
      <w:r w:rsidRPr="00DF5A49">
        <w:rPr>
          <w:rFonts w:cstheme="minorHAnsi"/>
          <w:i/>
          <w:color w:val="000000"/>
        </w:rPr>
        <w:t xml:space="preserve">Education and Care Services National </w:t>
      </w:r>
      <w:r>
        <w:rPr>
          <w:rFonts w:cstheme="minorHAnsi"/>
          <w:i/>
          <w:color w:val="000000"/>
        </w:rPr>
        <w:t xml:space="preserve">Law </w:t>
      </w:r>
      <w:r w:rsidRPr="00DF5A49">
        <w:rPr>
          <w:rFonts w:cstheme="minorHAnsi"/>
          <w:i/>
          <w:color w:val="000000"/>
        </w:rPr>
        <w:t>Regulation</w:t>
      </w:r>
      <w:r>
        <w:rPr>
          <w:rFonts w:cstheme="minorHAnsi"/>
          <w:i/>
          <w:color w:val="000000"/>
        </w:rPr>
        <w:t xml:space="preserve">s. </w:t>
      </w:r>
      <w:r w:rsidRPr="00DF5A49">
        <w:rPr>
          <w:rFonts w:cstheme="minorHAnsi"/>
          <w:iCs/>
          <w:color w:val="000000"/>
          <w:lang w:val="en-US"/>
        </w:rPr>
        <w:t xml:space="preserve"> </w:t>
      </w:r>
      <w:r w:rsidRPr="00DF5A49">
        <w:rPr>
          <w:rFonts w:cstheme="minorHAnsi"/>
          <w:iCs/>
          <w:color w:val="000000"/>
        </w:rPr>
        <w:t xml:space="preserve">Regulation 208 </w:t>
      </w:r>
      <w:r>
        <w:rPr>
          <w:rFonts w:cstheme="minorHAnsi"/>
          <w:iCs/>
          <w:color w:val="000000"/>
        </w:rPr>
        <w:t xml:space="preserve">of the ECSNL Regulations provides </w:t>
      </w:r>
      <w:r w:rsidRPr="00DF5A49">
        <w:rPr>
          <w:rFonts w:cstheme="minorHAnsi"/>
          <w:iCs/>
          <w:color w:val="000000"/>
        </w:rPr>
        <w:t>that the FOI Act only applies to the</w:t>
      </w:r>
      <w:r>
        <w:rPr>
          <w:rFonts w:cstheme="minorHAnsi"/>
          <w:iCs/>
          <w:color w:val="000000"/>
        </w:rPr>
        <w:t xml:space="preserve"> National Authority (which is the Australian Children’s Education and Care Quality Authority) </w:t>
      </w:r>
      <w:r w:rsidRPr="00DF5A49">
        <w:rPr>
          <w:rFonts w:cstheme="minorHAnsi"/>
          <w:iCs/>
          <w:color w:val="000000"/>
        </w:rPr>
        <w:t>and</w:t>
      </w:r>
      <w:r>
        <w:rPr>
          <w:rFonts w:cstheme="minorHAnsi"/>
          <w:iCs/>
          <w:color w:val="000000"/>
        </w:rPr>
        <w:t xml:space="preserve"> to</w:t>
      </w:r>
      <w:r w:rsidRPr="00DF5A49">
        <w:rPr>
          <w:rFonts w:cstheme="minorHAnsi"/>
          <w:iCs/>
          <w:color w:val="000000"/>
        </w:rPr>
        <w:t xml:space="preserve"> the </w:t>
      </w:r>
      <w:r>
        <w:rPr>
          <w:rFonts w:cstheme="minorHAnsi"/>
          <w:iCs/>
          <w:color w:val="000000"/>
        </w:rPr>
        <w:t xml:space="preserve">education and care </w:t>
      </w:r>
      <w:r w:rsidRPr="00DF5A49">
        <w:rPr>
          <w:rFonts w:cstheme="minorHAnsi"/>
          <w:iCs/>
          <w:color w:val="000000"/>
        </w:rPr>
        <w:t>Regulatory Authority of each participating jurisdiction.</w:t>
      </w:r>
      <w:r>
        <w:rPr>
          <w:rFonts w:cstheme="minorHAnsi"/>
          <w:iCs/>
          <w:color w:val="000000"/>
        </w:rPr>
        <w:t xml:space="preserve"> </w:t>
      </w:r>
    </w:p>
    <w:p w14:paraId="43056D07" w14:textId="77777777" w:rsidR="00A55836" w:rsidRDefault="00A55836" w:rsidP="00A55836">
      <w:pPr>
        <w:autoSpaceDE w:val="0"/>
        <w:autoSpaceDN w:val="0"/>
        <w:adjustRightInd w:val="0"/>
        <w:spacing w:after="0" w:line="240" w:lineRule="auto"/>
        <w:rPr>
          <w:rFonts w:cstheme="minorHAnsi"/>
          <w:iCs/>
          <w:color w:val="000000"/>
        </w:rPr>
      </w:pPr>
    </w:p>
    <w:p w14:paraId="42347F75" w14:textId="77777777" w:rsidR="00A55836" w:rsidRDefault="00A55836" w:rsidP="00A55836">
      <w:pPr>
        <w:autoSpaceDE w:val="0"/>
        <w:autoSpaceDN w:val="0"/>
        <w:adjustRightInd w:val="0"/>
        <w:spacing w:after="0" w:line="240" w:lineRule="auto"/>
        <w:rPr>
          <w:rFonts w:cstheme="minorHAnsi"/>
          <w:iCs/>
          <w:color w:val="000000"/>
        </w:rPr>
      </w:pPr>
      <w:r>
        <w:rPr>
          <w:rFonts w:cstheme="minorHAnsi"/>
          <w:iCs/>
          <w:color w:val="000000"/>
        </w:rPr>
        <w:t xml:space="preserve">In this Instrument, ACECEQA and the Regulatory Authorities are referred to collectively as the </w:t>
      </w:r>
      <w:r w:rsidRPr="00813CC7">
        <w:rPr>
          <w:rFonts w:cstheme="minorHAnsi"/>
          <w:iCs/>
          <w:color w:val="000000"/>
        </w:rPr>
        <w:t>ECS Agencies.</w:t>
      </w:r>
    </w:p>
    <w:p w14:paraId="730A8424" w14:textId="77777777" w:rsidR="00A55836" w:rsidRDefault="00A55836" w:rsidP="00A55836">
      <w:pPr>
        <w:autoSpaceDE w:val="0"/>
        <w:autoSpaceDN w:val="0"/>
        <w:adjustRightInd w:val="0"/>
        <w:spacing w:after="0" w:line="240" w:lineRule="auto"/>
        <w:rPr>
          <w:rFonts w:cstheme="minorHAnsi"/>
          <w:iCs/>
          <w:color w:val="000000"/>
        </w:rPr>
      </w:pPr>
    </w:p>
    <w:p w14:paraId="757C54B5" w14:textId="77777777" w:rsidR="00A55836" w:rsidRDefault="00A55836" w:rsidP="00A55836">
      <w:pPr>
        <w:autoSpaceDE w:val="0"/>
        <w:autoSpaceDN w:val="0"/>
        <w:adjustRightInd w:val="0"/>
        <w:spacing w:after="0"/>
        <w:rPr>
          <w:rFonts w:cstheme="minorHAnsi"/>
        </w:rPr>
      </w:pPr>
      <w:r w:rsidRPr="00C415AD">
        <w:rPr>
          <w:rFonts w:cstheme="minorHAnsi"/>
        </w:rPr>
        <w:t xml:space="preserve">Section 93A </w:t>
      </w:r>
      <w:r>
        <w:rPr>
          <w:rFonts w:cstheme="minorHAnsi"/>
        </w:rPr>
        <w:t xml:space="preserve">(1) </w:t>
      </w:r>
      <w:r w:rsidRPr="00C415AD">
        <w:rPr>
          <w:rFonts w:cstheme="minorHAnsi"/>
        </w:rPr>
        <w:t xml:space="preserve">of the </w:t>
      </w:r>
      <w:r>
        <w:rPr>
          <w:rFonts w:cstheme="minorHAnsi"/>
        </w:rPr>
        <w:t xml:space="preserve">Commonwealth </w:t>
      </w:r>
      <w:r w:rsidRPr="00226AD5">
        <w:rPr>
          <w:rFonts w:cstheme="minorHAnsi"/>
          <w:i/>
          <w:iCs/>
        </w:rPr>
        <w:t>Freedom of Information Act 1982</w:t>
      </w:r>
      <w:r>
        <w:rPr>
          <w:rFonts w:cstheme="minorHAnsi"/>
        </w:rPr>
        <w:t xml:space="preserve"> (as modified by the ECSNL) enables the NECS FOI Commissioner,</w:t>
      </w:r>
      <w:r w:rsidRPr="00C415AD">
        <w:rPr>
          <w:rFonts w:cstheme="minorHAnsi"/>
        </w:rPr>
        <w:t xml:space="preserve"> </w:t>
      </w:r>
      <w:r w:rsidRPr="00226AD5">
        <w:rPr>
          <w:rFonts w:cstheme="minorHAnsi"/>
        </w:rPr>
        <w:t>by instrument in writing</w:t>
      </w:r>
      <w:r w:rsidRPr="00C415AD">
        <w:rPr>
          <w:rFonts w:cstheme="minorHAnsi"/>
        </w:rPr>
        <w:t>,</w:t>
      </w:r>
      <w:r>
        <w:rPr>
          <w:rFonts w:cstheme="minorHAnsi"/>
        </w:rPr>
        <w:t xml:space="preserve"> to</w:t>
      </w:r>
      <w:r w:rsidRPr="00C415AD">
        <w:rPr>
          <w:rFonts w:cstheme="minorHAnsi"/>
        </w:rPr>
        <w:t xml:space="preserve"> issue guidelines for the purposes of </w:t>
      </w:r>
      <w:r>
        <w:rPr>
          <w:rFonts w:cstheme="minorHAnsi"/>
        </w:rPr>
        <w:t xml:space="preserve">the FOI </w:t>
      </w:r>
      <w:r w:rsidRPr="00C415AD">
        <w:rPr>
          <w:rFonts w:cstheme="minorHAnsi"/>
        </w:rPr>
        <w:t xml:space="preserve">Act. </w:t>
      </w:r>
      <w:r>
        <w:rPr>
          <w:rFonts w:cstheme="minorHAnsi"/>
        </w:rPr>
        <w:t xml:space="preserve">The same section provides that </w:t>
      </w:r>
      <w:r w:rsidRPr="00813CC7">
        <w:rPr>
          <w:rFonts w:cstheme="minorHAnsi"/>
        </w:rPr>
        <w:t>ECS Agencies</w:t>
      </w:r>
      <w:r>
        <w:rPr>
          <w:rFonts w:cstheme="minorHAnsi"/>
        </w:rPr>
        <w:t xml:space="preserve"> must have regard to any such guidelines when exercising their functions or powers under the FOI Act. </w:t>
      </w:r>
    </w:p>
    <w:p w14:paraId="3DCA98DE" w14:textId="77777777" w:rsidR="00A55836" w:rsidRDefault="00A55836" w:rsidP="00A55836">
      <w:pPr>
        <w:autoSpaceDE w:val="0"/>
        <w:autoSpaceDN w:val="0"/>
        <w:adjustRightInd w:val="0"/>
        <w:spacing w:after="0" w:line="240" w:lineRule="auto"/>
        <w:rPr>
          <w:rFonts w:cstheme="minorHAnsi"/>
          <w:iCs/>
          <w:color w:val="000000"/>
        </w:rPr>
      </w:pPr>
    </w:p>
    <w:p w14:paraId="205752E5" w14:textId="77777777" w:rsidR="00A55836" w:rsidRDefault="00A55836" w:rsidP="00A55836">
      <w:pPr>
        <w:autoSpaceDE w:val="0"/>
        <w:autoSpaceDN w:val="0"/>
        <w:adjustRightInd w:val="0"/>
        <w:spacing w:after="0"/>
      </w:pPr>
      <w:r>
        <w:t xml:space="preserve">Clauses </w:t>
      </w:r>
      <w:r w:rsidRPr="001C5775">
        <w:t>24</w:t>
      </w:r>
      <w:r>
        <w:t xml:space="preserve"> (1) &amp; (2) o</w:t>
      </w:r>
      <w:r w:rsidRPr="001C5775">
        <w:t>f Schedule</w:t>
      </w:r>
      <w:r>
        <w:t xml:space="preserve"> </w:t>
      </w:r>
      <w:r w:rsidRPr="001C5775">
        <w:t>1 of the E</w:t>
      </w:r>
      <w:r>
        <w:t xml:space="preserve">CSNL allows </w:t>
      </w:r>
      <w:r w:rsidRPr="001F0E70">
        <w:t xml:space="preserve">a </w:t>
      </w:r>
      <w:r w:rsidRPr="00FB2645">
        <w:t>statutory</w:t>
      </w:r>
      <w:r w:rsidRPr="001F0E70">
        <w:t xml:space="preserve"> instrument made</w:t>
      </w:r>
      <w:r>
        <w:t xml:space="preserve"> </w:t>
      </w:r>
      <w:r w:rsidRPr="001F0E70">
        <w:t xml:space="preserve">under </w:t>
      </w:r>
      <w:r>
        <w:t xml:space="preserve">that Law to </w:t>
      </w:r>
      <w:r w:rsidRPr="001F0E70">
        <w:t>apply,</w:t>
      </w:r>
      <w:r>
        <w:t xml:space="preserve"> </w:t>
      </w:r>
      <w:r w:rsidRPr="001F0E70">
        <w:t>adopt or incorporat</w:t>
      </w:r>
      <w:r>
        <w:t xml:space="preserve">e </w:t>
      </w:r>
      <w:r w:rsidRPr="001F0E70">
        <w:t>(with or without modification) the</w:t>
      </w:r>
      <w:r>
        <w:t xml:space="preserve"> </w:t>
      </w:r>
      <w:r w:rsidRPr="001F0E70">
        <w:t>provisions of</w:t>
      </w:r>
      <w:r>
        <w:t xml:space="preserve"> </w:t>
      </w:r>
      <w:r w:rsidRPr="001F0E70">
        <w:t>another document (whether of the same or a different kind)</w:t>
      </w:r>
      <w:r>
        <w:t xml:space="preserve"> </w:t>
      </w:r>
      <w:r w:rsidRPr="001F0E70">
        <w:t>as in force at a particular</w:t>
      </w:r>
      <w:r>
        <w:t xml:space="preserve"> </w:t>
      </w:r>
      <w:r w:rsidRPr="001F0E70">
        <w:t>time</w:t>
      </w:r>
      <w:r>
        <w:t>,</w:t>
      </w:r>
      <w:r w:rsidRPr="001F0E70">
        <w:t xml:space="preserve"> or as in force from time to time.</w:t>
      </w:r>
    </w:p>
    <w:p w14:paraId="5113D14A" w14:textId="77777777" w:rsidR="00A55836" w:rsidRDefault="00A55836" w:rsidP="00A55836">
      <w:pPr>
        <w:autoSpaceDE w:val="0"/>
        <w:autoSpaceDN w:val="0"/>
        <w:adjustRightInd w:val="0"/>
        <w:spacing w:after="0" w:line="240" w:lineRule="auto"/>
      </w:pPr>
    </w:p>
    <w:p w14:paraId="0050E345" w14:textId="77777777" w:rsidR="00A55836" w:rsidRDefault="00A55836" w:rsidP="00A55836">
      <w:pPr>
        <w:autoSpaceDE w:val="0"/>
        <w:autoSpaceDN w:val="0"/>
        <w:adjustRightInd w:val="0"/>
        <w:spacing w:after="0"/>
      </w:pPr>
      <w:r>
        <w:rPr>
          <w:rFonts w:cstheme="minorHAnsi"/>
          <w:iCs/>
          <w:color w:val="000000"/>
        </w:rPr>
        <w:t>The Australian Information Commissioner administers the FOI Act in respect to Commonwealth Governm</w:t>
      </w:r>
      <w:r w:rsidRPr="00813CC7">
        <w:rPr>
          <w:rFonts w:cstheme="minorHAnsi"/>
          <w:iCs/>
          <w:color w:val="000000"/>
        </w:rPr>
        <w:t>en</w:t>
      </w:r>
      <w:r>
        <w:rPr>
          <w:rFonts w:cstheme="minorHAnsi"/>
          <w:iCs/>
          <w:color w:val="000000"/>
        </w:rPr>
        <w:t xml:space="preserve">t agencies. Under s 93A of the FOI Act the Australian Information Commissioner has issued </w:t>
      </w:r>
      <w:r>
        <w:t>g</w:t>
      </w:r>
      <w:r w:rsidRPr="001C0D18">
        <w:t xml:space="preserve">uidelines </w:t>
      </w:r>
      <w:r>
        <w:t>that provide i</w:t>
      </w:r>
      <w:r w:rsidRPr="001C0D18">
        <w:t>nformation and guidance on the interpretation, operation</w:t>
      </w:r>
      <w:r>
        <w:t>,</w:t>
      </w:r>
      <w:r w:rsidRPr="001C0D18">
        <w:t xml:space="preserve"> and administration of the </w:t>
      </w:r>
      <w:r>
        <w:t xml:space="preserve">FOI Act.  A copy of the Guidelines is at </w:t>
      </w:r>
      <w:hyperlink r:id="rId70" w:history="1">
        <w:r>
          <w:rPr>
            <w:rStyle w:val="Hyperlink"/>
            <w:b/>
            <w:bCs/>
          </w:rPr>
          <w:t>https://www.oaic.gov.au/freedom-of-information/foi-guidelines/</w:t>
        </w:r>
      </w:hyperlink>
      <w:r>
        <w:t xml:space="preserve">  </w:t>
      </w:r>
      <w:r w:rsidRPr="003C098B">
        <w:t>The</w:t>
      </w:r>
      <w:r w:rsidRPr="000C3EF9">
        <w:t xml:space="preserve"> AIC FOI </w:t>
      </w:r>
      <w:r>
        <w:t xml:space="preserve">Guidelines have traditionally been referenced </w:t>
      </w:r>
      <w:r w:rsidRPr="003C098B">
        <w:t xml:space="preserve">by </w:t>
      </w:r>
      <w:r>
        <w:t>the ECS A</w:t>
      </w:r>
      <w:r w:rsidRPr="003C098B">
        <w:t>gencies</w:t>
      </w:r>
      <w:r>
        <w:t xml:space="preserve"> in determining FOI access applications and by the NECS FOI Commissioner when undertaking Commissioner Reviews.</w:t>
      </w:r>
    </w:p>
    <w:p w14:paraId="3A2B8A4F" w14:textId="77777777" w:rsidR="00A55836" w:rsidRDefault="00A55836" w:rsidP="00A55836">
      <w:pPr>
        <w:autoSpaceDE w:val="0"/>
        <w:autoSpaceDN w:val="0"/>
        <w:adjustRightInd w:val="0"/>
        <w:spacing w:after="0" w:line="240" w:lineRule="auto"/>
        <w:rPr>
          <w:rFonts w:cstheme="minorHAnsi"/>
          <w:iCs/>
          <w:color w:val="000000"/>
        </w:rPr>
      </w:pPr>
    </w:p>
    <w:p w14:paraId="3365D40A" w14:textId="77777777" w:rsidR="00A55836" w:rsidRPr="00F76FD6" w:rsidRDefault="00A55836" w:rsidP="00A55836">
      <w:pPr>
        <w:autoSpaceDE w:val="0"/>
        <w:autoSpaceDN w:val="0"/>
        <w:adjustRightInd w:val="0"/>
        <w:spacing w:after="0" w:line="240" w:lineRule="auto"/>
        <w:rPr>
          <w:rFonts w:cstheme="minorHAnsi"/>
          <w:b/>
          <w:bCs/>
          <w:iCs/>
          <w:color w:val="365F91" w:themeColor="accent1" w:themeShade="BF"/>
          <w:sz w:val="28"/>
          <w:szCs w:val="28"/>
        </w:rPr>
      </w:pPr>
      <w:r w:rsidRPr="00F76FD6">
        <w:rPr>
          <w:rFonts w:cstheme="minorHAnsi"/>
          <w:b/>
          <w:bCs/>
          <w:iCs/>
          <w:color w:val="365F91" w:themeColor="accent1" w:themeShade="BF"/>
          <w:sz w:val="28"/>
          <w:szCs w:val="28"/>
        </w:rPr>
        <w:t>Purposes of this Instrument</w:t>
      </w:r>
    </w:p>
    <w:p w14:paraId="6484559A" w14:textId="77777777" w:rsidR="00A55836" w:rsidRDefault="00A55836" w:rsidP="00A55836">
      <w:pPr>
        <w:autoSpaceDE w:val="0"/>
        <w:autoSpaceDN w:val="0"/>
        <w:adjustRightInd w:val="0"/>
        <w:spacing w:before="120" w:after="0"/>
      </w:pPr>
      <w:r>
        <w:t>The purposes of this Instrument are to:</w:t>
      </w:r>
    </w:p>
    <w:p w14:paraId="43D4EA35" w14:textId="5A0ECC8B" w:rsidR="00A55836" w:rsidRDefault="00A55836" w:rsidP="006B1F25">
      <w:pPr>
        <w:autoSpaceDE w:val="0"/>
        <w:autoSpaceDN w:val="0"/>
        <w:adjustRightInd w:val="0"/>
        <w:spacing w:after="0"/>
        <w:ind w:left="720" w:hanging="720"/>
      </w:pPr>
      <w:r>
        <w:t>(</w:t>
      </w:r>
      <w:proofErr w:type="spellStart"/>
      <w:r>
        <w:t>i</w:t>
      </w:r>
      <w:proofErr w:type="spellEnd"/>
      <w:r>
        <w:t>)</w:t>
      </w:r>
      <w:r>
        <w:tab/>
        <w:t>provide clarification as to the guidelines that apply for the purposes of the ECSNL in relation to ECS</w:t>
      </w:r>
      <w:r w:rsidR="006B1F25">
        <w:t xml:space="preserve"> </w:t>
      </w:r>
      <w:r>
        <w:t xml:space="preserve">Agencies exercising their functions under the Commonwealth </w:t>
      </w:r>
      <w:r w:rsidRPr="007D1D6D">
        <w:rPr>
          <w:i/>
          <w:iCs/>
        </w:rPr>
        <w:t>Freedom of Information Act 1982</w:t>
      </w:r>
      <w:r>
        <w:t xml:space="preserve"> in respect</w:t>
      </w:r>
      <w:r w:rsidR="006B1F25">
        <w:t xml:space="preserve"> </w:t>
      </w:r>
      <w:r>
        <w:t xml:space="preserve">of freedom of information requests received by the </w:t>
      </w:r>
      <w:proofErr w:type="gramStart"/>
      <w:r>
        <w:t>Agencies;</w:t>
      </w:r>
      <w:proofErr w:type="gramEnd"/>
    </w:p>
    <w:p w14:paraId="5A29D75B" w14:textId="77777777" w:rsidR="00A55836" w:rsidRDefault="00A55836" w:rsidP="00A55836">
      <w:pPr>
        <w:autoSpaceDE w:val="0"/>
        <w:autoSpaceDN w:val="0"/>
        <w:adjustRightInd w:val="0"/>
        <w:spacing w:after="0"/>
        <w:ind w:left="720" w:hanging="720"/>
        <w:rPr>
          <w:i/>
          <w:iCs/>
        </w:rPr>
      </w:pPr>
      <w:r>
        <w:t>(ii)</w:t>
      </w:r>
      <w:r>
        <w:tab/>
      </w:r>
      <w:r w:rsidRPr="003C098B">
        <w:t xml:space="preserve">ensure consistency in the interpretation and application of the Commonwealth </w:t>
      </w:r>
      <w:r w:rsidRPr="003C098B">
        <w:rPr>
          <w:i/>
          <w:iCs/>
        </w:rPr>
        <w:t>Freedom of Information Act 1982</w:t>
      </w:r>
      <w:r>
        <w:rPr>
          <w:i/>
          <w:iCs/>
        </w:rPr>
        <w:t xml:space="preserve">; </w:t>
      </w:r>
      <w:r w:rsidRPr="000C3EF9">
        <w:rPr>
          <w:iCs/>
        </w:rPr>
        <w:t xml:space="preserve">and </w:t>
      </w:r>
    </w:p>
    <w:p w14:paraId="1237B1AD" w14:textId="77777777" w:rsidR="00A55836" w:rsidRDefault="00A55836" w:rsidP="00A55836">
      <w:pPr>
        <w:autoSpaceDE w:val="0"/>
        <w:autoSpaceDN w:val="0"/>
        <w:adjustRightInd w:val="0"/>
        <w:spacing w:after="0"/>
        <w:ind w:left="720" w:hanging="720"/>
      </w:pPr>
      <w:r w:rsidRPr="000C3EF9">
        <w:rPr>
          <w:iCs/>
        </w:rPr>
        <w:t>(iii)</w:t>
      </w:r>
      <w:r>
        <w:rPr>
          <w:i/>
          <w:iCs/>
        </w:rPr>
        <w:tab/>
      </w:r>
      <w:r>
        <w:t xml:space="preserve">remove any uncertainty </w:t>
      </w:r>
      <w:r w:rsidRPr="003C098B">
        <w:t xml:space="preserve">for agencies or the public as to the expectations of the </w:t>
      </w:r>
      <w:r>
        <w:t>O</w:t>
      </w:r>
      <w:r w:rsidRPr="003C098B">
        <w:t xml:space="preserve">ffice of the NECS FOI Commissioner in the application of the Commonwealth </w:t>
      </w:r>
      <w:r w:rsidRPr="003C098B">
        <w:rPr>
          <w:i/>
          <w:iCs/>
        </w:rPr>
        <w:t>Freedom of Information Act 1982</w:t>
      </w:r>
      <w:r>
        <w:t>.</w:t>
      </w:r>
    </w:p>
    <w:p w14:paraId="7DA7F7BC" w14:textId="77777777" w:rsidR="00A55836" w:rsidRPr="00BE3A6A" w:rsidRDefault="00A55836" w:rsidP="00A55836">
      <w:pPr>
        <w:autoSpaceDE w:val="0"/>
        <w:autoSpaceDN w:val="0"/>
        <w:adjustRightInd w:val="0"/>
        <w:spacing w:after="0" w:line="240" w:lineRule="auto"/>
        <w:rPr>
          <w:rFonts w:cstheme="minorHAnsi"/>
          <w:iCs/>
          <w:color w:val="000000"/>
        </w:rPr>
      </w:pPr>
    </w:p>
    <w:p w14:paraId="2FD7E8D9" w14:textId="77777777" w:rsidR="00A55836" w:rsidRPr="00F76FD6" w:rsidRDefault="00A55836" w:rsidP="00A55836">
      <w:pPr>
        <w:autoSpaceDE w:val="0"/>
        <w:autoSpaceDN w:val="0"/>
        <w:adjustRightInd w:val="0"/>
        <w:spacing w:after="0" w:line="240" w:lineRule="auto"/>
        <w:rPr>
          <w:rFonts w:cstheme="minorHAnsi"/>
          <w:b/>
          <w:bCs/>
          <w:iCs/>
          <w:color w:val="365F91" w:themeColor="accent1" w:themeShade="BF"/>
          <w:sz w:val="28"/>
          <w:szCs w:val="28"/>
        </w:rPr>
      </w:pPr>
      <w:r w:rsidRPr="00F76FD6">
        <w:rPr>
          <w:rFonts w:cstheme="minorHAnsi"/>
          <w:b/>
          <w:bCs/>
          <w:iCs/>
          <w:color w:val="365F91" w:themeColor="accent1" w:themeShade="BF"/>
          <w:sz w:val="28"/>
          <w:szCs w:val="28"/>
        </w:rPr>
        <w:t>Adoption of Parts of the Australian Information Commissioner FOI Guidelines</w:t>
      </w:r>
    </w:p>
    <w:p w14:paraId="090CA8EC" w14:textId="77777777" w:rsidR="00A55836" w:rsidRDefault="00A55836" w:rsidP="00A55836">
      <w:pPr>
        <w:autoSpaceDE w:val="0"/>
        <w:autoSpaceDN w:val="0"/>
        <w:adjustRightInd w:val="0"/>
        <w:spacing w:after="0" w:line="240" w:lineRule="auto"/>
        <w:rPr>
          <w:rFonts w:cstheme="minorHAnsi"/>
          <w:iCs/>
          <w:color w:val="000000"/>
        </w:rPr>
      </w:pPr>
    </w:p>
    <w:p w14:paraId="45B92247" w14:textId="77777777" w:rsidR="00A55836" w:rsidRDefault="00A55836" w:rsidP="00A55836">
      <w:pPr>
        <w:autoSpaceDE w:val="0"/>
        <w:autoSpaceDN w:val="0"/>
        <w:adjustRightInd w:val="0"/>
        <w:spacing w:before="120" w:after="0"/>
        <w:rPr>
          <w:rFonts w:cstheme="minorHAnsi"/>
          <w:b/>
          <w:bCs/>
          <w:iCs/>
          <w:color w:val="000000"/>
          <w:sz w:val="28"/>
          <w:szCs w:val="28"/>
        </w:rPr>
      </w:pPr>
      <w:r>
        <w:t xml:space="preserve">Pursuant to section 93A of the FOI Act (as modified by the ECSNL) </w:t>
      </w:r>
      <w:r w:rsidRPr="003C098B">
        <w:t xml:space="preserve">I </w:t>
      </w:r>
      <w:r>
        <w:t xml:space="preserve">hereby make this </w:t>
      </w:r>
      <w:r w:rsidRPr="003C098B">
        <w:t xml:space="preserve">Instrument adopting the following Parts of the </w:t>
      </w:r>
      <w:r>
        <w:t xml:space="preserve">AIC </w:t>
      </w:r>
      <w:r w:rsidRPr="003C098B">
        <w:t xml:space="preserve">FOI </w:t>
      </w:r>
      <w:r>
        <w:t>G</w:t>
      </w:r>
      <w:r w:rsidRPr="003C098B">
        <w:t>uidelines:</w:t>
      </w:r>
    </w:p>
    <w:p w14:paraId="6A64CEA3" w14:textId="77777777" w:rsidR="00A55836" w:rsidRDefault="00A55836" w:rsidP="00A55836">
      <w:pPr>
        <w:autoSpaceDE w:val="0"/>
        <w:autoSpaceDN w:val="0"/>
        <w:adjustRightInd w:val="0"/>
        <w:spacing w:after="0"/>
      </w:pPr>
    </w:p>
    <w:p w14:paraId="3858430B" w14:textId="77777777" w:rsidR="00A55836" w:rsidRDefault="00A55836" w:rsidP="00A55836">
      <w:pPr>
        <w:autoSpaceDE w:val="0"/>
        <w:autoSpaceDN w:val="0"/>
        <w:adjustRightInd w:val="0"/>
        <w:spacing w:after="0"/>
        <w:ind w:left="720"/>
      </w:pPr>
      <w:r>
        <w:t>Part 1</w:t>
      </w:r>
      <w:r>
        <w:tab/>
        <w:t xml:space="preserve"> </w:t>
      </w:r>
      <w:r>
        <w:tab/>
        <w:t>Introduction</w:t>
      </w:r>
    </w:p>
    <w:p w14:paraId="2D10D231" w14:textId="77777777" w:rsidR="00A55836" w:rsidRDefault="00A55836" w:rsidP="00A55836">
      <w:pPr>
        <w:autoSpaceDE w:val="0"/>
        <w:autoSpaceDN w:val="0"/>
        <w:adjustRightInd w:val="0"/>
        <w:spacing w:after="0"/>
        <w:ind w:left="720"/>
      </w:pPr>
      <w:r>
        <w:t>Part 2</w:t>
      </w:r>
      <w:r>
        <w:tab/>
      </w:r>
      <w:r>
        <w:tab/>
        <w:t>Scope of application of the FOI Act</w:t>
      </w:r>
    </w:p>
    <w:p w14:paraId="795C696E" w14:textId="77777777" w:rsidR="00A55836" w:rsidRDefault="00A55836" w:rsidP="00A55836">
      <w:pPr>
        <w:autoSpaceDE w:val="0"/>
        <w:autoSpaceDN w:val="0"/>
        <w:adjustRightInd w:val="0"/>
        <w:spacing w:after="0"/>
        <w:ind w:left="720"/>
      </w:pPr>
      <w:r>
        <w:t xml:space="preserve">Part 3 </w:t>
      </w:r>
      <w:r>
        <w:tab/>
      </w:r>
      <w:r>
        <w:tab/>
        <w:t xml:space="preserve">Processing and deciding on requests for access </w:t>
      </w:r>
    </w:p>
    <w:p w14:paraId="694593AD" w14:textId="77777777" w:rsidR="00A55836" w:rsidRDefault="00A55836" w:rsidP="00A55836">
      <w:pPr>
        <w:autoSpaceDE w:val="0"/>
        <w:autoSpaceDN w:val="0"/>
        <w:adjustRightInd w:val="0"/>
        <w:spacing w:after="0"/>
        <w:ind w:left="720"/>
      </w:pPr>
      <w:r>
        <w:t>Part 4</w:t>
      </w:r>
      <w:r>
        <w:tab/>
      </w:r>
      <w:r>
        <w:tab/>
        <w:t xml:space="preserve">Charges for providing access </w:t>
      </w:r>
    </w:p>
    <w:p w14:paraId="2D3F3149" w14:textId="77777777" w:rsidR="00A55836" w:rsidRDefault="00A55836" w:rsidP="00A55836">
      <w:pPr>
        <w:autoSpaceDE w:val="0"/>
        <w:autoSpaceDN w:val="0"/>
        <w:adjustRightInd w:val="0"/>
        <w:spacing w:after="0"/>
        <w:ind w:left="720"/>
      </w:pPr>
      <w:r>
        <w:t xml:space="preserve">Part 5 </w:t>
      </w:r>
      <w:r>
        <w:tab/>
      </w:r>
      <w:r>
        <w:tab/>
        <w:t xml:space="preserve">Exemptions </w:t>
      </w:r>
    </w:p>
    <w:p w14:paraId="6C528466" w14:textId="77777777" w:rsidR="00A55836" w:rsidRDefault="00A55836" w:rsidP="00A55836">
      <w:pPr>
        <w:autoSpaceDE w:val="0"/>
        <w:autoSpaceDN w:val="0"/>
        <w:adjustRightInd w:val="0"/>
        <w:spacing w:after="0"/>
        <w:ind w:left="720"/>
      </w:pPr>
      <w:r>
        <w:t xml:space="preserve">Part 6 </w:t>
      </w:r>
      <w:r>
        <w:tab/>
      </w:r>
      <w:r>
        <w:tab/>
        <w:t xml:space="preserve">Conditional exemptions </w:t>
      </w:r>
    </w:p>
    <w:p w14:paraId="34AE36D0" w14:textId="77777777" w:rsidR="00A55836" w:rsidRDefault="00A55836" w:rsidP="00A55836">
      <w:pPr>
        <w:autoSpaceDE w:val="0"/>
        <w:autoSpaceDN w:val="0"/>
        <w:adjustRightInd w:val="0"/>
        <w:spacing w:after="0"/>
        <w:ind w:left="720"/>
      </w:pPr>
      <w:r w:rsidRPr="00365EB2">
        <w:t xml:space="preserve">Part 7 </w:t>
      </w:r>
      <w:r w:rsidRPr="00365EB2">
        <w:tab/>
      </w:r>
      <w:r w:rsidRPr="00365EB2">
        <w:tab/>
        <w:t>Amendment and annotation of personal records</w:t>
      </w:r>
      <w:r>
        <w:t xml:space="preserve"> </w:t>
      </w:r>
    </w:p>
    <w:p w14:paraId="1A79A9D9" w14:textId="77777777" w:rsidR="00A55836" w:rsidRDefault="00A55836" w:rsidP="00A55836">
      <w:pPr>
        <w:autoSpaceDE w:val="0"/>
        <w:autoSpaceDN w:val="0"/>
        <w:adjustRightInd w:val="0"/>
        <w:spacing w:after="0"/>
        <w:ind w:left="720"/>
      </w:pPr>
      <w:r>
        <w:t>Part 9</w:t>
      </w:r>
      <w:r>
        <w:tab/>
      </w:r>
      <w:r>
        <w:tab/>
        <w:t xml:space="preserve">Internal Agency review of decisions </w:t>
      </w:r>
    </w:p>
    <w:p w14:paraId="4875ACF8" w14:textId="77777777" w:rsidR="00A55836" w:rsidRDefault="00A55836" w:rsidP="00A55836">
      <w:pPr>
        <w:autoSpaceDE w:val="0"/>
        <w:autoSpaceDN w:val="0"/>
        <w:adjustRightInd w:val="0"/>
        <w:spacing w:after="0"/>
        <w:ind w:left="720"/>
      </w:pPr>
      <w:r>
        <w:t>Part 10</w:t>
      </w:r>
      <w:r>
        <w:tab/>
      </w:r>
      <w:r>
        <w:tab/>
        <w:t>Review by Information Commissioner</w:t>
      </w:r>
    </w:p>
    <w:p w14:paraId="65797657" w14:textId="77777777" w:rsidR="00A55836" w:rsidRDefault="00A55836" w:rsidP="00A55836">
      <w:pPr>
        <w:autoSpaceDE w:val="0"/>
        <w:autoSpaceDN w:val="0"/>
        <w:adjustRightInd w:val="0"/>
        <w:spacing w:after="0"/>
        <w:ind w:left="720"/>
      </w:pPr>
      <w:r>
        <w:t xml:space="preserve">Part 11 </w:t>
      </w:r>
      <w:r>
        <w:tab/>
      </w:r>
      <w:r>
        <w:tab/>
        <w:t>Complaints and Investigations</w:t>
      </w:r>
      <w:r>
        <w:tab/>
      </w:r>
    </w:p>
    <w:p w14:paraId="7FBDD60C" w14:textId="77777777" w:rsidR="00A55836" w:rsidRDefault="00A55836" w:rsidP="00A55836">
      <w:pPr>
        <w:autoSpaceDE w:val="0"/>
        <w:autoSpaceDN w:val="0"/>
        <w:adjustRightInd w:val="0"/>
        <w:spacing w:after="0"/>
        <w:ind w:left="720"/>
      </w:pPr>
      <w:r>
        <w:t>Part 12</w:t>
      </w:r>
      <w:r>
        <w:tab/>
      </w:r>
      <w:r>
        <w:tab/>
        <w:t xml:space="preserve">Vexatious applicant declarations </w:t>
      </w:r>
    </w:p>
    <w:p w14:paraId="30C98086" w14:textId="77777777" w:rsidR="00A55836" w:rsidRDefault="00A55836" w:rsidP="00A55836">
      <w:pPr>
        <w:autoSpaceDE w:val="0"/>
        <w:autoSpaceDN w:val="0"/>
        <w:adjustRightInd w:val="0"/>
        <w:spacing w:after="0"/>
        <w:ind w:left="720"/>
      </w:pPr>
      <w:r>
        <w:t>Part 14</w:t>
      </w:r>
      <w:r>
        <w:tab/>
      </w:r>
      <w:r>
        <w:tab/>
        <w:t>Disclosure Log</w:t>
      </w:r>
    </w:p>
    <w:p w14:paraId="3D545964" w14:textId="1E9B941B" w:rsidR="00A55836" w:rsidRDefault="00A55836" w:rsidP="00A55836">
      <w:pPr>
        <w:autoSpaceDE w:val="0"/>
        <w:autoSpaceDN w:val="0"/>
        <w:adjustRightInd w:val="0"/>
        <w:spacing w:after="0"/>
        <w:ind w:left="2160" w:hanging="1440"/>
      </w:pPr>
      <w:r>
        <w:t>Part 15</w:t>
      </w:r>
      <w:r>
        <w:tab/>
        <w:t>Reporting to the extent that agencies are required to provide an annual FOI statistical return</w:t>
      </w:r>
    </w:p>
    <w:p w14:paraId="67F61A75" w14:textId="77777777" w:rsidR="00A55836" w:rsidRDefault="00A55836" w:rsidP="00A55836">
      <w:pPr>
        <w:autoSpaceDE w:val="0"/>
        <w:autoSpaceDN w:val="0"/>
        <w:adjustRightInd w:val="0"/>
        <w:spacing w:after="0"/>
        <w:ind w:left="720"/>
      </w:pPr>
      <w:r>
        <w:t xml:space="preserve">Glossary </w:t>
      </w:r>
      <w:r>
        <w:tab/>
        <w:t>To the extent of references to terms used in the abovementioned Parts.</w:t>
      </w:r>
    </w:p>
    <w:p w14:paraId="6761DF21" w14:textId="77777777" w:rsidR="00A55836" w:rsidRDefault="00A55836" w:rsidP="00A55836">
      <w:pPr>
        <w:autoSpaceDE w:val="0"/>
        <w:autoSpaceDN w:val="0"/>
        <w:adjustRightInd w:val="0"/>
        <w:spacing w:after="0" w:line="240" w:lineRule="auto"/>
      </w:pPr>
    </w:p>
    <w:p w14:paraId="30B9F305" w14:textId="670197EC" w:rsidR="00A55836" w:rsidRDefault="00A55836" w:rsidP="00A55836">
      <w:pPr>
        <w:autoSpaceDE w:val="0"/>
        <w:autoSpaceDN w:val="0"/>
        <w:adjustRightInd w:val="0"/>
        <w:spacing w:after="0"/>
      </w:pPr>
      <w:r>
        <w:t xml:space="preserve">ECS Agencies should note that the above parts of the AIC FOI Guidelines are hereby adopted </w:t>
      </w:r>
      <w:r w:rsidRPr="00F347DA">
        <w:rPr>
          <w:i/>
        </w:rPr>
        <w:t>as in force from time to time</w:t>
      </w:r>
      <w:r>
        <w:rPr>
          <w:i/>
        </w:rPr>
        <w:t xml:space="preserve">.  </w:t>
      </w:r>
      <w:r w:rsidRPr="000C3EF9">
        <w:t>This</w:t>
      </w:r>
      <w:r>
        <w:t xml:space="preserve"> is </w:t>
      </w:r>
      <w:proofErr w:type="gramStart"/>
      <w:r>
        <w:t>effected</w:t>
      </w:r>
      <w:proofErr w:type="gramEnd"/>
      <w:r>
        <w:t xml:space="preserve"> pursuant to clause 24(2) o</w:t>
      </w:r>
      <w:r w:rsidRPr="001C5775">
        <w:t>f Schedule 1 of the E</w:t>
      </w:r>
      <w:r>
        <w:t xml:space="preserve">CSNL, which provides that if a statutory instrument applies, adopts or incorporates the provisions of a document, the statutory instrument applies, adopts or incorporates the provisions </w:t>
      </w:r>
      <w:r w:rsidRPr="000C3EF9">
        <w:rPr>
          <w:i/>
        </w:rPr>
        <w:t>as in force from time to time,</w:t>
      </w:r>
      <w:r>
        <w:t xml:space="preserve"> unless the statutory instrument otherwise expressly provides.</w:t>
      </w:r>
    </w:p>
    <w:p w14:paraId="68ACCE39" w14:textId="77777777" w:rsidR="00A55836" w:rsidRDefault="00A55836" w:rsidP="00A55836">
      <w:pPr>
        <w:autoSpaceDE w:val="0"/>
        <w:autoSpaceDN w:val="0"/>
        <w:adjustRightInd w:val="0"/>
        <w:spacing w:after="0" w:line="240" w:lineRule="auto"/>
      </w:pPr>
    </w:p>
    <w:p w14:paraId="48703E84" w14:textId="77777777" w:rsidR="00A55836" w:rsidRDefault="00A55836" w:rsidP="00A55836">
      <w:pPr>
        <w:autoSpaceDE w:val="0"/>
        <w:autoSpaceDN w:val="0"/>
        <w:adjustRightInd w:val="0"/>
        <w:spacing w:after="0"/>
      </w:pPr>
      <w:r>
        <w:t>In adopting the above parts of the AIC FOI Guidelines, references in the Guidelines to the Australian Information Commissioner exercising a power or performing a duty or function generally should be read to mean the NECS FOI Commissioner exercising such power or performing such a duty or function in relation to the ECS Agencies.</w:t>
      </w:r>
    </w:p>
    <w:p w14:paraId="151B37AE" w14:textId="77777777" w:rsidR="00A55836" w:rsidRDefault="00A55836" w:rsidP="00A55836">
      <w:pPr>
        <w:autoSpaceDE w:val="0"/>
        <w:autoSpaceDN w:val="0"/>
        <w:adjustRightInd w:val="0"/>
        <w:spacing w:after="0" w:line="240" w:lineRule="auto"/>
      </w:pPr>
    </w:p>
    <w:p w14:paraId="5033CD00" w14:textId="77777777" w:rsidR="00A55836" w:rsidRDefault="00A55836" w:rsidP="00A55836">
      <w:pPr>
        <w:autoSpaceDE w:val="0"/>
        <w:autoSpaceDN w:val="0"/>
        <w:adjustRightInd w:val="0"/>
        <w:spacing w:after="0"/>
      </w:pPr>
      <w:r>
        <w:t xml:space="preserve">In applying the above Guidelines, ECS Agencies will need to be mindful of the modifications made to the FOI Act by the ECSNL Regulations, and in particular regulations 209 and 210.  For example, page 43 of Part 3 of the above Guidelines refer to third party applications to the AAT or the Federal Court.  The modifications made by the ECSNL regulation 209(d) require the reference to the Federal Court to mean the relevant jurisdiction's Supreme Court, and ECSNL regulation 210 requires the reference to the AAT to mean the relevant jurisdiction's administrative tribunal. </w:t>
      </w:r>
    </w:p>
    <w:p w14:paraId="6E4C5B14" w14:textId="77777777" w:rsidR="00A55836" w:rsidRDefault="00A55836" w:rsidP="00A55836">
      <w:pPr>
        <w:autoSpaceDE w:val="0"/>
        <w:autoSpaceDN w:val="0"/>
        <w:adjustRightInd w:val="0"/>
        <w:spacing w:after="0" w:line="240" w:lineRule="auto"/>
      </w:pPr>
    </w:p>
    <w:p w14:paraId="024F058E" w14:textId="77777777" w:rsidR="00A55836" w:rsidRDefault="00A55836" w:rsidP="00A55836">
      <w:pPr>
        <w:autoSpaceDE w:val="0"/>
        <w:autoSpaceDN w:val="0"/>
        <w:adjustRightInd w:val="0"/>
        <w:spacing w:after="0"/>
      </w:pPr>
      <w:r>
        <w:t xml:space="preserve">ECS Agencies must have regard to </w:t>
      </w:r>
      <w:r w:rsidRPr="00003975">
        <w:t>the</w:t>
      </w:r>
      <w:r>
        <w:t xml:space="preserve"> above parts of the AIC FOI Guidelines when exercising their responsibilities under the FOI Act.</w:t>
      </w:r>
    </w:p>
    <w:p w14:paraId="2C94D2A8" w14:textId="77777777" w:rsidR="00A55836" w:rsidRDefault="00A55836" w:rsidP="00A55836">
      <w:pPr>
        <w:autoSpaceDE w:val="0"/>
        <w:autoSpaceDN w:val="0"/>
        <w:adjustRightInd w:val="0"/>
        <w:spacing w:after="0" w:line="240" w:lineRule="auto"/>
      </w:pPr>
    </w:p>
    <w:p w14:paraId="6462481B" w14:textId="77777777" w:rsidR="00A55836" w:rsidRPr="00210127" w:rsidRDefault="00A55836" w:rsidP="00A55836">
      <w:pPr>
        <w:autoSpaceDE w:val="0"/>
        <w:autoSpaceDN w:val="0"/>
        <w:adjustRightInd w:val="0"/>
        <w:spacing w:after="0" w:line="240" w:lineRule="auto"/>
        <w:rPr>
          <w:b/>
          <w:bCs/>
        </w:rPr>
      </w:pPr>
      <w:r w:rsidRPr="411602C8">
        <w:rPr>
          <w:b/>
          <w:bCs/>
        </w:rPr>
        <w:t>Lesley Foster</w:t>
      </w:r>
    </w:p>
    <w:p w14:paraId="297512D2" w14:textId="77777777" w:rsidR="00A55836" w:rsidRDefault="00A55836" w:rsidP="00A55836">
      <w:pPr>
        <w:autoSpaceDE w:val="0"/>
        <w:autoSpaceDN w:val="0"/>
        <w:adjustRightInd w:val="0"/>
        <w:spacing w:after="0"/>
        <w:rPr>
          <w:b/>
        </w:rPr>
      </w:pPr>
      <w:r w:rsidRPr="00210127">
        <w:rPr>
          <w:b/>
          <w:bCs/>
        </w:rPr>
        <w:t>National Education and Care Services Freedom of Information Commissioner</w:t>
      </w:r>
    </w:p>
    <w:p w14:paraId="0B5FC20E" w14:textId="77777777" w:rsidR="00A55836" w:rsidRDefault="00A55836" w:rsidP="411602C8">
      <w:pPr>
        <w:autoSpaceDE w:val="0"/>
        <w:autoSpaceDN w:val="0"/>
        <w:adjustRightInd w:val="0"/>
        <w:spacing w:after="0"/>
        <w:rPr>
          <w:b/>
          <w:bCs/>
        </w:rPr>
      </w:pPr>
    </w:p>
    <w:p w14:paraId="73A45CAA" w14:textId="77777777" w:rsidR="00A55836" w:rsidRPr="00F314DB" w:rsidRDefault="00A55836" w:rsidP="00A55836">
      <w:pPr>
        <w:autoSpaceDE w:val="0"/>
        <w:autoSpaceDN w:val="0"/>
        <w:adjustRightInd w:val="0"/>
        <w:spacing w:after="0"/>
        <w:rPr>
          <w:b/>
          <w:color w:val="365F91" w:themeColor="accent1" w:themeShade="BF"/>
        </w:rPr>
      </w:pPr>
      <w:r w:rsidRPr="00F314DB">
        <w:rPr>
          <w:b/>
          <w:color w:val="365F91" w:themeColor="accent1" w:themeShade="BF"/>
        </w:rPr>
        <w:t>Document History</w:t>
      </w:r>
    </w:p>
    <w:p w14:paraId="0383CDD6" w14:textId="77777777" w:rsidR="00A55836" w:rsidRDefault="00A55836" w:rsidP="00A55836">
      <w:pPr>
        <w:autoSpaceDE w:val="0"/>
        <w:autoSpaceDN w:val="0"/>
        <w:adjustRightInd w:val="0"/>
        <w:spacing w:after="0"/>
      </w:pPr>
    </w:p>
    <w:p w14:paraId="2526681A" w14:textId="500F6736" w:rsidR="00A55836" w:rsidRPr="008D431A" w:rsidRDefault="00A55836" w:rsidP="00A55836">
      <w:pPr>
        <w:autoSpaceDE w:val="0"/>
        <w:autoSpaceDN w:val="0"/>
        <w:adjustRightInd w:val="0"/>
        <w:spacing w:after="0"/>
        <w:rPr>
          <w:b/>
        </w:rPr>
      </w:pPr>
      <w:r>
        <w:t>This Instrument is reviewed as necessary and at the latest every 6 months and may, by instrument in writing, be varied, amended, or revoked.</w:t>
      </w:r>
    </w:p>
    <w:p w14:paraId="4D747201" w14:textId="77777777" w:rsidR="00A55836" w:rsidRDefault="00A55836" w:rsidP="00A55836">
      <w:pPr>
        <w:autoSpaceDE w:val="0"/>
        <w:autoSpaceDN w:val="0"/>
        <w:adjustRightInd w:val="0"/>
        <w:spacing w:after="0"/>
      </w:pPr>
    </w:p>
    <w:tbl>
      <w:tblPr>
        <w:tblStyle w:val="TableGrid"/>
        <w:tblW w:w="8746" w:type="dxa"/>
        <w:tblLook w:val="04A0" w:firstRow="1" w:lastRow="0" w:firstColumn="1" w:lastColumn="0" w:noHBand="0" w:noVBand="1"/>
      </w:tblPr>
      <w:tblGrid>
        <w:gridCol w:w="1696"/>
        <w:gridCol w:w="7050"/>
      </w:tblGrid>
      <w:tr w:rsidR="00A55836" w14:paraId="27A6EE71" w14:textId="77777777" w:rsidTr="00C66290">
        <w:tc>
          <w:tcPr>
            <w:tcW w:w="1696" w:type="dxa"/>
          </w:tcPr>
          <w:p w14:paraId="074671EC" w14:textId="77777777" w:rsidR="00A55836" w:rsidRDefault="00A55836" w:rsidP="00C66290">
            <w:pPr>
              <w:autoSpaceDE w:val="0"/>
              <w:autoSpaceDN w:val="0"/>
              <w:adjustRightInd w:val="0"/>
              <w:spacing w:line="276" w:lineRule="auto"/>
            </w:pPr>
            <w:r>
              <w:t>This version</w:t>
            </w:r>
          </w:p>
        </w:tc>
        <w:tc>
          <w:tcPr>
            <w:tcW w:w="7050" w:type="dxa"/>
          </w:tcPr>
          <w:p w14:paraId="348D313E" w14:textId="647E35FC" w:rsidR="00A55836" w:rsidRDefault="00A55836" w:rsidP="00C66290">
            <w:pPr>
              <w:autoSpaceDE w:val="0"/>
              <w:autoSpaceDN w:val="0"/>
              <w:adjustRightInd w:val="0"/>
              <w:spacing w:line="276" w:lineRule="auto"/>
            </w:pPr>
            <w:r>
              <w:t>Reviewed June 2023</w:t>
            </w:r>
          </w:p>
        </w:tc>
      </w:tr>
    </w:tbl>
    <w:p w14:paraId="4A163380" w14:textId="77777777" w:rsidR="00A55836" w:rsidRPr="00665355" w:rsidRDefault="00A55836" w:rsidP="00A55836">
      <w:pPr>
        <w:tabs>
          <w:tab w:val="left" w:pos="9046"/>
        </w:tabs>
        <w:spacing w:after="160" w:line="259" w:lineRule="auto"/>
        <w:rPr>
          <w:rFonts w:eastAsia="Calibri" w:cs="Calibri"/>
          <w:color w:val="000000" w:themeColor="text1"/>
          <w:lang w:val="en-US"/>
        </w:rPr>
      </w:pPr>
    </w:p>
    <w:p w14:paraId="50C29628" w14:textId="77777777" w:rsidR="00A55836" w:rsidRDefault="00A55836" w:rsidP="00A55836">
      <w:pPr>
        <w:rPr>
          <w:rFonts w:eastAsia="Calibri" w:cs="Calibri"/>
          <w:color w:val="000000" w:themeColor="text1"/>
          <w:lang w:val="en-US"/>
        </w:rPr>
        <w:sectPr w:rsidR="00A55836" w:rsidSect="00512E04">
          <w:headerReference w:type="even" r:id="rId71"/>
          <w:headerReference w:type="default" r:id="rId72"/>
          <w:type w:val="continuous"/>
          <w:pgSz w:w="11907" w:h="16840" w:code="9"/>
          <w:pgMar w:top="1440" w:right="1080" w:bottom="1440" w:left="1080" w:header="709" w:footer="709" w:gutter="0"/>
          <w:cols w:space="708"/>
          <w:docGrid w:linePitch="360"/>
        </w:sectPr>
      </w:pPr>
    </w:p>
    <w:p w14:paraId="43A98C99" w14:textId="39EF440E" w:rsidR="00E15A5E" w:rsidRPr="00BE563A" w:rsidRDefault="00E15A5E" w:rsidP="00E15A5E">
      <w:pPr>
        <w:pBdr>
          <w:top w:val="single" w:sz="24" w:space="1" w:color="4BACC6" w:themeColor="accent5" w:shadow="1"/>
          <w:left w:val="single" w:sz="24" w:space="4" w:color="4BACC6" w:themeColor="accent5" w:shadow="1"/>
          <w:bottom w:val="single" w:sz="24" w:space="1" w:color="4BACC6" w:themeColor="accent5" w:shadow="1"/>
          <w:right w:val="single" w:sz="24" w:space="4" w:color="4BACC6" w:themeColor="accent5" w:shadow="1"/>
        </w:pBdr>
        <w:tabs>
          <w:tab w:val="left" w:pos="2010"/>
        </w:tabs>
        <w:rPr>
          <w:rStyle w:val="Heading2Char"/>
        </w:rPr>
      </w:pPr>
      <w:r w:rsidRPr="000C62C6">
        <w:rPr>
          <w:rFonts w:eastAsia="Calibri"/>
          <w:noProof/>
          <w:lang w:eastAsia="en-AU"/>
        </w:rPr>
        <w:drawing>
          <wp:inline distT="0" distB="0" distL="0" distR="0" wp14:anchorId="4DEB4FBE" wp14:editId="3272DA55">
            <wp:extent cx="2862000" cy="763200"/>
            <wp:effectExtent l="0" t="0" r="0" b="0"/>
            <wp:docPr id="304375211" name="Picture 304375211" descr="National Education &amp; Care Services FOI &amp; Privacy Commissioners &amp; 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75211" name="Picture 304375211" descr="National Education &amp; Care Services FOI &amp; Privacy Commissioners &amp; Ombudsman logo"/>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862000" cy="763200"/>
                    </a:xfrm>
                    <a:prstGeom prst="rect">
                      <a:avLst/>
                    </a:prstGeom>
                    <a:noFill/>
                    <a:ln>
                      <a:noFill/>
                    </a:ln>
                  </pic:spPr>
                </pic:pic>
              </a:graphicData>
            </a:graphic>
          </wp:inline>
        </w:drawing>
      </w:r>
    </w:p>
    <w:p w14:paraId="1BA64B79" w14:textId="0852DD71" w:rsidR="00E64C1F" w:rsidRPr="00E64C1F" w:rsidRDefault="00E64C1F" w:rsidP="00E64C1F">
      <w:pPr>
        <w:pStyle w:val="Heading2"/>
        <w:rPr>
          <w:sz w:val="36"/>
          <w:szCs w:val="36"/>
        </w:rPr>
      </w:pPr>
      <w:bookmarkStart w:id="42" w:name="_Strategic_Plan"/>
      <w:bookmarkStart w:id="43" w:name="_Toc160544970"/>
      <w:bookmarkEnd w:id="42"/>
      <w:r w:rsidRPr="00E64C1F">
        <w:rPr>
          <w:sz w:val="36"/>
          <w:szCs w:val="36"/>
        </w:rPr>
        <w:t xml:space="preserve">Strategic Plan </w:t>
      </w:r>
      <w:r>
        <w:rPr>
          <w:sz w:val="36"/>
          <w:szCs w:val="36"/>
        </w:rPr>
        <w:t>2021-2024</w:t>
      </w:r>
      <w:bookmarkEnd w:id="43"/>
    </w:p>
    <w:p w14:paraId="5A83A6CB" w14:textId="74EF4E93" w:rsidR="00E15A5E" w:rsidRDefault="00E15A5E" w:rsidP="00E15A5E">
      <w:pPr>
        <w:rPr>
          <w:lang w:val="en-US"/>
        </w:rPr>
      </w:pPr>
      <w:r w:rsidRPr="001C7C93">
        <w:rPr>
          <w:rFonts w:eastAsia="Times" w:cstheme="minorHAnsi"/>
        </w:rPr>
        <w:t xml:space="preserve">The Strategic Plan covers the period </w:t>
      </w:r>
      <w:r>
        <w:rPr>
          <w:rFonts w:eastAsia="Times" w:cstheme="minorHAnsi"/>
        </w:rPr>
        <w:t xml:space="preserve">July 2021–July 2024. It </w:t>
      </w:r>
      <w:r>
        <w:rPr>
          <w:lang w:val="en-US"/>
        </w:rPr>
        <w:t>p</w:t>
      </w:r>
      <w:r w:rsidRPr="008B1CFD">
        <w:rPr>
          <w:lang w:val="en-US"/>
        </w:rPr>
        <w:t>resen</w:t>
      </w:r>
      <w:r>
        <w:rPr>
          <w:lang w:val="en-US"/>
        </w:rPr>
        <w:t>ts a three-year outlook and i</w:t>
      </w:r>
      <w:r w:rsidRPr="008B1CFD">
        <w:rPr>
          <w:lang w:val="en-US"/>
        </w:rPr>
        <w:t>d</w:t>
      </w:r>
      <w:r>
        <w:rPr>
          <w:lang w:val="en-US"/>
        </w:rPr>
        <w:t xml:space="preserve">entifies key challenges, </w:t>
      </w:r>
      <w:r w:rsidRPr="008B1CFD">
        <w:rPr>
          <w:lang w:val="en-US"/>
        </w:rPr>
        <w:t>p</w:t>
      </w:r>
      <w:r>
        <w:rPr>
          <w:lang w:val="en-US"/>
        </w:rPr>
        <w:t xml:space="preserve">roposed responses and measures of success for the period. </w:t>
      </w:r>
    </w:p>
    <w:p w14:paraId="07A29217" w14:textId="77777777" w:rsidR="00E15A5E" w:rsidRDefault="00E15A5E" w:rsidP="00E15A5E">
      <w:pPr>
        <w:rPr>
          <w:lang w:val="en-US"/>
        </w:rPr>
      </w:pPr>
      <w:r>
        <w:rPr>
          <w:lang w:val="en-US"/>
        </w:rPr>
        <w:t>The powers, functions and jurisdiction of the Commissioners and Ombudsman are well defined by legislation; the roles are part-time. The objectives of the office and many of the strategies remain constant over the years. The focus is on quality, timely service delivery and support for agencies and the public.</w:t>
      </w:r>
    </w:p>
    <w:tbl>
      <w:tblPr>
        <w:tblStyle w:val="TableGrid"/>
        <w:tblW w:w="5000" w:type="pct"/>
        <w:shd w:val="clear" w:color="auto" w:fill="DBE5F1" w:themeFill="accent1" w:themeFillTint="33"/>
        <w:tblLook w:val="04A0" w:firstRow="1" w:lastRow="0" w:firstColumn="1" w:lastColumn="0" w:noHBand="0" w:noVBand="1"/>
      </w:tblPr>
      <w:tblGrid>
        <w:gridCol w:w="10437"/>
      </w:tblGrid>
      <w:tr w:rsidR="00E15A5E" w14:paraId="48D9E5D5" w14:textId="77777777" w:rsidTr="00CA05A8">
        <w:tc>
          <w:tcPr>
            <w:tcW w:w="5000" w:type="pct"/>
            <w:tcBorders>
              <w:top w:val="single" w:sz="12" w:space="0" w:color="FFFFFF" w:themeColor="background1"/>
              <w:left w:val="single" w:sz="12" w:space="0" w:color="FFFFFF" w:themeColor="background1"/>
              <w:bottom w:val="single" w:sz="12" w:space="0" w:color="4472C4"/>
              <w:right w:val="single" w:sz="12" w:space="0" w:color="FFFFFF" w:themeColor="background1"/>
            </w:tcBorders>
            <w:shd w:val="clear" w:color="auto" w:fill="DBE5F1" w:themeFill="accent1" w:themeFillTint="33"/>
          </w:tcPr>
          <w:p w14:paraId="02CB35C1" w14:textId="77777777" w:rsidR="00E15A5E" w:rsidRDefault="00E15A5E" w:rsidP="00BD6884">
            <w:pPr>
              <w:widowControl w:val="0"/>
              <w:spacing w:after="120" w:line="270" w:lineRule="atLeast"/>
              <w:rPr>
                <w:color w:val="31849B" w:themeColor="accent5" w:themeShade="BF"/>
                <w:sz w:val="28"/>
                <w:szCs w:val="28"/>
              </w:rPr>
            </w:pPr>
            <w:r w:rsidRPr="00536E85">
              <w:rPr>
                <w:rFonts w:eastAsia="Times" w:cstheme="minorHAnsi"/>
                <w:sz w:val="28"/>
                <w:szCs w:val="28"/>
              </w:rPr>
              <w:t>Setting</w:t>
            </w:r>
          </w:p>
        </w:tc>
      </w:tr>
    </w:tbl>
    <w:p w14:paraId="6A530979" w14:textId="77777777" w:rsidR="00E15A5E" w:rsidRDefault="00E15A5E" w:rsidP="00E15A5E">
      <w:pPr>
        <w:spacing w:after="0"/>
        <w:rPr>
          <w:color w:val="31849B" w:themeColor="accent5" w:themeShade="BF"/>
          <w:sz w:val="28"/>
          <w:szCs w:val="28"/>
        </w:rPr>
      </w:pPr>
    </w:p>
    <w:p w14:paraId="0E9F69C9" w14:textId="77777777" w:rsidR="00E15A5E" w:rsidRDefault="00E15A5E" w:rsidP="00E15A5E">
      <w:r>
        <w:t xml:space="preserve">The Education and Care Services Ombudsman and the National Education and Care Services Freedom of Information and Privacy Commissioners are independent, statutory officers appointed by the Education Ministers’ Meeting (formerly the Council of Australian Governments (COAG) Education Council) under national applied laws legislation - the </w:t>
      </w:r>
      <w:r w:rsidRPr="00022B56">
        <w:rPr>
          <w:i/>
        </w:rPr>
        <w:t>Education and Care Services National Law</w:t>
      </w:r>
      <w:r>
        <w:t xml:space="preserve">.  The Ombudsman and Commissioner positions are established and operate independently of each other for the purposes of the National Law. </w:t>
      </w:r>
      <w:r>
        <w:rPr>
          <w:lang w:val="en-US"/>
        </w:rPr>
        <w:t xml:space="preserve">One person has been appointed to the three roles. </w:t>
      </w:r>
      <w:r>
        <w:t>The three positions are collectively referred to as the ECS Commissioners throughout this Plan.</w:t>
      </w:r>
    </w:p>
    <w:p w14:paraId="14A9FD0B" w14:textId="77777777" w:rsidR="00E15A5E" w:rsidRDefault="00E15A5E" w:rsidP="00E15A5E">
      <w:r>
        <w:t xml:space="preserve">The roles were established in 2012 as part of reforms by COAG to create a national uniform regulatory and quality assurance system for education and care services across Australia under the National Quality Framework for Early Childhood Education and Care (the NQF). </w:t>
      </w:r>
      <w:proofErr w:type="gramStart"/>
      <w:r>
        <w:t>In order to</w:t>
      </w:r>
      <w:proofErr w:type="gramEnd"/>
      <w:r>
        <w:t xml:space="preserve"> implement the system, the National Law established the Australian Children’s Education and Care Quality Authority (ACECQA) and early childhood education and care Regulatory Authorities in each of the 8 Australian states and territories - collectively referred to throughout this Plan as the NQF agencies.</w:t>
      </w:r>
    </w:p>
    <w:p w14:paraId="585D4B3D" w14:textId="77777777" w:rsidR="00E15A5E" w:rsidRDefault="00E15A5E" w:rsidP="00E15A5E">
      <w:r>
        <w:t xml:space="preserve">ACECQA </w:t>
      </w:r>
      <w:r w:rsidRPr="004D6A4C">
        <w:t xml:space="preserve">works with all governments to provide guidance, resources and services </w:t>
      </w:r>
      <w:r>
        <w:t xml:space="preserve">under the NQF </w:t>
      </w:r>
      <w:r w:rsidRPr="004D6A4C">
        <w:t xml:space="preserve">to support the </w:t>
      </w:r>
      <w:r>
        <w:t xml:space="preserve">education and care </w:t>
      </w:r>
      <w:r w:rsidRPr="004D6A4C">
        <w:t>sector to improve outcomes for childre</w:t>
      </w:r>
      <w:r>
        <w:t xml:space="preserve">n. State and territory Regulatory Authorities are responsible for granting education and care service and provider approvals, carrying out the quality assessment and rating of services, and ensuring services meet the requirements of the National Law and National Regulations. </w:t>
      </w:r>
    </w:p>
    <w:p w14:paraId="0E1C3E80" w14:textId="77777777" w:rsidR="00E15A5E" w:rsidRDefault="00E15A5E" w:rsidP="00E15A5E">
      <w:r>
        <w:t>The role of the office is to provide ombudsman, privacy and freedom of information oversight of the NQF agencies. Ombudsman services are provided with respect to the administrative actions of ACECQA, and freedom of information and privacy complaint, review and investigation services are provided in relation to actions taken in these areas by each of the state and territory Regulatory Authorities and ACECQA. The ECS Commissioners also play an important role in promoting public and service provider confidence in the integrity of the public administration and regulation of early childhood education and care in Australia.</w:t>
      </w:r>
    </w:p>
    <w:p w14:paraId="6C967815" w14:textId="77777777" w:rsidR="00E15A5E" w:rsidRPr="00040DF6" w:rsidRDefault="00E15A5E" w:rsidP="00E15A5E">
      <w:pPr>
        <w:rPr>
          <w:i/>
          <w:color w:val="365F91" w:themeColor="accent1" w:themeShade="BF"/>
          <w:sz w:val="24"/>
          <w:szCs w:val="24"/>
        </w:rPr>
      </w:pPr>
      <w:r w:rsidRPr="00040DF6">
        <w:rPr>
          <w:i/>
          <w:color w:val="365F91" w:themeColor="accent1" w:themeShade="BF"/>
          <w:sz w:val="24"/>
          <w:szCs w:val="24"/>
        </w:rPr>
        <w:t>Legislative Framework</w:t>
      </w:r>
    </w:p>
    <w:p w14:paraId="3BFE1AD6" w14:textId="77777777" w:rsidR="000C543C" w:rsidRDefault="00E15A5E" w:rsidP="00E15A5E">
      <w:pPr>
        <w:sectPr w:rsidR="000C543C" w:rsidSect="00512E04">
          <w:headerReference w:type="even" r:id="rId74"/>
          <w:headerReference w:type="default" r:id="rId75"/>
          <w:headerReference w:type="first" r:id="rId76"/>
          <w:footerReference w:type="first" r:id="rId77"/>
          <w:pgSz w:w="11907" w:h="16840" w:code="9"/>
          <w:pgMar w:top="720" w:right="720" w:bottom="720" w:left="720" w:header="709" w:footer="709" w:gutter="0"/>
          <w:cols w:space="708"/>
          <w:docGrid w:linePitch="360"/>
        </w:sectPr>
      </w:pPr>
      <w:r>
        <w:t xml:space="preserve">The ECS Commissioners operates within a complex legislative framework. Victoria passed the </w:t>
      </w:r>
      <w:r w:rsidRPr="00022B56">
        <w:rPr>
          <w:i/>
        </w:rPr>
        <w:t>Education and Care Services National Law Act 2010</w:t>
      </w:r>
      <w:r>
        <w:rPr>
          <w:i/>
        </w:rPr>
        <w:t>,</w:t>
      </w:r>
      <w:r>
        <w:t xml:space="preserve"> (the National Law) </w:t>
      </w:r>
      <w:r w:rsidRPr="00376470">
        <w:rPr>
          <w:rFonts w:eastAsia="Calibri"/>
        </w:rPr>
        <w:t xml:space="preserve">and each </w:t>
      </w:r>
      <w:r>
        <w:rPr>
          <w:rFonts w:eastAsia="Calibri"/>
        </w:rPr>
        <w:t>s</w:t>
      </w:r>
      <w:r w:rsidRPr="00376470">
        <w:rPr>
          <w:rFonts w:eastAsia="Calibri"/>
        </w:rPr>
        <w:t xml:space="preserve">tate and </w:t>
      </w:r>
      <w:r>
        <w:rPr>
          <w:rFonts w:eastAsia="Calibri"/>
        </w:rPr>
        <w:t>t</w:t>
      </w:r>
      <w:r w:rsidRPr="00376470">
        <w:rPr>
          <w:rFonts w:eastAsia="Calibri"/>
        </w:rPr>
        <w:t xml:space="preserve">erritory passed legislation applying the </w:t>
      </w:r>
      <w:r>
        <w:rPr>
          <w:rFonts w:eastAsia="Calibri"/>
        </w:rPr>
        <w:t xml:space="preserve">National Law, or enacted corresponding legislation, </w:t>
      </w:r>
      <w:r w:rsidRPr="00376470">
        <w:rPr>
          <w:rFonts w:eastAsia="Calibri"/>
        </w:rPr>
        <w:t xml:space="preserve">with some variations to accommodate local requirements. </w:t>
      </w:r>
      <w:r w:rsidRPr="009B6C43">
        <w:t xml:space="preserve">The </w:t>
      </w:r>
      <w:r w:rsidRPr="00CB1078">
        <w:rPr>
          <w:i/>
        </w:rPr>
        <w:t>Education and Care Services National Regulations</w:t>
      </w:r>
      <w:r>
        <w:rPr>
          <w:i/>
        </w:rPr>
        <w:t xml:space="preserve"> 2011</w:t>
      </w:r>
      <w:r w:rsidRPr="00CB1078">
        <w:rPr>
          <w:i/>
        </w:rPr>
        <w:t xml:space="preserve"> </w:t>
      </w:r>
      <w:r>
        <w:t>amplify the National Law.</w:t>
      </w:r>
    </w:p>
    <w:p w14:paraId="6389B7AF" w14:textId="77777777" w:rsidR="00E15A5E" w:rsidRDefault="00E15A5E" w:rsidP="00E15A5E"/>
    <w:p w14:paraId="53E5F6CF" w14:textId="6FABE966" w:rsidR="008E12C4" w:rsidRPr="00162FC9" w:rsidRDefault="00E15A5E" w:rsidP="00E15A5E">
      <w:r w:rsidRPr="00162FC9">
        <w:t xml:space="preserve">The National Law confers specified jurisdiction on the </w:t>
      </w:r>
      <w:r>
        <w:t xml:space="preserve">ECS Commissioners </w:t>
      </w:r>
      <w:r w:rsidRPr="00162FC9">
        <w:t>that is derived from the following Commonwealth Acts as in force from time to time:</w:t>
      </w:r>
      <w:r>
        <w:t xml:space="preserve"> </w:t>
      </w:r>
      <w:r w:rsidRPr="00022B56">
        <w:rPr>
          <w:i/>
        </w:rPr>
        <w:t>Ombudsman Act 1976,</w:t>
      </w:r>
      <w:r w:rsidRPr="00162FC9">
        <w:t xml:space="preserve"> </w:t>
      </w:r>
      <w:r w:rsidRPr="00022B56">
        <w:rPr>
          <w:i/>
        </w:rPr>
        <w:t>Freedom of Information Act 1982</w:t>
      </w:r>
      <w:r>
        <w:t>, and</w:t>
      </w:r>
      <w:r w:rsidRPr="00162FC9">
        <w:rPr>
          <w:i/>
        </w:rPr>
        <w:t xml:space="preserve"> </w:t>
      </w:r>
      <w:r w:rsidRPr="00022B56">
        <w:rPr>
          <w:i/>
        </w:rPr>
        <w:t>Privacy Act 1988</w:t>
      </w:r>
      <w:r>
        <w:t xml:space="preserve">. </w:t>
      </w:r>
      <w:r w:rsidRPr="00162FC9">
        <w:t xml:space="preserve">These Commonwealth Acts are modified by the </w:t>
      </w:r>
      <w:r w:rsidRPr="00022B56">
        <w:rPr>
          <w:i/>
        </w:rPr>
        <w:t>Education and Care Services National Regulations 2011</w:t>
      </w:r>
      <w:r>
        <w:t xml:space="preserve"> </w:t>
      </w:r>
      <w:r w:rsidRPr="00162FC9">
        <w:t xml:space="preserve">to apply in participating </w:t>
      </w:r>
      <w:r>
        <w:t>s</w:t>
      </w:r>
      <w:r w:rsidRPr="00162FC9">
        <w:t xml:space="preserve">tates and </w:t>
      </w:r>
      <w:r>
        <w:t>t</w:t>
      </w:r>
      <w:r w:rsidRPr="00162FC9">
        <w:t xml:space="preserve">erritories and to </w:t>
      </w:r>
      <w:r>
        <w:t>ACECQA for the purposes of the National Quality Framework.</w:t>
      </w:r>
    </w:p>
    <w:tbl>
      <w:tblPr>
        <w:tblStyle w:val="TableGrid"/>
        <w:tblW w:w="5000" w:type="pct"/>
        <w:shd w:val="clear" w:color="auto" w:fill="DBE5F1" w:themeFill="accent1" w:themeFillTint="33"/>
        <w:tblLook w:val="04A0" w:firstRow="1" w:lastRow="0" w:firstColumn="1" w:lastColumn="0" w:noHBand="0" w:noVBand="1"/>
      </w:tblPr>
      <w:tblGrid>
        <w:gridCol w:w="10437"/>
      </w:tblGrid>
      <w:tr w:rsidR="00E15A5E" w14:paraId="36901206" w14:textId="77777777" w:rsidTr="00434CB9">
        <w:tc>
          <w:tcPr>
            <w:tcW w:w="5000" w:type="pct"/>
            <w:tcBorders>
              <w:top w:val="single" w:sz="12" w:space="0" w:color="FFFFFF" w:themeColor="background1"/>
              <w:left w:val="single" w:sz="12" w:space="0" w:color="FFFFFF" w:themeColor="background1"/>
              <w:bottom w:val="single" w:sz="12" w:space="0" w:color="365F91" w:themeColor="accent1" w:themeShade="BF"/>
              <w:right w:val="single" w:sz="12" w:space="0" w:color="FFFFFF" w:themeColor="background1"/>
            </w:tcBorders>
            <w:shd w:val="clear" w:color="auto" w:fill="DBE5F1" w:themeFill="accent1" w:themeFillTint="33"/>
          </w:tcPr>
          <w:p w14:paraId="2680CEF3" w14:textId="77777777" w:rsidR="00E15A5E" w:rsidRPr="00A86D2E" w:rsidRDefault="00E15A5E" w:rsidP="00BD6884">
            <w:pPr>
              <w:widowControl w:val="0"/>
              <w:spacing w:after="120" w:line="270" w:lineRule="atLeast"/>
              <w:rPr>
                <w:rFonts w:eastAsia="MS Gothic" w:cstheme="minorHAnsi"/>
                <w:bCs/>
                <w:color w:val="31849B" w:themeColor="accent5" w:themeShade="BF"/>
                <w:kern w:val="32"/>
                <w:sz w:val="28"/>
                <w:szCs w:val="28"/>
              </w:rPr>
            </w:pPr>
            <w:r w:rsidRPr="00F314DB">
              <w:rPr>
                <w:rFonts w:eastAsia="Times" w:cstheme="minorHAnsi"/>
                <w:sz w:val="28"/>
                <w:szCs w:val="28"/>
              </w:rPr>
              <w:t>Vision</w:t>
            </w:r>
          </w:p>
        </w:tc>
      </w:tr>
    </w:tbl>
    <w:p w14:paraId="50105089" w14:textId="77777777" w:rsidR="00E15A5E" w:rsidRDefault="00E15A5E" w:rsidP="00E15A5E">
      <w:pPr>
        <w:spacing w:after="0" w:line="270" w:lineRule="atLeast"/>
        <w:rPr>
          <w:rFonts w:eastAsia="MS Gothic" w:cstheme="minorHAnsi"/>
          <w:bCs/>
          <w:color w:val="31849B" w:themeColor="accent5" w:themeShade="BF"/>
          <w:kern w:val="32"/>
          <w:sz w:val="32"/>
          <w:szCs w:val="32"/>
        </w:rPr>
      </w:pPr>
    </w:p>
    <w:p w14:paraId="0819D31D" w14:textId="61B02C48" w:rsidR="008E12C4" w:rsidRPr="00513B5B" w:rsidRDefault="00E15A5E" w:rsidP="00E15A5E">
      <w:pPr>
        <w:spacing w:after="0" w:line="270" w:lineRule="atLeast"/>
        <w:rPr>
          <w:rFonts w:eastAsia="Times" w:cstheme="minorHAnsi"/>
        </w:rPr>
      </w:pPr>
      <w:r>
        <w:rPr>
          <w:rFonts w:eastAsia="Times" w:cstheme="minorHAnsi"/>
        </w:rPr>
        <w:t xml:space="preserve">To support public </w:t>
      </w:r>
      <w:r w:rsidRPr="00513B5B">
        <w:rPr>
          <w:rFonts w:eastAsia="Times" w:cstheme="minorHAnsi"/>
        </w:rPr>
        <w:t>confidence in the accountability and fairness of the administration of the national regulatory and quality assurance system for early childhood education and care</w:t>
      </w:r>
      <w:r>
        <w:rPr>
          <w:rFonts w:eastAsia="Times" w:cstheme="minorHAnsi"/>
        </w:rPr>
        <w:t xml:space="preserve"> in Australia</w:t>
      </w:r>
      <w:r w:rsidRPr="00513B5B">
        <w:rPr>
          <w:rFonts w:eastAsia="Times" w:cstheme="minorHAnsi"/>
        </w:rPr>
        <w:t xml:space="preserve">. </w:t>
      </w:r>
    </w:p>
    <w:p w14:paraId="05ED584B" w14:textId="77777777" w:rsidR="00E15A5E" w:rsidRPr="00FE04B2" w:rsidRDefault="00E15A5E" w:rsidP="00E15A5E">
      <w:pPr>
        <w:spacing w:after="0" w:line="270" w:lineRule="atLeast"/>
        <w:rPr>
          <w:rFonts w:eastAsia="MS Gothic" w:cstheme="minorHAnsi"/>
          <w:bCs/>
          <w:color w:val="31849B" w:themeColor="accent5" w:themeShade="BF"/>
          <w:kern w:val="32"/>
          <w:sz w:val="24"/>
          <w:szCs w:val="24"/>
        </w:rPr>
      </w:pPr>
    </w:p>
    <w:tbl>
      <w:tblPr>
        <w:tblStyle w:val="TableGrid"/>
        <w:tblW w:w="5000" w:type="pct"/>
        <w:shd w:val="clear" w:color="auto" w:fill="DBE5F1" w:themeFill="accent1" w:themeFillTint="33"/>
        <w:tblLook w:val="04A0" w:firstRow="1" w:lastRow="0" w:firstColumn="1" w:lastColumn="0" w:noHBand="0" w:noVBand="1"/>
      </w:tblPr>
      <w:tblGrid>
        <w:gridCol w:w="10437"/>
      </w:tblGrid>
      <w:tr w:rsidR="00E15A5E" w14:paraId="0731F0E3" w14:textId="77777777" w:rsidTr="00434CB9">
        <w:tc>
          <w:tcPr>
            <w:tcW w:w="5000" w:type="pct"/>
            <w:tcBorders>
              <w:top w:val="single" w:sz="12" w:space="0" w:color="FFFFFF" w:themeColor="background1"/>
              <w:left w:val="single" w:sz="12" w:space="0" w:color="FFFFFF" w:themeColor="background1"/>
              <w:bottom w:val="single" w:sz="12" w:space="0" w:color="2E74B5"/>
              <w:right w:val="single" w:sz="12" w:space="0" w:color="FFFFFF" w:themeColor="background1"/>
            </w:tcBorders>
            <w:shd w:val="clear" w:color="auto" w:fill="DBE5F1" w:themeFill="accent1" w:themeFillTint="33"/>
          </w:tcPr>
          <w:p w14:paraId="7D60D756" w14:textId="77777777" w:rsidR="00E15A5E" w:rsidRPr="00611EA3" w:rsidRDefault="00E15A5E" w:rsidP="00BD6884">
            <w:pPr>
              <w:widowControl w:val="0"/>
              <w:spacing w:after="120" w:line="270" w:lineRule="atLeast"/>
              <w:rPr>
                <w:rFonts w:eastAsia="MS Gothic" w:cstheme="minorHAnsi"/>
                <w:bCs/>
                <w:color w:val="FFFFFF" w:themeColor="background1"/>
                <w:kern w:val="32"/>
                <w:sz w:val="28"/>
                <w:szCs w:val="28"/>
              </w:rPr>
            </w:pPr>
            <w:r w:rsidRPr="00F314DB">
              <w:rPr>
                <w:rFonts w:eastAsia="Times" w:cstheme="minorHAnsi"/>
                <w:sz w:val="28"/>
                <w:szCs w:val="28"/>
              </w:rPr>
              <w:t>Purpose</w:t>
            </w:r>
          </w:p>
        </w:tc>
      </w:tr>
    </w:tbl>
    <w:p w14:paraId="21F2E4A5" w14:textId="77777777" w:rsidR="00E15A5E" w:rsidRPr="00513B5B" w:rsidRDefault="00E15A5E" w:rsidP="00E15A5E">
      <w:pPr>
        <w:spacing w:after="120" w:line="270" w:lineRule="atLeast"/>
        <w:rPr>
          <w:rFonts w:eastAsia="MS Gothic" w:cstheme="minorHAnsi"/>
          <w:bCs/>
          <w:color w:val="31849B" w:themeColor="accent5" w:themeShade="BF"/>
          <w:kern w:val="32"/>
        </w:rPr>
      </w:pPr>
    </w:p>
    <w:p w14:paraId="7E3A5FE9" w14:textId="77777777" w:rsidR="00E15A5E" w:rsidRDefault="00E15A5E" w:rsidP="00E15A5E">
      <w:pPr>
        <w:widowControl w:val="0"/>
        <w:spacing w:after="120" w:line="270" w:lineRule="atLeast"/>
        <w:rPr>
          <w:rFonts w:eastAsia="Times" w:cstheme="minorHAnsi"/>
        </w:rPr>
      </w:pPr>
      <w:r w:rsidRPr="00513B5B">
        <w:rPr>
          <w:rFonts w:eastAsia="Times" w:cstheme="minorHAnsi"/>
        </w:rPr>
        <w:t xml:space="preserve">To provide independent, </w:t>
      </w:r>
      <w:r>
        <w:rPr>
          <w:rFonts w:eastAsia="Times" w:cstheme="minorHAnsi"/>
        </w:rPr>
        <w:t xml:space="preserve">fair and </w:t>
      </w:r>
      <w:r w:rsidRPr="00513B5B">
        <w:rPr>
          <w:rFonts w:eastAsia="Times" w:cstheme="minorHAnsi"/>
        </w:rPr>
        <w:t>accessible complaint-handling, review</w:t>
      </w:r>
      <w:r>
        <w:rPr>
          <w:rFonts w:eastAsia="Times" w:cstheme="minorHAnsi"/>
        </w:rPr>
        <w:t xml:space="preserve">, investigation </w:t>
      </w:r>
      <w:r w:rsidRPr="00513B5B">
        <w:rPr>
          <w:rFonts w:eastAsia="Times" w:cstheme="minorHAnsi"/>
        </w:rPr>
        <w:t>and advisory services</w:t>
      </w:r>
      <w:r>
        <w:rPr>
          <w:rFonts w:eastAsia="Times" w:cstheme="minorHAnsi"/>
        </w:rPr>
        <w:t xml:space="preserve"> in relation to the protection of privacy and information access rights,</w:t>
      </w:r>
      <w:r w:rsidRPr="00513B5B">
        <w:rPr>
          <w:rFonts w:eastAsia="Times" w:cstheme="minorHAnsi"/>
        </w:rPr>
        <w:t xml:space="preserve"> and to work </w:t>
      </w:r>
      <w:r>
        <w:rPr>
          <w:rFonts w:eastAsia="Times" w:cstheme="minorHAnsi"/>
        </w:rPr>
        <w:t>with the NQF agencies</w:t>
      </w:r>
      <w:r w:rsidRPr="00513B5B">
        <w:rPr>
          <w:rFonts w:eastAsia="Times" w:cstheme="minorHAnsi"/>
        </w:rPr>
        <w:t xml:space="preserve"> to </w:t>
      </w:r>
      <w:r>
        <w:rPr>
          <w:rFonts w:eastAsia="Times" w:cstheme="minorHAnsi"/>
        </w:rPr>
        <w:t>support</w:t>
      </w:r>
      <w:r w:rsidRPr="00513B5B">
        <w:rPr>
          <w:rFonts w:eastAsia="Times" w:cstheme="minorHAnsi"/>
        </w:rPr>
        <w:t xml:space="preserve"> their decision making and practices.</w:t>
      </w:r>
      <w:r>
        <w:rPr>
          <w:rFonts w:eastAsia="Times" w:cstheme="minorHAnsi"/>
        </w:rPr>
        <w:t xml:space="preserve">  </w:t>
      </w:r>
    </w:p>
    <w:p w14:paraId="18DBADC5" w14:textId="77777777" w:rsidR="008E12C4" w:rsidRPr="00513B5B" w:rsidRDefault="008E12C4" w:rsidP="00E15A5E">
      <w:pPr>
        <w:widowControl w:val="0"/>
        <w:spacing w:after="120" w:line="270" w:lineRule="atLeast"/>
        <w:rPr>
          <w:rFonts w:eastAsia="Times" w:cstheme="minorHAnsi"/>
        </w:rPr>
      </w:pPr>
    </w:p>
    <w:tbl>
      <w:tblPr>
        <w:tblStyle w:val="TableGrid"/>
        <w:tblW w:w="5000" w:type="pct"/>
        <w:shd w:val="clear" w:color="auto" w:fill="8DB3E2" w:themeFill="text2" w:themeFillTint="66"/>
        <w:tblLook w:val="04A0" w:firstRow="1" w:lastRow="0" w:firstColumn="1" w:lastColumn="0" w:noHBand="0" w:noVBand="1"/>
      </w:tblPr>
      <w:tblGrid>
        <w:gridCol w:w="10437"/>
      </w:tblGrid>
      <w:tr w:rsidR="00E15A5E" w14:paraId="2BA54276" w14:textId="77777777" w:rsidTr="00040DF6">
        <w:tc>
          <w:tcPr>
            <w:tcW w:w="5000" w:type="pct"/>
            <w:tcBorders>
              <w:top w:val="single" w:sz="12" w:space="0" w:color="FFFFFF" w:themeColor="background1"/>
              <w:left w:val="single" w:sz="12" w:space="0" w:color="FFFFFF" w:themeColor="background1"/>
              <w:bottom w:val="single" w:sz="12" w:space="0" w:color="4472C4"/>
              <w:right w:val="single" w:sz="12" w:space="0" w:color="FFFFFF" w:themeColor="background1"/>
            </w:tcBorders>
            <w:shd w:val="clear" w:color="auto" w:fill="DBE5F1" w:themeFill="accent1" w:themeFillTint="33"/>
          </w:tcPr>
          <w:p w14:paraId="207E62E9" w14:textId="77777777" w:rsidR="00E15A5E" w:rsidRDefault="00E15A5E" w:rsidP="00BD6884">
            <w:pPr>
              <w:widowControl w:val="0"/>
              <w:spacing w:after="120" w:line="270" w:lineRule="atLeast"/>
              <w:rPr>
                <w:rFonts w:eastAsia="MS Gothic" w:cstheme="minorHAnsi"/>
                <w:bCs/>
                <w:color w:val="31849B" w:themeColor="accent5" w:themeShade="BF"/>
                <w:kern w:val="32"/>
                <w:sz w:val="32"/>
                <w:szCs w:val="32"/>
              </w:rPr>
            </w:pPr>
            <w:r w:rsidRPr="00F314DB">
              <w:rPr>
                <w:rFonts w:eastAsia="Times" w:cstheme="minorHAnsi"/>
                <w:sz w:val="28"/>
                <w:szCs w:val="28"/>
              </w:rPr>
              <w:t>Guiding Principles</w:t>
            </w:r>
          </w:p>
        </w:tc>
      </w:tr>
    </w:tbl>
    <w:p w14:paraId="7DF37D15" w14:textId="77777777" w:rsidR="00E15A5E" w:rsidRDefault="00E15A5E" w:rsidP="00E15A5E">
      <w:pPr>
        <w:spacing w:after="0" w:line="270" w:lineRule="atLeast"/>
        <w:rPr>
          <w:rFonts w:eastAsia="MS Gothic" w:cstheme="minorHAnsi"/>
          <w:bCs/>
          <w:color w:val="31849B" w:themeColor="accent5" w:themeShade="BF"/>
          <w:kern w:val="32"/>
          <w:sz w:val="32"/>
          <w:szCs w:val="32"/>
        </w:rPr>
      </w:pPr>
    </w:p>
    <w:p w14:paraId="01129521" w14:textId="77777777" w:rsidR="00E15A5E" w:rsidRPr="002650A9" w:rsidRDefault="00E15A5E" w:rsidP="00E15A5E">
      <w:pPr>
        <w:spacing w:after="0" w:line="270" w:lineRule="atLeast"/>
        <w:rPr>
          <w:rFonts w:cstheme="minorHAnsi"/>
          <w:b/>
          <w:color w:val="4F81BD" w:themeColor="accent1"/>
          <w:sz w:val="28"/>
          <w:szCs w:val="28"/>
        </w:rPr>
      </w:pPr>
      <w:r w:rsidRPr="002650A9">
        <w:rPr>
          <w:rFonts w:cstheme="minorHAnsi"/>
          <w:b/>
          <w:color w:val="4F81BD" w:themeColor="accent1"/>
          <w:sz w:val="28"/>
          <w:szCs w:val="28"/>
        </w:rPr>
        <w:t>Fairness and Impartiality</w:t>
      </w:r>
    </w:p>
    <w:p w14:paraId="40EFC843" w14:textId="77777777" w:rsidR="00E15A5E" w:rsidRPr="00513B5B" w:rsidRDefault="00E15A5E" w:rsidP="00E15A5E">
      <w:pPr>
        <w:spacing w:after="120" w:line="270" w:lineRule="atLeast"/>
        <w:rPr>
          <w:rFonts w:eastAsia="Times" w:cstheme="minorHAnsi"/>
        </w:rPr>
      </w:pPr>
      <w:r w:rsidRPr="00513B5B">
        <w:rPr>
          <w:rFonts w:cstheme="minorHAnsi"/>
        </w:rPr>
        <w:t xml:space="preserve">We are independent and impartial. We respond to complaints respectfully and without bias and we give everyone the chance to have their say. </w:t>
      </w:r>
      <w:r w:rsidRPr="00513B5B">
        <w:rPr>
          <w:rFonts w:eastAsia="Times" w:cstheme="minorHAnsi"/>
        </w:rPr>
        <w:t xml:space="preserve">We do not act as an advocate for </w:t>
      </w:r>
      <w:r>
        <w:rPr>
          <w:rFonts w:eastAsia="Times" w:cstheme="minorHAnsi"/>
        </w:rPr>
        <w:t>any party.</w:t>
      </w:r>
    </w:p>
    <w:p w14:paraId="49E291CD" w14:textId="77777777" w:rsidR="00E15A5E" w:rsidRPr="002650A9" w:rsidRDefault="00E15A5E" w:rsidP="00E15A5E">
      <w:pPr>
        <w:spacing w:after="120" w:line="270" w:lineRule="atLeast"/>
        <w:rPr>
          <w:rFonts w:cstheme="minorHAnsi"/>
          <w:b/>
          <w:color w:val="4F81BD" w:themeColor="accent1"/>
          <w:sz w:val="28"/>
          <w:szCs w:val="28"/>
        </w:rPr>
      </w:pPr>
      <w:r w:rsidRPr="002650A9">
        <w:rPr>
          <w:rFonts w:cstheme="minorHAnsi"/>
          <w:b/>
          <w:color w:val="4F81BD" w:themeColor="accent1"/>
          <w:sz w:val="28"/>
          <w:szCs w:val="28"/>
        </w:rPr>
        <w:t xml:space="preserve">Integrity </w:t>
      </w:r>
      <w:r>
        <w:rPr>
          <w:rFonts w:cstheme="minorHAnsi"/>
          <w:b/>
          <w:color w:val="4F81BD" w:themeColor="accent1"/>
          <w:sz w:val="28"/>
          <w:szCs w:val="28"/>
        </w:rPr>
        <w:t>and Respect</w:t>
      </w:r>
    </w:p>
    <w:p w14:paraId="14003426" w14:textId="77777777" w:rsidR="00E15A5E" w:rsidRPr="002B5D66" w:rsidRDefault="00E15A5E" w:rsidP="00E15A5E">
      <w:pPr>
        <w:spacing w:after="120" w:line="270" w:lineRule="atLeast"/>
        <w:rPr>
          <w:rFonts w:eastAsia="Times" w:cstheme="minorHAnsi"/>
        </w:rPr>
      </w:pPr>
      <w:r w:rsidRPr="002B5D66">
        <w:rPr>
          <w:rFonts w:eastAsia="Times" w:cstheme="minorHAnsi"/>
        </w:rPr>
        <w:t>We are open, honest and transparent in our actions and decisions. We take actions and make decisions based on our independent assessment of the facts, the law and the public interest. We maintain high professional standards when delivering our services and we tre</w:t>
      </w:r>
      <w:r>
        <w:rPr>
          <w:rFonts w:eastAsia="Times" w:cstheme="minorHAnsi"/>
        </w:rPr>
        <w:t>at complainants and agencies</w:t>
      </w:r>
      <w:r w:rsidRPr="002B5D66">
        <w:rPr>
          <w:rFonts w:eastAsia="Times" w:cstheme="minorHAnsi"/>
        </w:rPr>
        <w:t xml:space="preserve"> with dignity and respect.</w:t>
      </w:r>
    </w:p>
    <w:p w14:paraId="66DD6500" w14:textId="77777777" w:rsidR="00E15A5E" w:rsidRPr="002650A9" w:rsidRDefault="00E15A5E" w:rsidP="00E15A5E">
      <w:pPr>
        <w:spacing w:after="120" w:line="270" w:lineRule="atLeast"/>
        <w:rPr>
          <w:rFonts w:eastAsia="Times" w:cstheme="minorHAnsi"/>
          <w:color w:val="4F81BD" w:themeColor="accent1"/>
          <w:sz w:val="20"/>
          <w:szCs w:val="20"/>
        </w:rPr>
      </w:pPr>
      <w:r w:rsidRPr="002650A9">
        <w:rPr>
          <w:rFonts w:cstheme="minorHAnsi"/>
          <w:b/>
          <w:color w:val="4F81BD" w:themeColor="accent1"/>
          <w:sz w:val="28"/>
          <w:szCs w:val="28"/>
        </w:rPr>
        <w:t>Accessibility and Responsiveness</w:t>
      </w:r>
    </w:p>
    <w:p w14:paraId="5678B0FA" w14:textId="77777777" w:rsidR="00E15A5E" w:rsidRPr="00513B5B" w:rsidRDefault="00E15A5E" w:rsidP="00E15A5E">
      <w:pPr>
        <w:spacing w:after="120" w:line="270" w:lineRule="atLeast"/>
        <w:rPr>
          <w:rFonts w:eastAsia="Times" w:cstheme="minorHAnsi"/>
        </w:rPr>
      </w:pPr>
      <w:r w:rsidRPr="00513B5B">
        <w:rPr>
          <w:rFonts w:eastAsia="Times" w:cstheme="minorHAnsi"/>
        </w:rPr>
        <w:t>We are responsive</w:t>
      </w:r>
      <w:r>
        <w:rPr>
          <w:rFonts w:eastAsia="Times" w:cstheme="minorHAnsi"/>
        </w:rPr>
        <w:t xml:space="preserve"> </w:t>
      </w:r>
      <w:r w:rsidRPr="00513B5B">
        <w:rPr>
          <w:rFonts w:eastAsia="Times" w:cstheme="minorHAnsi"/>
        </w:rPr>
        <w:t>and adapt our approaches to meet people’s individual needs. Our service</w:t>
      </w:r>
      <w:r>
        <w:rPr>
          <w:rFonts w:eastAsia="Times" w:cstheme="minorHAnsi"/>
        </w:rPr>
        <w:t>s are</w:t>
      </w:r>
      <w:r w:rsidRPr="00513B5B">
        <w:rPr>
          <w:rFonts w:eastAsia="Times" w:cstheme="minorHAnsi"/>
        </w:rPr>
        <w:t xml:space="preserve"> free, and we strive to ensure everyone can access and use our information and services. We respond to</w:t>
      </w:r>
      <w:r>
        <w:rPr>
          <w:rFonts w:eastAsia="Times" w:cstheme="minorHAnsi"/>
        </w:rPr>
        <w:t xml:space="preserve"> complaints quickly. If we are unable to assist, </w:t>
      </w:r>
      <w:r w:rsidRPr="00513B5B">
        <w:rPr>
          <w:rFonts w:eastAsia="Times" w:cstheme="minorHAnsi"/>
        </w:rPr>
        <w:t>we explain why and try to suggest alternative action</w:t>
      </w:r>
      <w:r>
        <w:rPr>
          <w:rFonts w:eastAsia="Times" w:cstheme="minorHAnsi"/>
        </w:rPr>
        <w:t>s</w:t>
      </w:r>
      <w:r w:rsidRPr="00513B5B">
        <w:rPr>
          <w:rFonts w:eastAsia="Times" w:cstheme="minorHAnsi"/>
        </w:rPr>
        <w:t>. We are committed to making our written material easy to read and understand, and to developing simple processes that are easy to navigate. We help people to clarify the details of their complaints to enable a speedy resolution.</w:t>
      </w:r>
    </w:p>
    <w:p w14:paraId="6F2A49F3" w14:textId="77777777" w:rsidR="00E15A5E" w:rsidRPr="002650A9" w:rsidRDefault="00E15A5E" w:rsidP="00E15A5E">
      <w:pPr>
        <w:spacing w:after="120" w:line="270" w:lineRule="atLeast"/>
        <w:rPr>
          <w:rFonts w:eastAsia="Times" w:cstheme="minorHAnsi"/>
          <w:b/>
          <w:color w:val="4F81BD" w:themeColor="accent1"/>
          <w:sz w:val="20"/>
          <w:szCs w:val="20"/>
        </w:rPr>
      </w:pPr>
      <w:r w:rsidRPr="002650A9">
        <w:rPr>
          <w:rFonts w:eastAsia="Times" w:cstheme="minorHAnsi"/>
          <w:b/>
          <w:color w:val="4F81BD" w:themeColor="accent1"/>
          <w:sz w:val="28"/>
          <w:szCs w:val="28"/>
        </w:rPr>
        <w:t>Proportionality and Value-adding</w:t>
      </w:r>
    </w:p>
    <w:p w14:paraId="4463D508" w14:textId="77777777" w:rsidR="00E15A5E" w:rsidRDefault="00E15A5E" w:rsidP="00E15A5E">
      <w:pPr>
        <w:widowControl w:val="0"/>
        <w:spacing w:after="120" w:line="270" w:lineRule="atLeast"/>
        <w:rPr>
          <w:rFonts w:eastAsia="Times" w:cstheme="minorHAnsi"/>
        </w:rPr>
      </w:pPr>
      <w:r w:rsidRPr="00513B5B">
        <w:rPr>
          <w:rFonts w:eastAsia="Times" w:cstheme="minorHAnsi"/>
        </w:rPr>
        <w:t>We establish processes and seek resolutions that are appropriate to the complaint and ensure complainants are given realistic expectations about what can be achieved. We aim to identify practical solutions to problems</w:t>
      </w:r>
      <w:r>
        <w:rPr>
          <w:rFonts w:eastAsia="Times" w:cstheme="minorHAnsi"/>
        </w:rPr>
        <w:t xml:space="preserve">, resolve issues by mediation and conciliation wherever possible, </w:t>
      </w:r>
      <w:r w:rsidRPr="00513B5B">
        <w:rPr>
          <w:rFonts w:eastAsia="Times" w:cstheme="minorHAnsi"/>
        </w:rPr>
        <w:t xml:space="preserve">and bring about improvements in the processes of the </w:t>
      </w:r>
      <w:r>
        <w:rPr>
          <w:rFonts w:eastAsia="Times" w:cstheme="minorHAnsi"/>
        </w:rPr>
        <w:t xml:space="preserve">NQF </w:t>
      </w:r>
      <w:r w:rsidRPr="00513B5B">
        <w:rPr>
          <w:rFonts w:eastAsia="Times" w:cstheme="minorHAnsi"/>
        </w:rPr>
        <w:t xml:space="preserve">agencies </w:t>
      </w:r>
      <w:r>
        <w:rPr>
          <w:rFonts w:eastAsia="Times" w:cstheme="minorHAnsi"/>
        </w:rPr>
        <w:t>where necessary.</w:t>
      </w:r>
    </w:p>
    <w:p w14:paraId="641E509F" w14:textId="77777777" w:rsidR="008E12C4" w:rsidRPr="00513B5B" w:rsidRDefault="008E12C4" w:rsidP="00E15A5E">
      <w:pPr>
        <w:widowControl w:val="0"/>
        <w:spacing w:after="120" w:line="270" w:lineRule="atLeast"/>
        <w:rPr>
          <w:rFonts w:eastAsia="Times" w:cstheme="minorHAnsi"/>
        </w:rPr>
      </w:pPr>
    </w:p>
    <w:tbl>
      <w:tblPr>
        <w:tblStyle w:val="TableGrid"/>
        <w:tblW w:w="5000" w:type="pct"/>
        <w:shd w:val="clear" w:color="auto" w:fill="DBE5F1" w:themeFill="accent1" w:themeFillTint="33"/>
        <w:tblLook w:val="04A0" w:firstRow="1" w:lastRow="0" w:firstColumn="1" w:lastColumn="0" w:noHBand="0" w:noVBand="1"/>
      </w:tblPr>
      <w:tblGrid>
        <w:gridCol w:w="10437"/>
      </w:tblGrid>
      <w:tr w:rsidR="00E15A5E" w14:paraId="54CC1FC9" w14:textId="77777777" w:rsidTr="00434CB9">
        <w:tc>
          <w:tcPr>
            <w:tcW w:w="5000" w:type="pct"/>
            <w:tcBorders>
              <w:top w:val="single" w:sz="12" w:space="0" w:color="FFFFFF" w:themeColor="background1"/>
              <w:left w:val="single" w:sz="12" w:space="0" w:color="FFFFFF" w:themeColor="background1"/>
              <w:bottom w:val="single" w:sz="12" w:space="0" w:color="365F91" w:themeColor="accent1" w:themeShade="BF"/>
              <w:right w:val="single" w:sz="12" w:space="0" w:color="FFFFFF" w:themeColor="background1"/>
            </w:tcBorders>
            <w:shd w:val="clear" w:color="auto" w:fill="DBE5F1" w:themeFill="accent1" w:themeFillTint="33"/>
          </w:tcPr>
          <w:p w14:paraId="44F06128" w14:textId="77777777" w:rsidR="00E15A5E" w:rsidRDefault="00E15A5E" w:rsidP="0080151D">
            <w:pPr>
              <w:keepNext/>
              <w:widowControl w:val="0"/>
              <w:spacing w:after="120" w:line="270" w:lineRule="atLeast"/>
              <w:rPr>
                <w:rFonts w:eastAsia="Times" w:cstheme="minorHAnsi"/>
                <w:sz w:val="28"/>
                <w:szCs w:val="28"/>
              </w:rPr>
            </w:pPr>
            <w:r w:rsidRPr="00F314DB">
              <w:rPr>
                <w:rFonts w:eastAsia="Times" w:cstheme="minorHAnsi"/>
                <w:sz w:val="28"/>
                <w:szCs w:val="28"/>
              </w:rPr>
              <w:t>Key challenges for the period</w:t>
            </w:r>
          </w:p>
        </w:tc>
      </w:tr>
    </w:tbl>
    <w:p w14:paraId="35EC3D35" w14:textId="77777777" w:rsidR="00E15A5E" w:rsidRDefault="00E15A5E" w:rsidP="0080151D">
      <w:pPr>
        <w:keepNext/>
        <w:widowControl w:val="0"/>
        <w:spacing w:after="120" w:line="270" w:lineRule="atLeast"/>
        <w:rPr>
          <w:rFonts w:cstheme="minorHAnsi"/>
          <w:color w:val="000000" w:themeColor="text1"/>
        </w:rPr>
      </w:pPr>
    </w:p>
    <w:p w14:paraId="42F4F644" w14:textId="77777777" w:rsidR="00E15A5E" w:rsidRPr="007D1435" w:rsidRDefault="00E15A5E" w:rsidP="0080151D">
      <w:pPr>
        <w:keepNext/>
        <w:widowControl w:val="0"/>
        <w:spacing w:after="120" w:line="270" w:lineRule="atLeast"/>
        <w:rPr>
          <w:rFonts w:cstheme="minorHAnsi"/>
          <w:color w:val="000000" w:themeColor="text1"/>
        </w:rPr>
      </w:pPr>
      <w:r>
        <w:rPr>
          <w:rFonts w:cstheme="minorHAnsi"/>
          <w:color w:val="000000" w:themeColor="text1"/>
        </w:rPr>
        <w:t xml:space="preserve">Key </w:t>
      </w:r>
      <w:r w:rsidRPr="007D1435">
        <w:rPr>
          <w:rFonts w:cstheme="minorHAnsi"/>
          <w:color w:val="000000" w:themeColor="text1"/>
        </w:rPr>
        <w:t>challenges facing the office during the period are:</w:t>
      </w:r>
    </w:p>
    <w:p w14:paraId="4A986AA4" w14:textId="77777777" w:rsidR="00E15A5E" w:rsidRDefault="00E15A5E" w:rsidP="00890F60">
      <w:pPr>
        <w:pStyle w:val="ListParagraph"/>
        <w:widowControl w:val="0"/>
        <w:numPr>
          <w:ilvl w:val="0"/>
          <w:numId w:val="6"/>
        </w:numPr>
        <w:spacing w:after="120" w:line="270" w:lineRule="atLeast"/>
        <w:rPr>
          <w:rFonts w:cstheme="minorHAnsi"/>
          <w:color w:val="000000" w:themeColor="text1"/>
        </w:rPr>
      </w:pPr>
      <w:r w:rsidRPr="00247E5C">
        <w:rPr>
          <w:rFonts w:cstheme="minorHAnsi"/>
          <w:color w:val="000000" w:themeColor="text1"/>
        </w:rPr>
        <w:t xml:space="preserve">Establishing </w:t>
      </w:r>
      <w:r>
        <w:rPr>
          <w:rFonts w:cstheme="minorHAnsi"/>
          <w:color w:val="000000" w:themeColor="text1"/>
        </w:rPr>
        <w:t xml:space="preserve">stronger relationships </w:t>
      </w:r>
      <w:r w:rsidRPr="00247E5C">
        <w:rPr>
          <w:rFonts w:cstheme="minorHAnsi"/>
          <w:color w:val="000000" w:themeColor="text1"/>
        </w:rPr>
        <w:t xml:space="preserve">with other complaint handling bodies to ensure </w:t>
      </w:r>
      <w:r>
        <w:rPr>
          <w:rFonts w:cstheme="minorHAnsi"/>
          <w:color w:val="000000" w:themeColor="text1"/>
        </w:rPr>
        <w:t>sharing of information and consistency of practice where appropriate.</w:t>
      </w:r>
    </w:p>
    <w:p w14:paraId="543FEA8C" w14:textId="77777777" w:rsidR="00E15A5E" w:rsidRDefault="00E15A5E" w:rsidP="00890F60">
      <w:pPr>
        <w:pStyle w:val="ListParagraph"/>
        <w:widowControl w:val="0"/>
        <w:numPr>
          <w:ilvl w:val="0"/>
          <w:numId w:val="6"/>
        </w:numPr>
        <w:spacing w:after="120" w:line="270" w:lineRule="atLeast"/>
        <w:rPr>
          <w:rFonts w:cstheme="minorHAnsi"/>
          <w:color w:val="000000" w:themeColor="text1"/>
        </w:rPr>
      </w:pPr>
      <w:r w:rsidRPr="00247E5C">
        <w:rPr>
          <w:rFonts w:cstheme="minorHAnsi"/>
          <w:color w:val="000000" w:themeColor="text1"/>
        </w:rPr>
        <w:t>Ensuring the role of the office is known, understood and valued by stakeholders and the public.</w:t>
      </w:r>
    </w:p>
    <w:p w14:paraId="3315D5F3" w14:textId="77777777" w:rsidR="00E15A5E" w:rsidRPr="00196691" w:rsidRDefault="00E15A5E" w:rsidP="00890F60">
      <w:pPr>
        <w:pStyle w:val="ListParagraph"/>
        <w:widowControl w:val="0"/>
        <w:numPr>
          <w:ilvl w:val="0"/>
          <w:numId w:val="6"/>
        </w:numPr>
        <w:spacing w:after="120" w:line="270" w:lineRule="atLeast"/>
        <w:rPr>
          <w:rFonts w:cstheme="minorHAnsi"/>
          <w:color w:val="000000" w:themeColor="text1"/>
        </w:rPr>
      </w:pPr>
      <w:r>
        <w:rPr>
          <w:rFonts w:cstheme="minorHAnsi"/>
          <w:color w:val="000000" w:themeColor="text1"/>
        </w:rPr>
        <w:t>Developing resources to support the NQF agencies in their responsibilities under the FOI and Privacy Acts.</w:t>
      </w:r>
    </w:p>
    <w:p w14:paraId="67BDA3FE" w14:textId="383A5384" w:rsidR="00E15A5E" w:rsidRDefault="00E15A5E" w:rsidP="00890F60">
      <w:pPr>
        <w:pStyle w:val="ListParagraph"/>
        <w:widowControl w:val="0"/>
        <w:numPr>
          <w:ilvl w:val="0"/>
          <w:numId w:val="6"/>
        </w:numPr>
        <w:spacing w:after="120" w:line="270" w:lineRule="atLeast"/>
        <w:rPr>
          <w:rFonts w:cstheme="minorHAnsi"/>
          <w:color w:val="000000" w:themeColor="text1"/>
        </w:rPr>
      </w:pPr>
      <w:r>
        <w:rPr>
          <w:rFonts w:cstheme="minorHAnsi"/>
          <w:color w:val="000000" w:themeColor="text1"/>
        </w:rPr>
        <w:t xml:space="preserve">Ensuring </w:t>
      </w:r>
      <w:r w:rsidRPr="006073B2">
        <w:rPr>
          <w:rFonts w:cstheme="minorHAnsi"/>
          <w:color w:val="000000" w:themeColor="text1"/>
        </w:rPr>
        <w:t>effective policies, procedures and systems are in place to support the work of the office.</w:t>
      </w:r>
    </w:p>
    <w:p w14:paraId="1A0A6CFF" w14:textId="77777777" w:rsidR="00BA55E3" w:rsidRPr="0001796F" w:rsidRDefault="00BA55E3" w:rsidP="00BA55E3">
      <w:pPr>
        <w:pStyle w:val="ListParagraph"/>
        <w:widowControl w:val="0"/>
        <w:spacing w:after="120" w:line="270" w:lineRule="atLeast"/>
        <w:rPr>
          <w:rFonts w:cstheme="minorHAnsi"/>
          <w:color w:val="000000" w:themeColor="text1"/>
        </w:rPr>
      </w:pPr>
    </w:p>
    <w:tbl>
      <w:tblPr>
        <w:tblStyle w:val="TableGrid"/>
        <w:tblW w:w="5000" w:type="pct"/>
        <w:shd w:val="clear" w:color="auto" w:fill="DBE5F1" w:themeFill="accent1" w:themeFillTint="33"/>
        <w:tblLook w:val="04A0" w:firstRow="1" w:lastRow="0" w:firstColumn="1" w:lastColumn="0" w:noHBand="0" w:noVBand="1"/>
      </w:tblPr>
      <w:tblGrid>
        <w:gridCol w:w="10437"/>
      </w:tblGrid>
      <w:tr w:rsidR="00E15A5E" w14:paraId="1DE42312" w14:textId="77777777" w:rsidTr="00434CB9">
        <w:tc>
          <w:tcPr>
            <w:tcW w:w="5000" w:type="pct"/>
            <w:tcBorders>
              <w:top w:val="single" w:sz="12" w:space="0" w:color="FFFFFF" w:themeColor="background1"/>
              <w:left w:val="single" w:sz="12" w:space="0" w:color="FFFFFF" w:themeColor="background1"/>
              <w:bottom w:val="single" w:sz="12" w:space="0" w:color="365F91" w:themeColor="accent1" w:themeShade="BF"/>
              <w:right w:val="single" w:sz="12" w:space="0" w:color="FFFFFF" w:themeColor="background1"/>
            </w:tcBorders>
            <w:shd w:val="clear" w:color="auto" w:fill="DBE5F1" w:themeFill="accent1" w:themeFillTint="33"/>
          </w:tcPr>
          <w:p w14:paraId="71492382" w14:textId="77777777" w:rsidR="00E15A5E" w:rsidRPr="00B31F34" w:rsidRDefault="00E15A5E" w:rsidP="00BD6884">
            <w:pPr>
              <w:widowControl w:val="0"/>
              <w:spacing w:after="120" w:line="270" w:lineRule="atLeast"/>
              <w:rPr>
                <w:sz w:val="28"/>
                <w:szCs w:val="28"/>
              </w:rPr>
            </w:pPr>
            <w:r w:rsidRPr="00F314DB">
              <w:rPr>
                <w:rFonts w:eastAsia="Times" w:cstheme="minorHAnsi"/>
                <w:sz w:val="28"/>
                <w:szCs w:val="28"/>
              </w:rPr>
              <w:t>Objectives*</w:t>
            </w:r>
          </w:p>
        </w:tc>
      </w:tr>
    </w:tbl>
    <w:p w14:paraId="5422324B" w14:textId="77777777" w:rsidR="00E15A5E" w:rsidRDefault="00E15A5E" w:rsidP="00E15A5E">
      <w:pPr>
        <w:spacing w:after="0"/>
        <w:rPr>
          <w:sz w:val="20"/>
          <w:szCs w:val="20"/>
        </w:rPr>
      </w:pPr>
    </w:p>
    <w:p w14:paraId="3EF04F66" w14:textId="77777777" w:rsidR="00E15A5E" w:rsidRPr="005944E1" w:rsidRDefault="00E15A5E" w:rsidP="00E15A5E">
      <w:pPr>
        <w:spacing w:after="0"/>
      </w:pPr>
      <w:r w:rsidRPr="005944E1">
        <w:t>* The objectives, strategies and performance indicators ref</w:t>
      </w:r>
      <w:r>
        <w:t>er to each of the Commissioners’</w:t>
      </w:r>
      <w:r w:rsidRPr="005944E1">
        <w:t xml:space="preserve"> and Ombudsman’s roles unless otherwise identified. </w:t>
      </w:r>
      <w:r>
        <w:t>T</w:t>
      </w:r>
      <w:r w:rsidRPr="005944E1">
        <w:t xml:space="preserve">he </w:t>
      </w:r>
      <w:r>
        <w:t>term</w:t>
      </w:r>
      <w:r w:rsidRPr="005944E1">
        <w:t xml:space="preserve"> </w:t>
      </w:r>
      <w:r>
        <w:t>“legislation”</w:t>
      </w:r>
      <w:r w:rsidRPr="005944E1">
        <w:t xml:space="preserve"> refers collectively to the legislation identified under </w:t>
      </w:r>
      <w:r w:rsidRPr="005944E1">
        <w:rPr>
          <w:i/>
        </w:rPr>
        <w:t>Legislative Framework</w:t>
      </w:r>
      <w:r w:rsidRPr="005944E1">
        <w:t xml:space="preserve"> above.</w:t>
      </w:r>
    </w:p>
    <w:p w14:paraId="2422C1F7" w14:textId="77777777" w:rsidR="00E15A5E" w:rsidRDefault="00E15A5E" w:rsidP="00E15A5E">
      <w:pPr>
        <w:spacing w:after="0"/>
        <w:rPr>
          <w:sz w:val="20"/>
          <w:szCs w:val="20"/>
        </w:rPr>
      </w:pPr>
    </w:p>
    <w:p w14:paraId="6477E643" w14:textId="77777777" w:rsidR="00E15A5E" w:rsidRPr="00A00E2A" w:rsidRDefault="00E15A5E" w:rsidP="00E15A5E">
      <w:pPr>
        <w:spacing w:after="0"/>
        <w:rPr>
          <w:sz w:val="20"/>
          <w:szCs w:val="20"/>
        </w:rPr>
      </w:pPr>
    </w:p>
    <w:tbl>
      <w:tblPr>
        <w:tblStyle w:val="GridTable6Colorful-Accent5"/>
        <w:tblW w:w="5000" w:type="pct"/>
        <w:tblLook w:val="04A0" w:firstRow="1" w:lastRow="0" w:firstColumn="1" w:lastColumn="0" w:noHBand="0" w:noVBand="1"/>
      </w:tblPr>
      <w:tblGrid>
        <w:gridCol w:w="5218"/>
        <w:gridCol w:w="5219"/>
      </w:tblGrid>
      <w:tr w:rsidR="00E15A5E" w14:paraId="2719F246" w14:textId="77777777" w:rsidTr="006358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2F2F2"/>
          </w:tcPr>
          <w:p w14:paraId="5C69FB23" w14:textId="79AC3DC0" w:rsidR="00E15A5E" w:rsidRPr="00BA55E3" w:rsidRDefault="00E15A5E" w:rsidP="00BA55E3">
            <w:pPr>
              <w:autoSpaceDE w:val="0"/>
              <w:autoSpaceDN w:val="0"/>
              <w:adjustRightInd w:val="0"/>
              <w:spacing w:afterLines="120" w:after="288"/>
              <w:rPr>
                <w:rFonts w:cstheme="minorHAnsi"/>
                <w:color w:val="auto"/>
                <w:sz w:val="24"/>
                <w:szCs w:val="24"/>
              </w:rPr>
            </w:pPr>
            <w:r w:rsidRPr="00BA55E3">
              <w:rPr>
                <w:rFonts w:cstheme="minorHAnsi"/>
                <w:bCs w:val="0"/>
                <w:color w:val="auto"/>
                <w:sz w:val="24"/>
                <w:szCs w:val="24"/>
              </w:rPr>
              <w:t>1. Provide i</w:t>
            </w:r>
            <w:r w:rsidRPr="00BA55E3">
              <w:rPr>
                <w:rFonts w:cstheme="minorHAnsi"/>
                <w:color w:val="auto"/>
                <w:sz w:val="24"/>
                <w:szCs w:val="24"/>
              </w:rPr>
              <w:t>ndependent, fair and timely complaint handling and review services</w:t>
            </w:r>
          </w:p>
          <w:p w14:paraId="3314A0E5" w14:textId="58655F39" w:rsidR="00E15A5E" w:rsidRPr="00F35042" w:rsidRDefault="00E15A5E" w:rsidP="00F35042">
            <w:pPr>
              <w:autoSpaceDE w:val="0"/>
              <w:autoSpaceDN w:val="0"/>
              <w:adjustRightInd w:val="0"/>
              <w:rPr>
                <w:rFonts w:cstheme="minorHAnsi"/>
                <w:color w:val="211D1E"/>
              </w:rPr>
            </w:pPr>
            <w:r w:rsidRPr="00F35042">
              <w:rPr>
                <w:rFonts w:cstheme="minorHAnsi"/>
                <w:color w:val="211D1E"/>
              </w:rPr>
              <w:t>Outcome</w:t>
            </w:r>
          </w:p>
          <w:p w14:paraId="3203B6A6" w14:textId="5C1F5D4E" w:rsidR="00E15A5E" w:rsidRPr="00BA55E3" w:rsidRDefault="00E15A5E" w:rsidP="00BA55E3">
            <w:pPr>
              <w:autoSpaceDE w:val="0"/>
              <w:autoSpaceDN w:val="0"/>
              <w:adjustRightInd w:val="0"/>
              <w:spacing w:afterLines="120" w:after="288"/>
              <w:rPr>
                <w:rFonts w:cstheme="minorHAnsi"/>
                <w:b w:val="0"/>
                <w:color w:val="auto"/>
              </w:rPr>
            </w:pPr>
            <w:r w:rsidRPr="00BA55E3">
              <w:rPr>
                <w:rFonts w:cstheme="minorHAnsi"/>
                <w:b w:val="0"/>
                <w:color w:val="auto"/>
              </w:rPr>
              <w:t>Independent and accessible complaint, review and investigation that is recognised as fair and reasonable by those involved.</w:t>
            </w:r>
          </w:p>
          <w:p w14:paraId="59554708" w14:textId="3CB9ACA8" w:rsidR="00E15A5E" w:rsidRPr="00F35042" w:rsidRDefault="00E15A5E" w:rsidP="00F35042">
            <w:pPr>
              <w:autoSpaceDE w:val="0"/>
              <w:autoSpaceDN w:val="0"/>
              <w:adjustRightInd w:val="0"/>
              <w:rPr>
                <w:rFonts w:cstheme="minorHAnsi"/>
                <w:color w:val="211D1E"/>
              </w:rPr>
            </w:pPr>
            <w:r w:rsidRPr="00F35042">
              <w:rPr>
                <w:rFonts w:cstheme="minorHAnsi"/>
                <w:color w:val="211D1E"/>
              </w:rPr>
              <w:t>Strategies</w:t>
            </w:r>
          </w:p>
          <w:p w14:paraId="1A066E0F" w14:textId="48BE69F7" w:rsidR="00E15A5E" w:rsidRPr="00BA55E3" w:rsidRDefault="00E15A5E" w:rsidP="00BA55E3">
            <w:pPr>
              <w:autoSpaceDE w:val="0"/>
              <w:autoSpaceDN w:val="0"/>
              <w:adjustRightInd w:val="0"/>
              <w:spacing w:afterLines="120" w:after="288"/>
              <w:rPr>
                <w:rFonts w:cstheme="minorHAnsi"/>
                <w:b w:val="0"/>
                <w:color w:val="auto"/>
              </w:rPr>
            </w:pPr>
            <w:r w:rsidRPr="00BA55E3">
              <w:rPr>
                <w:rFonts w:cstheme="minorHAnsi"/>
                <w:b w:val="0"/>
                <w:color w:val="auto"/>
              </w:rPr>
              <w:t>Provide timely and effective assessment and investigation of complaints and requests for FOI Decision Review.</w:t>
            </w:r>
          </w:p>
          <w:p w14:paraId="682E595F" w14:textId="76A09B77" w:rsidR="00E15A5E" w:rsidRPr="00BA55E3" w:rsidRDefault="00E15A5E" w:rsidP="00BA55E3">
            <w:pPr>
              <w:autoSpaceDE w:val="0"/>
              <w:autoSpaceDN w:val="0"/>
              <w:adjustRightInd w:val="0"/>
              <w:spacing w:afterLines="120" w:after="288"/>
              <w:rPr>
                <w:rFonts w:cstheme="minorHAnsi"/>
                <w:b w:val="0"/>
                <w:color w:val="auto"/>
              </w:rPr>
            </w:pPr>
            <w:r w:rsidRPr="00BA55E3">
              <w:rPr>
                <w:rFonts w:cstheme="minorHAnsi"/>
                <w:b w:val="0"/>
                <w:color w:val="auto"/>
              </w:rPr>
              <w:t>Establish comprehensive case and knowledge management systems to support timely, accurate decision-making.</w:t>
            </w:r>
          </w:p>
          <w:p w14:paraId="663C971F" w14:textId="37DA6162" w:rsidR="00E15A5E" w:rsidRPr="00BA55E3" w:rsidRDefault="00E15A5E" w:rsidP="00BA55E3">
            <w:pPr>
              <w:autoSpaceDE w:val="0"/>
              <w:autoSpaceDN w:val="0"/>
              <w:adjustRightInd w:val="0"/>
              <w:spacing w:afterLines="120" w:after="288"/>
              <w:rPr>
                <w:rFonts w:cstheme="minorHAnsi"/>
                <w:b w:val="0"/>
                <w:color w:val="auto"/>
              </w:rPr>
            </w:pPr>
            <w:r w:rsidRPr="00BA55E3">
              <w:rPr>
                <w:rFonts w:cstheme="minorHAnsi"/>
                <w:b w:val="0"/>
                <w:color w:val="auto"/>
              </w:rPr>
              <w:t>Resolve complaints using flexible approaches.</w:t>
            </w:r>
          </w:p>
          <w:p w14:paraId="3644873C" w14:textId="72BB0C11" w:rsidR="00E15A5E" w:rsidRPr="00BA55E3" w:rsidRDefault="00E15A5E" w:rsidP="00BA55E3">
            <w:pPr>
              <w:autoSpaceDE w:val="0"/>
              <w:autoSpaceDN w:val="0"/>
              <w:adjustRightInd w:val="0"/>
              <w:spacing w:afterLines="120" w:after="288"/>
              <w:rPr>
                <w:rFonts w:cstheme="minorHAnsi"/>
                <w:b w:val="0"/>
                <w:color w:val="auto"/>
              </w:rPr>
            </w:pPr>
            <w:r w:rsidRPr="00BA55E3">
              <w:rPr>
                <w:rFonts w:cstheme="minorHAnsi"/>
                <w:b w:val="0"/>
                <w:color w:val="auto"/>
              </w:rPr>
              <w:t>Engage with NQF agencies to support their understanding of their responsibilities under the legislation and the role and investigation and review processes of the office.</w:t>
            </w:r>
          </w:p>
          <w:p w14:paraId="1B91633C" w14:textId="102C5416" w:rsidR="00E15A5E" w:rsidRPr="00F35042" w:rsidRDefault="00E15A5E" w:rsidP="00F35042">
            <w:pPr>
              <w:autoSpaceDE w:val="0"/>
              <w:autoSpaceDN w:val="0"/>
              <w:adjustRightInd w:val="0"/>
              <w:rPr>
                <w:rFonts w:cstheme="minorHAnsi"/>
                <w:color w:val="211D1E"/>
              </w:rPr>
            </w:pPr>
            <w:r w:rsidRPr="00F35042">
              <w:rPr>
                <w:rFonts w:cstheme="minorHAnsi"/>
                <w:color w:val="211D1E"/>
              </w:rPr>
              <w:t>Key performance indicators</w:t>
            </w:r>
          </w:p>
          <w:p w14:paraId="3398BEC1" w14:textId="77777777" w:rsidR="00E15A5E" w:rsidRPr="00BA55E3" w:rsidRDefault="00E15A5E" w:rsidP="00BA55E3">
            <w:pPr>
              <w:autoSpaceDE w:val="0"/>
              <w:autoSpaceDN w:val="0"/>
              <w:adjustRightInd w:val="0"/>
              <w:spacing w:afterLines="120" w:after="288"/>
              <w:rPr>
                <w:rFonts w:cstheme="minorHAnsi"/>
                <w:b w:val="0"/>
                <w:color w:val="auto"/>
              </w:rPr>
            </w:pPr>
            <w:r w:rsidRPr="00BA55E3">
              <w:rPr>
                <w:rFonts w:cstheme="minorHAnsi"/>
                <w:b w:val="0"/>
                <w:color w:val="auto"/>
              </w:rPr>
              <w:t>Percent of receipt of complaints/review requests acknowledged within 3 working days (100%).</w:t>
            </w:r>
          </w:p>
          <w:p w14:paraId="05DAB04F" w14:textId="77777777" w:rsidR="00E15A5E" w:rsidRPr="00BA55E3" w:rsidRDefault="00E15A5E" w:rsidP="00BA55E3">
            <w:pPr>
              <w:autoSpaceDE w:val="0"/>
              <w:autoSpaceDN w:val="0"/>
              <w:adjustRightInd w:val="0"/>
              <w:spacing w:afterLines="120" w:after="288"/>
              <w:rPr>
                <w:rFonts w:cstheme="minorHAnsi"/>
                <w:b w:val="0"/>
                <w:color w:val="auto"/>
              </w:rPr>
            </w:pPr>
            <w:r w:rsidRPr="00BA55E3">
              <w:rPr>
                <w:rFonts w:cstheme="minorHAnsi"/>
                <w:b w:val="0"/>
                <w:color w:val="auto"/>
              </w:rPr>
              <w:t>Percent of preliminary assessments of complaints/review requests completed within 10 days (Target 100%).</w:t>
            </w:r>
          </w:p>
          <w:p w14:paraId="31AA7109" w14:textId="77777777" w:rsidR="00E15A5E" w:rsidRPr="00BA55E3" w:rsidRDefault="00E15A5E" w:rsidP="00BA55E3">
            <w:pPr>
              <w:autoSpaceDE w:val="0"/>
              <w:autoSpaceDN w:val="0"/>
              <w:adjustRightInd w:val="0"/>
              <w:spacing w:afterLines="120" w:after="288"/>
              <w:rPr>
                <w:rFonts w:cstheme="minorHAnsi"/>
                <w:b w:val="0"/>
                <w:color w:val="auto"/>
              </w:rPr>
            </w:pPr>
            <w:r w:rsidRPr="00BA55E3">
              <w:rPr>
                <w:rFonts w:cstheme="minorHAnsi"/>
                <w:b w:val="0"/>
                <w:color w:val="auto"/>
              </w:rPr>
              <w:t>Percent of FOI Reviews finalised within 4 months (Target 100%).</w:t>
            </w:r>
          </w:p>
          <w:p w14:paraId="72BF31CB" w14:textId="77777777" w:rsidR="00E15A5E" w:rsidRPr="00BA55E3" w:rsidRDefault="00E15A5E" w:rsidP="00BA55E3">
            <w:pPr>
              <w:autoSpaceDE w:val="0"/>
              <w:autoSpaceDN w:val="0"/>
              <w:adjustRightInd w:val="0"/>
              <w:spacing w:afterLines="120" w:after="288"/>
              <w:rPr>
                <w:rFonts w:cstheme="minorHAnsi"/>
                <w:b w:val="0"/>
                <w:color w:val="auto"/>
              </w:rPr>
            </w:pPr>
            <w:r w:rsidRPr="00BA55E3">
              <w:rPr>
                <w:rFonts w:cstheme="minorHAnsi"/>
                <w:b w:val="0"/>
                <w:color w:val="auto"/>
              </w:rPr>
              <w:t>Percent of complaints open after 12 months from lodgement (Target 0%).</w:t>
            </w:r>
          </w:p>
          <w:p w14:paraId="2BE63C8C" w14:textId="77777777" w:rsidR="00E15A5E" w:rsidRPr="00BA55E3" w:rsidRDefault="00E15A5E" w:rsidP="00BA55E3">
            <w:pPr>
              <w:autoSpaceDE w:val="0"/>
              <w:autoSpaceDN w:val="0"/>
              <w:adjustRightInd w:val="0"/>
              <w:spacing w:afterLines="120" w:after="288"/>
              <w:rPr>
                <w:rFonts w:cstheme="minorHAnsi"/>
                <w:b w:val="0"/>
                <w:color w:val="auto"/>
              </w:rPr>
            </w:pPr>
            <w:r w:rsidRPr="00BA55E3">
              <w:rPr>
                <w:rFonts w:cstheme="minorHAnsi"/>
                <w:b w:val="0"/>
                <w:color w:val="auto"/>
              </w:rPr>
              <w:t>Percent of ECS Commissioners decisions upheld following any Tribunal or Court review (100%).</w:t>
            </w:r>
          </w:p>
        </w:tc>
        <w:tc>
          <w:tcPr>
            <w:tcW w:w="2500"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E6E6E6"/>
          </w:tcPr>
          <w:p w14:paraId="2F26654A" w14:textId="432B07FF" w:rsidR="00E15A5E" w:rsidRPr="00BA55E3"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BA55E3">
              <w:rPr>
                <w:rFonts w:cstheme="minorHAnsi"/>
                <w:bCs w:val="0"/>
                <w:color w:val="auto"/>
                <w:sz w:val="24"/>
                <w:szCs w:val="24"/>
              </w:rPr>
              <w:t xml:space="preserve">2. </w:t>
            </w:r>
            <w:r w:rsidRPr="00BA55E3">
              <w:rPr>
                <w:rFonts w:cstheme="minorHAnsi"/>
                <w:color w:val="auto"/>
                <w:sz w:val="24"/>
                <w:szCs w:val="24"/>
              </w:rPr>
              <w:t xml:space="preserve">Empower individuals to resolve </w:t>
            </w:r>
            <w:r w:rsidRPr="00BA55E3">
              <w:rPr>
                <w:rFonts w:cstheme="minorHAnsi"/>
                <w:bCs w:val="0"/>
                <w:color w:val="auto"/>
                <w:sz w:val="24"/>
                <w:szCs w:val="24"/>
              </w:rPr>
              <w:t xml:space="preserve">complaints with the NQF </w:t>
            </w:r>
            <w:r w:rsidRPr="00BA55E3">
              <w:rPr>
                <w:rFonts w:cstheme="minorHAnsi"/>
                <w:color w:val="auto"/>
                <w:sz w:val="24"/>
                <w:szCs w:val="24"/>
              </w:rPr>
              <w:t>agencies and through the ECS Commissioners’ office.</w:t>
            </w:r>
          </w:p>
          <w:p w14:paraId="39874400" w14:textId="3D59AE27" w:rsidR="00E15A5E" w:rsidRPr="00BA55E3" w:rsidRDefault="00E15A5E" w:rsidP="00F3504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color w:val="auto"/>
              </w:rPr>
            </w:pPr>
            <w:r w:rsidRPr="00F35042">
              <w:rPr>
                <w:rFonts w:cstheme="minorHAnsi"/>
                <w:color w:val="211D1E"/>
              </w:rPr>
              <w:t>Outcome</w:t>
            </w:r>
          </w:p>
          <w:p w14:paraId="1A1D524D" w14:textId="7B4C39CF" w:rsidR="00E15A5E" w:rsidRPr="00BA55E3"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BA55E3">
              <w:rPr>
                <w:rFonts w:cstheme="minorHAnsi"/>
                <w:b w:val="0"/>
                <w:color w:val="auto"/>
              </w:rPr>
              <w:t>Individuals have the support, advice and information necessary to manage their complaints with the NQF agencies and the ECS Commissioners.</w:t>
            </w:r>
          </w:p>
          <w:p w14:paraId="5FD76077" w14:textId="4C359490" w:rsidR="00E15A5E" w:rsidRPr="00F35042" w:rsidRDefault="00E15A5E" w:rsidP="00F3504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color w:val="211D1E"/>
              </w:rPr>
            </w:pPr>
            <w:r w:rsidRPr="00F35042">
              <w:rPr>
                <w:rFonts w:cstheme="minorHAnsi"/>
                <w:color w:val="211D1E"/>
              </w:rPr>
              <w:t>Strategies</w:t>
            </w:r>
          </w:p>
          <w:p w14:paraId="68E3CC46" w14:textId="759A1C95" w:rsidR="00E15A5E" w:rsidRPr="00BA55E3"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BA55E3">
              <w:rPr>
                <w:rFonts w:cstheme="minorHAnsi"/>
                <w:b w:val="0"/>
                <w:color w:val="auto"/>
              </w:rPr>
              <w:t>Identify, and provide information to, key early childhood education and care stakeholders about the role and jurisdiction of the office and the obligations of NQF agencies under the legislation.</w:t>
            </w:r>
          </w:p>
          <w:p w14:paraId="27D01A46" w14:textId="7A946FC6" w:rsidR="00E15A5E" w:rsidRPr="00BA55E3"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BA55E3">
              <w:rPr>
                <w:rFonts w:cstheme="minorHAnsi"/>
                <w:b w:val="0"/>
                <w:color w:val="auto"/>
              </w:rPr>
              <w:t>Provide information and assistance to the community and NQF agencies through the inclusion of online resources and relevant external links on the office website, and the enquiry service line.</w:t>
            </w:r>
          </w:p>
          <w:p w14:paraId="3038659C" w14:textId="3ADDD8D5" w:rsidR="00E15A5E" w:rsidRPr="00BA55E3"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BA55E3">
              <w:rPr>
                <w:rFonts w:cstheme="minorHAnsi"/>
                <w:b w:val="0"/>
                <w:color w:val="auto"/>
              </w:rPr>
              <w:t>Support NQF agencies to provide clear information about the rights of clients to seek review of their decisions or complain about their actions.</w:t>
            </w:r>
          </w:p>
          <w:p w14:paraId="2E487A18" w14:textId="06454834" w:rsidR="00E15A5E" w:rsidRPr="00BA55E3"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BA55E3">
              <w:rPr>
                <w:rFonts w:cstheme="minorHAnsi"/>
                <w:b w:val="0"/>
                <w:color w:val="auto"/>
              </w:rPr>
              <w:t>Redirect premature complaints made to the office back to the NQF agencies in the first instance when appropriate.</w:t>
            </w:r>
          </w:p>
          <w:p w14:paraId="40746E73" w14:textId="6CDE9385" w:rsidR="00E15A5E" w:rsidRPr="00BA55E3"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BA55E3">
              <w:rPr>
                <w:rFonts w:cstheme="minorHAnsi"/>
                <w:b w:val="0"/>
                <w:color w:val="auto"/>
              </w:rPr>
              <w:t>Refer complaints not within the jurisdiction of the ECS Commissioners to other relevant bodies.</w:t>
            </w:r>
            <w:r w:rsidR="00F35042">
              <w:rPr>
                <w:rFonts w:cstheme="minorHAnsi"/>
                <w:b w:val="0"/>
                <w:color w:val="auto"/>
              </w:rPr>
              <w:br/>
            </w:r>
          </w:p>
          <w:p w14:paraId="0D0A5282" w14:textId="2B5175A1" w:rsidR="00E15A5E" w:rsidRPr="00F35042" w:rsidRDefault="00E15A5E" w:rsidP="0080151D">
            <w:pPr>
              <w:keepNext/>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color w:val="211D1E"/>
              </w:rPr>
            </w:pPr>
            <w:r w:rsidRPr="00F35042">
              <w:rPr>
                <w:rFonts w:cstheme="minorHAnsi"/>
                <w:color w:val="211D1E"/>
              </w:rPr>
              <w:t>Key performance indicators</w:t>
            </w:r>
          </w:p>
          <w:p w14:paraId="600BF734" w14:textId="77777777" w:rsidR="00E15A5E" w:rsidRPr="00BA55E3" w:rsidRDefault="00E15A5E" w:rsidP="0080151D">
            <w:pPr>
              <w:keepNext/>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BA55E3">
              <w:rPr>
                <w:rFonts w:cstheme="minorHAnsi"/>
                <w:b w:val="0"/>
                <w:color w:val="auto"/>
              </w:rPr>
              <w:t>Number of new resources developed and made publicly available.</w:t>
            </w:r>
          </w:p>
          <w:p w14:paraId="461765A6" w14:textId="77777777" w:rsidR="00E15A5E" w:rsidRPr="00BA55E3"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BA55E3">
              <w:rPr>
                <w:rFonts w:cstheme="minorHAnsi"/>
                <w:b w:val="0"/>
                <w:color w:val="auto"/>
              </w:rPr>
              <w:t xml:space="preserve">Level of stakeholder awareness of the role and jurisdiction of the office </w:t>
            </w:r>
          </w:p>
          <w:p w14:paraId="3B1B7310" w14:textId="1FCD7EC5" w:rsidR="00E15A5E" w:rsidRPr="00F35042" w:rsidRDefault="00E15A5E" w:rsidP="00F35042">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BA55E3">
              <w:rPr>
                <w:rFonts w:cstheme="minorHAnsi"/>
                <w:b w:val="0"/>
                <w:color w:val="auto"/>
              </w:rPr>
              <w:t>Level of client satisfaction with online resources.</w:t>
            </w:r>
          </w:p>
        </w:tc>
      </w:tr>
    </w:tbl>
    <w:p w14:paraId="29702985" w14:textId="77777777" w:rsidR="00E15A5E" w:rsidRDefault="00E15A5E" w:rsidP="00BA55E3">
      <w:pPr>
        <w:spacing w:afterLines="120" w:after="288" w:line="240" w:lineRule="auto"/>
      </w:pPr>
    </w:p>
    <w:tbl>
      <w:tblPr>
        <w:tblStyle w:val="GridTable6Colorful-Accent5"/>
        <w:tblW w:w="5000" w:type="pct"/>
        <w:tblLook w:val="04A0" w:firstRow="1" w:lastRow="0" w:firstColumn="1" w:lastColumn="0" w:noHBand="0" w:noVBand="1"/>
      </w:tblPr>
      <w:tblGrid>
        <w:gridCol w:w="5218"/>
        <w:gridCol w:w="5219"/>
      </w:tblGrid>
      <w:tr w:rsidR="00E15A5E" w14:paraId="44F0AB8B" w14:textId="77777777" w:rsidTr="006358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E6E6E6"/>
          </w:tcPr>
          <w:p w14:paraId="4ABC19AC" w14:textId="375F7F88" w:rsidR="00E15A5E" w:rsidRPr="00BA55E3" w:rsidRDefault="00E15A5E" w:rsidP="00BA55E3">
            <w:pPr>
              <w:autoSpaceDE w:val="0"/>
              <w:autoSpaceDN w:val="0"/>
              <w:adjustRightInd w:val="0"/>
              <w:spacing w:afterLines="120" w:after="288"/>
              <w:rPr>
                <w:rFonts w:cstheme="minorHAnsi"/>
                <w:color w:val="auto"/>
                <w:sz w:val="24"/>
                <w:szCs w:val="24"/>
              </w:rPr>
            </w:pPr>
            <w:r w:rsidRPr="00BA55E3">
              <w:rPr>
                <w:rFonts w:cstheme="minorHAnsi"/>
                <w:bCs w:val="0"/>
                <w:color w:val="auto"/>
                <w:sz w:val="24"/>
                <w:szCs w:val="24"/>
              </w:rPr>
              <w:t xml:space="preserve">3. Support NQF agencies to exercise </w:t>
            </w:r>
            <w:r w:rsidRPr="00BA55E3">
              <w:rPr>
                <w:rFonts w:cstheme="minorHAnsi"/>
                <w:color w:val="auto"/>
                <w:sz w:val="24"/>
                <w:szCs w:val="24"/>
              </w:rPr>
              <w:t>their responsibilities under the legislation.</w:t>
            </w:r>
          </w:p>
          <w:p w14:paraId="657C348A" w14:textId="1B9092E1" w:rsidR="00E15A5E" w:rsidRPr="000068AF" w:rsidRDefault="00E15A5E" w:rsidP="00F35042">
            <w:pPr>
              <w:autoSpaceDE w:val="0"/>
              <w:autoSpaceDN w:val="0"/>
              <w:adjustRightInd w:val="0"/>
              <w:rPr>
                <w:rFonts w:cstheme="minorHAnsi"/>
                <w:color w:val="211D1E"/>
              </w:rPr>
            </w:pPr>
            <w:r>
              <w:rPr>
                <w:rFonts w:cstheme="minorHAnsi"/>
                <w:color w:val="211D1E"/>
              </w:rPr>
              <w:t>Outcome</w:t>
            </w:r>
          </w:p>
          <w:p w14:paraId="2160B272" w14:textId="6A45FCC2" w:rsidR="00E15A5E" w:rsidRPr="000068AF" w:rsidRDefault="00E15A5E" w:rsidP="00BA55E3">
            <w:pPr>
              <w:autoSpaceDE w:val="0"/>
              <w:autoSpaceDN w:val="0"/>
              <w:adjustRightInd w:val="0"/>
              <w:spacing w:afterLines="120" w:after="288"/>
              <w:rPr>
                <w:rFonts w:cstheme="minorHAnsi"/>
                <w:b w:val="0"/>
                <w:color w:val="333632"/>
              </w:rPr>
            </w:pPr>
            <w:r>
              <w:rPr>
                <w:rFonts w:cstheme="minorHAnsi"/>
                <w:b w:val="0"/>
                <w:color w:val="333632"/>
              </w:rPr>
              <w:t>The office’s investigations and advisory services and materials assist the NQF</w:t>
            </w:r>
            <w:r w:rsidRPr="000068AF">
              <w:rPr>
                <w:rFonts w:cstheme="minorHAnsi"/>
                <w:b w:val="0"/>
                <w:color w:val="333632"/>
              </w:rPr>
              <w:t xml:space="preserve"> agencies to </w:t>
            </w:r>
            <w:r>
              <w:rPr>
                <w:rFonts w:cstheme="minorHAnsi"/>
                <w:b w:val="0"/>
                <w:color w:val="333632"/>
              </w:rPr>
              <w:t>meet their legislated obligations.</w:t>
            </w:r>
          </w:p>
          <w:p w14:paraId="4839F8A9" w14:textId="74615BDF" w:rsidR="00E15A5E" w:rsidRPr="0017364F" w:rsidRDefault="00E15A5E" w:rsidP="00F35042">
            <w:pPr>
              <w:autoSpaceDE w:val="0"/>
              <w:autoSpaceDN w:val="0"/>
              <w:adjustRightInd w:val="0"/>
              <w:rPr>
                <w:rFonts w:cstheme="minorHAnsi"/>
                <w:color w:val="211D1E"/>
              </w:rPr>
            </w:pPr>
            <w:r w:rsidRPr="000068AF">
              <w:rPr>
                <w:rFonts w:cstheme="minorHAnsi"/>
                <w:color w:val="211D1E"/>
              </w:rPr>
              <w:t>Strategies</w:t>
            </w:r>
          </w:p>
          <w:p w14:paraId="2F151FC0" w14:textId="61CF3BD3" w:rsidR="00E15A5E" w:rsidRDefault="00E15A5E" w:rsidP="00BA55E3">
            <w:pPr>
              <w:autoSpaceDE w:val="0"/>
              <w:autoSpaceDN w:val="0"/>
              <w:adjustRightInd w:val="0"/>
              <w:spacing w:afterLines="120" w:after="288"/>
              <w:rPr>
                <w:rFonts w:cstheme="minorHAnsi"/>
                <w:b w:val="0"/>
                <w:color w:val="333632"/>
              </w:rPr>
            </w:pPr>
            <w:r w:rsidRPr="00F35042">
              <w:rPr>
                <w:rFonts w:cstheme="minorHAnsi"/>
                <w:color w:val="211D1E"/>
              </w:rPr>
              <w:t>Develop</w:t>
            </w:r>
            <w:r>
              <w:rPr>
                <w:rFonts w:cstheme="minorHAnsi"/>
                <w:b w:val="0"/>
                <w:color w:val="333632"/>
              </w:rPr>
              <w:t>, or identify external, resources and guidance material to assist the NQF agencies to fulfil their obligations under legislation.</w:t>
            </w:r>
          </w:p>
          <w:p w14:paraId="564098F1" w14:textId="2AB4829B" w:rsidR="00E15A5E" w:rsidRDefault="00E15A5E" w:rsidP="00BA55E3">
            <w:pPr>
              <w:autoSpaceDE w:val="0"/>
              <w:autoSpaceDN w:val="0"/>
              <w:adjustRightInd w:val="0"/>
              <w:spacing w:afterLines="120" w:after="288"/>
              <w:rPr>
                <w:rFonts w:cstheme="minorHAnsi"/>
                <w:b w:val="0"/>
                <w:color w:val="333632"/>
              </w:rPr>
            </w:pPr>
            <w:r>
              <w:rPr>
                <w:rFonts w:cstheme="minorHAnsi"/>
                <w:b w:val="0"/>
                <w:color w:val="333632"/>
              </w:rPr>
              <w:t>Conduct as necessary assessments of the NQF agencies compliance their legislated obligations.</w:t>
            </w:r>
          </w:p>
          <w:p w14:paraId="13398D16" w14:textId="3F1029F4" w:rsidR="00E15A5E" w:rsidRPr="00430AA2" w:rsidRDefault="00E15A5E" w:rsidP="00BA55E3">
            <w:pPr>
              <w:autoSpaceDE w:val="0"/>
              <w:autoSpaceDN w:val="0"/>
              <w:adjustRightInd w:val="0"/>
              <w:spacing w:afterLines="120" w:after="288"/>
              <w:rPr>
                <w:rFonts w:cstheme="minorHAnsi"/>
                <w:b w:val="0"/>
                <w:color w:val="333632"/>
              </w:rPr>
            </w:pPr>
            <w:r w:rsidRPr="00430AA2">
              <w:rPr>
                <w:rFonts w:cstheme="minorHAnsi"/>
                <w:b w:val="0"/>
                <w:color w:val="333632"/>
              </w:rPr>
              <w:t xml:space="preserve">Work with the </w:t>
            </w:r>
            <w:r>
              <w:rPr>
                <w:rFonts w:cstheme="minorHAnsi"/>
                <w:b w:val="0"/>
                <w:color w:val="333632"/>
              </w:rPr>
              <w:t xml:space="preserve">NQF </w:t>
            </w:r>
            <w:r w:rsidRPr="00430AA2">
              <w:rPr>
                <w:rFonts w:cstheme="minorHAnsi"/>
                <w:b w:val="0"/>
                <w:color w:val="333632"/>
              </w:rPr>
              <w:t>agencies to rectify any identified systemic weaknesses in decision-making</w:t>
            </w:r>
            <w:r>
              <w:rPr>
                <w:rFonts w:cstheme="minorHAnsi"/>
                <w:b w:val="0"/>
                <w:color w:val="333632"/>
              </w:rPr>
              <w:t xml:space="preserve">, processes or </w:t>
            </w:r>
            <w:r w:rsidRPr="00430AA2">
              <w:rPr>
                <w:rFonts w:cstheme="minorHAnsi"/>
                <w:b w:val="0"/>
                <w:color w:val="333632"/>
              </w:rPr>
              <w:t>practices</w:t>
            </w:r>
            <w:r>
              <w:rPr>
                <w:rFonts w:cstheme="minorHAnsi"/>
                <w:b w:val="0"/>
                <w:color w:val="333632"/>
              </w:rPr>
              <w:t>.</w:t>
            </w:r>
          </w:p>
          <w:p w14:paraId="1AA087C8" w14:textId="6D5536A6" w:rsidR="00E15A5E" w:rsidRDefault="00E15A5E" w:rsidP="00F35042">
            <w:pPr>
              <w:autoSpaceDE w:val="0"/>
              <w:autoSpaceDN w:val="0"/>
              <w:adjustRightInd w:val="0"/>
              <w:rPr>
                <w:rFonts w:cstheme="minorHAnsi"/>
                <w:color w:val="211D1E"/>
              </w:rPr>
            </w:pPr>
            <w:r w:rsidRPr="000068AF">
              <w:rPr>
                <w:rFonts w:cstheme="minorHAnsi"/>
                <w:color w:val="211D1E"/>
              </w:rPr>
              <w:t>Key performance indicators</w:t>
            </w:r>
          </w:p>
          <w:p w14:paraId="1B85CA2B" w14:textId="42A4BBEB" w:rsidR="00E15A5E" w:rsidRDefault="00E15A5E" w:rsidP="00BA55E3">
            <w:pPr>
              <w:autoSpaceDE w:val="0"/>
              <w:autoSpaceDN w:val="0"/>
              <w:adjustRightInd w:val="0"/>
              <w:spacing w:afterLines="120" w:after="288"/>
              <w:rPr>
                <w:rFonts w:cstheme="minorHAnsi"/>
                <w:b w:val="0"/>
                <w:color w:val="333632"/>
              </w:rPr>
            </w:pPr>
            <w:r>
              <w:rPr>
                <w:rFonts w:cstheme="minorHAnsi"/>
                <w:b w:val="0"/>
                <w:color w:val="333632"/>
              </w:rPr>
              <w:t>Resources and guidance material provided to agencies over the period</w:t>
            </w:r>
            <w:r w:rsidR="00F35042">
              <w:rPr>
                <w:rFonts w:cstheme="minorHAnsi"/>
                <w:b w:val="0"/>
                <w:color w:val="333632"/>
              </w:rPr>
              <w:t>.</w:t>
            </w:r>
          </w:p>
          <w:p w14:paraId="76A9842C" w14:textId="15CFD9C6" w:rsidR="00E15A5E" w:rsidRPr="00725262" w:rsidRDefault="00E15A5E" w:rsidP="00BA55E3">
            <w:pPr>
              <w:autoSpaceDE w:val="0"/>
              <w:autoSpaceDN w:val="0"/>
              <w:adjustRightInd w:val="0"/>
              <w:spacing w:afterLines="120" w:after="288"/>
              <w:rPr>
                <w:rFonts w:cstheme="minorHAnsi"/>
                <w:b w:val="0"/>
                <w:color w:val="333632"/>
              </w:rPr>
            </w:pPr>
            <w:r>
              <w:rPr>
                <w:rFonts w:cstheme="minorHAnsi"/>
                <w:b w:val="0"/>
                <w:color w:val="333632"/>
              </w:rPr>
              <w:t>Assessments of NQF agencies’ compliance under the legislation</w:t>
            </w:r>
            <w:r w:rsidR="00F35042">
              <w:rPr>
                <w:rFonts w:cstheme="minorHAnsi"/>
                <w:b w:val="0"/>
                <w:color w:val="333632"/>
              </w:rPr>
              <w:t>.</w:t>
            </w:r>
          </w:p>
          <w:p w14:paraId="2599F2D8" w14:textId="60D35635" w:rsidR="00E15A5E" w:rsidRPr="00F35042" w:rsidRDefault="00E15A5E" w:rsidP="00F35042">
            <w:pPr>
              <w:autoSpaceDE w:val="0"/>
              <w:autoSpaceDN w:val="0"/>
              <w:adjustRightInd w:val="0"/>
              <w:spacing w:afterLines="120" w:after="288"/>
              <w:rPr>
                <w:rFonts w:cstheme="minorHAnsi"/>
                <w:b w:val="0"/>
                <w:color w:val="333632"/>
              </w:rPr>
            </w:pPr>
            <w:r>
              <w:rPr>
                <w:rFonts w:cstheme="minorHAnsi"/>
                <w:b w:val="0"/>
                <w:color w:val="333632"/>
              </w:rPr>
              <w:t>Level of agency satisfaction with resources and assistance provided by the office</w:t>
            </w:r>
            <w:r w:rsidR="00F35042">
              <w:rPr>
                <w:rFonts w:cstheme="minorHAnsi"/>
                <w:b w:val="0"/>
                <w:color w:val="333632"/>
              </w:rPr>
              <w:t>.</w:t>
            </w:r>
          </w:p>
        </w:tc>
        <w:tc>
          <w:tcPr>
            <w:tcW w:w="2500" w:type="pct"/>
            <w:tcBorders>
              <w:top w:val="double" w:sz="4" w:space="0" w:color="4F81BD" w:themeColor="accent1"/>
              <w:left w:val="double" w:sz="4" w:space="0" w:color="4F81BD" w:themeColor="accent1"/>
              <w:right w:val="double" w:sz="4" w:space="0" w:color="4F81BD" w:themeColor="accent1"/>
            </w:tcBorders>
            <w:shd w:val="clear" w:color="auto" w:fill="F2F2F2" w:themeFill="background1" w:themeFillShade="F2"/>
          </w:tcPr>
          <w:p w14:paraId="697C439B" w14:textId="07E4D094" w:rsidR="00E15A5E" w:rsidRPr="00BA55E3"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BA55E3">
              <w:rPr>
                <w:rFonts w:cstheme="minorHAnsi"/>
                <w:bCs w:val="0"/>
                <w:color w:val="auto"/>
                <w:sz w:val="24"/>
                <w:szCs w:val="24"/>
              </w:rPr>
              <w:t>4. Ensure a</w:t>
            </w:r>
            <w:r w:rsidRPr="00BA55E3">
              <w:rPr>
                <w:rFonts w:cstheme="minorHAnsi"/>
                <w:color w:val="auto"/>
                <w:sz w:val="24"/>
                <w:szCs w:val="24"/>
              </w:rPr>
              <w:t>ppropriate policies, processes and systems</w:t>
            </w:r>
            <w:r w:rsidRPr="00BA55E3">
              <w:rPr>
                <w:rFonts w:cstheme="minorHAnsi"/>
                <w:bCs w:val="0"/>
                <w:color w:val="auto"/>
                <w:sz w:val="24"/>
                <w:szCs w:val="24"/>
              </w:rPr>
              <w:t xml:space="preserve"> are in place to support the</w:t>
            </w:r>
            <w:r w:rsidRPr="00BA55E3">
              <w:rPr>
                <w:rFonts w:cstheme="minorHAnsi"/>
                <w:color w:val="auto"/>
                <w:sz w:val="24"/>
                <w:szCs w:val="24"/>
              </w:rPr>
              <w:t xml:space="preserve"> work of the ECS Commissioners.</w:t>
            </w:r>
          </w:p>
          <w:p w14:paraId="629A1B08" w14:textId="5817EFB7" w:rsidR="00E15A5E" w:rsidRPr="00BA55E3" w:rsidRDefault="00E15A5E" w:rsidP="00F3504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color w:val="211D1E"/>
              </w:rPr>
            </w:pPr>
            <w:r>
              <w:rPr>
                <w:rFonts w:cstheme="minorHAnsi"/>
                <w:color w:val="211D1E"/>
              </w:rPr>
              <w:t>Outcome</w:t>
            </w:r>
          </w:p>
          <w:p w14:paraId="5C44912F" w14:textId="2A56FCE3" w:rsidR="00E15A5E" w:rsidRPr="00BA55E3"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 w:val="0"/>
                <w:color w:val="333632"/>
              </w:rPr>
            </w:pPr>
            <w:r w:rsidRPr="00430AA2">
              <w:rPr>
                <w:rFonts w:cstheme="minorHAnsi"/>
                <w:b w:val="0"/>
                <w:color w:val="333632"/>
              </w:rPr>
              <w:t xml:space="preserve">Robust case </w:t>
            </w:r>
            <w:r>
              <w:rPr>
                <w:rFonts w:cstheme="minorHAnsi"/>
                <w:b w:val="0"/>
                <w:color w:val="333632"/>
              </w:rPr>
              <w:t xml:space="preserve">and document </w:t>
            </w:r>
            <w:r w:rsidRPr="00430AA2">
              <w:rPr>
                <w:rFonts w:cstheme="minorHAnsi"/>
                <w:b w:val="0"/>
                <w:color w:val="333632"/>
              </w:rPr>
              <w:t>management system</w:t>
            </w:r>
            <w:r>
              <w:rPr>
                <w:rFonts w:cstheme="minorHAnsi"/>
                <w:b w:val="0"/>
                <w:color w:val="333632"/>
              </w:rPr>
              <w:t>s</w:t>
            </w:r>
            <w:r w:rsidRPr="00430AA2">
              <w:rPr>
                <w:rFonts w:cstheme="minorHAnsi"/>
                <w:b w:val="0"/>
                <w:color w:val="333632"/>
              </w:rPr>
              <w:t>, up to date policies</w:t>
            </w:r>
            <w:r>
              <w:rPr>
                <w:rFonts w:cstheme="minorHAnsi"/>
                <w:b w:val="0"/>
                <w:color w:val="333632"/>
              </w:rPr>
              <w:t>,</w:t>
            </w:r>
            <w:r w:rsidRPr="00430AA2">
              <w:rPr>
                <w:rFonts w:cstheme="minorHAnsi"/>
                <w:b w:val="0"/>
                <w:color w:val="333632"/>
              </w:rPr>
              <w:t xml:space="preserve"> and comprehensive</w:t>
            </w:r>
            <w:r>
              <w:rPr>
                <w:rFonts w:cstheme="minorHAnsi"/>
                <w:b w:val="0"/>
                <w:color w:val="333632"/>
              </w:rPr>
              <w:t xml:space="preserve"> quality</w:t>
            </w:r>
            <w:r w:rsidRPr="00430AA2">
              <w:rPr>
                <w:rFonts w:cstheme="minorHAnsi"/>
                <w:b w:val="0"/>
                <w:color w:val="333632"/>
              </w:rPr>
              <w:t xml:space="preserve"> information and guidance</w:t>
            </w:r>
            <w:r>
              <w:rPr>
                <w:rFonts w:cstheme="minorHAnsi"/>
                <w:b w:val="0"/>
                <w:color w:val="333632"/>
              </w:rPr>
              <w:t xml:space="preserve"> materials available to the public </w:t>
            </w:r>
            <w:r w:rsidRPr="00430AA2">
              <w:rPr>
                <w:rFonts w:cstheme="minorHAnsi"/>
                <w:b w:val="0"/>
                <w:color w:val="333632"/>
              </w:rPr>
              <w:t xml:space="preserve">and the </w:t>
            </w:r>
            <w:r>
              <w:rPr>
                <w:rFonts w:cstheme="minorHAnsi"/>
                <w:b w:val="0"/>
                <w:color w:val="333632"/>
              </w:rPr>
              <w:t xml:space="preserve">NQF </w:t>
            </w:r>
            <w:r w:rsidRPr="00430AA2">
              <w:rPr>
                <w:rFonts w:cstheme="minorHAnsi"/>
                <w:b w:val="0"/>
                <w:color w:val="333632"/>
              </w:rPr>
              <w:t xml:space="preserve">agencies. </w:t>
            </w:r>
          </w:p>
          <w:p w14:paraId="28CAC5A7" w14:textId="5416CC30" w:rsidR="00E15A5E" w:rsidRDefault="00E15A5E" w:rsidP="00F3504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color w:val="211D1E"/>
              </w:rPr>
            </w:pPr>
            <w:r w:rsidRPr="000068AF">
              <w:rPr>
                <w:rFonts w:cstheme="minorHAnsi"/>
                <w:color w:val="211D1E"/>
              </w:rPr>
              <w:t>Strategies</w:t>
            </w:r>
          </w:p>
          <w:p w14:paraId="4778B712" w14:textId="3288733C" w:rsidR="00E15A5E" w:rsidRPr="00BA55E3"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 w:val="0"/>
                <w:bCs w:val="0"/>
                <w:color w:val="333632"/>
              </w:rPr>
            </w:pPr>
            <w:r>
              <w:rPr>
                <w:rFonts w:cstheme="minorHAnsi"/>
                <w:b w:val="0"/>
                <w:color w:val="333632"/>
              </w:rPr>
              <w:t>Maintain and upgrade</w:t>
            </w:r>
            <w:r w:rsidRPr="003A06B4">
              <w:rPr>
                <w:rFonts w:cstheme="minorHAnsi"/>
                <w:b w:val="0"/>
                <w:color w:val="333632"/>
              </w:rPr>
              <w:t xml:space="preserve"> the </w:t>
            </w:r>
            <w:r>
              <w:rPr>
                <w:rFonts w:cstheme="minorHAnsi"/>
                <w:b w:val="0"/>
                <w:color w:val="333632"/>
              </w:rPr>
              <w:t>o</w:t>
            </w:r>
            <w:r w:rsidRPr="003A06B4">
              <w:rPr>
                <w:rFonts w:cstheme="minorHAnsi"/>
                <w:b w:val="0"/>
                <w:color w:val="333632"/>
              </w:rPr>
              <w:t xml:space="preserve">ffice website at </w:t>
            </w:r>
            <w:hyperlink r:id="rId78" w:history="1">
              <w:r w:rsidRPr="003A06B4">
                <w:rPr>
                  <w:rStyle w:val="Hyperlink"/>
                  <w:rFonts w:cstheme="minorHAnsi"/>
                </w:rPr>
                <w:t>www.necopic.edu.au</w:t>
              </w:r>
            </w:hyperlink>
            <w:r>
              <w:rPr>
                <w:rFonts w:cstheme="minorHAnsi"/>
                <w:b w:val="0"/>
                <w:color w:val="333632"/>
              </w:rPr>
              <w:t xml:space="preserve"> i</w:t>
            </w:r>
            <w:r w:rsidRPr="003A06B4">
              <w:rPr>
                <w:rFonts w:cstheme="minorHAnsi"/>
                <w:b w:val="0"/>
                <w:bCs w:val="0"/>
                <w:color w:val="333632"/>
              </w:rPr>
              <w:t xml:space="preserve">ncluding </w:t>
            </w:r>
            <w:r>
              <w:rPr>
                <w:rFonts w:cstheme="minorHAnsi"/>
                <w:b w:val="0"/>
                <w:bCs w:val="0"/>
                <w:color w:val="333632"/>
              </w:rPr>
              <w:t xml:space="preserve">ongoing </w:t>
            </w:r>
            <w:r w:rsidRPr="003A06B4">
              <w:rPr>
                <w:rFonts w:cstheme="minorHAnsi"/>
                <w:b w:val="0"/>
                <w:bCs w:val="0"/>
                <w:color w:val="333632"/>
              </w:rPr>
              <w:t>content review and updates, additional resource materials, links to other complaint handling bodies, and the incorporation of feedback mechanisms</w:t>
            </w:r>
            <w:r>
              <w:rPr>
                <w:rFonts w:cstheme="minorHAnsi"/>
                <w:b w:val="0"/>
                <w:bCs w:val="0"/>
                <w:color w:val="333632"/>
              </w:rPr>
              <w:t>.</w:t>
            </w:r>
          </w:p>
          <w:p w14:paraId="0343D33C" w14:textId="6C42EB60" w:rsidR="00E15A5E" w:rsidRPr="00430AA2"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 w:val="0"/>
                <w:color w:val="333632"/>
              </w:rPr>
            </w:pPr>
            <w:r>
              <w:rPr>
                <w:rFonts w:cstheme="minorHAnsi"/>
                <w:b w:val="0"/>
                <w:color w:val="333632"/>
              </w:rPr>
              <w:t>Maintain and refine the</w:t>
            </w:r>
            <w:r w:rsidRPr="00430AA2">
              <w:rPr>
                <w:rFonts w:cstheme="minorHAnsi"/>
                <w:b w:val="0"/>
                <w:color w:val="333632"/>
              </w:rPr>
              <w:t xml:space="preserve"> complaints and </w:t>
            </w:r>
            <w:r>
              <w:rPr>
                <w:rFonts w:cstheme="minorHAnsi"/>
                <w:b w:val="0"/>
                <w:color w:val="333632"/>
              </w:rPr>
              <w:t>knowledge management systems.</w:t>
            </w:r>
          </w:p>
          <w:p w14:paraId="3A96C37C" w14:textId="0841F75E" w:rsidR="00E15A5E" w:rsidRPr="00430AA2"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 w:val="0"/>
                <w:color w:val="333632"/>
              </w:rPr>
            </w:pPr>
            <w:r w:rsidRPr="00430AA2">
              <w:rPr>
                <w:rFonts w:cstheme="minorHAnsi"/>
                <w:b w:val="0"/>
                <w:color w:val="333632"/>
              </w:rPr>
              <w:t>Identify and fill gaps in office policies and resource material.</w:t>
            </w:r>
          </w:p>
          <w:p w14:paraId="68D9E2F1" w14:textId="467DD586" w:rsidR="00E15A5E" w:rsidRPr="00430AA2"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 w:val="0"/>
                <w:color w:val="333632"/>
              </w:rPr>
            </w:pPr>
            <w:r w:rsidRPr="00430AA2">
              <w:rPr>
                <w:rFonts w:cstheme="minorHAnsi"/>
                <w:b w:val="0"/>
                <w:color w:val="333632"/>
              </w:rPr>
              <w:t>Develop client satisfaction measurement tools.</w:t>
            </w:r>
          </w:p>
          <w:p w14:paraId="0DF79571" w14:textId="5099C369" w:rsidR="00E15A5E" w:rsidRPr="00BA55E3" w:rsidRDefault="00E15A5E" w:rsidP="00F3504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color w:val="211D1E"/>
              </w:rPr>
            </w:pPr>
            <w:r w:rsidRPr="000068AF">
              <w:rPr>
                <w:rFonts w:cstheme="minorHAnsi"/>
                <w:color w:val="211D1E"/>
              </w:rPr>
              <w:t>Key performance indicators</w:t>
            </w:r>
          </w:p>
          <w:p w14:paraId="6E2CD1AF" w14:textId="77777777" w:rsidR="00E15A5E" w:rsidRPr="00430AA2"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 w:val="0"/>
                <w:color w:val="333632"/>
              </w:rPr>
            </w:pPr>
            <w:r w:rsidRPr="00430AA2">
              <w:rPr>
                <w:rFonts w:cstheme="minorHAnsi"/>
                <w:b w:val="0"/>
                <w:color w:val="333632"/>
              </w:rPr>
              <w:t xml:space="preserve">Website </w:t>
            </w:r>
            <w:r>
              <w:rPr>
                <w:rFonts w:cstheme="minorHAnsi"/>
                <w:b w:val="0"/>
                <w:color w:val="333632"/>
              </w:rPr>
              <w:t>information is current and relevant to identified needs.</w:t>
            </w:r>
          </w:p>
          <w:p w14:paraId="48752B46" w14:textId="77777777" w:rsidR="00E15A5E" w:rsidRPr="00430AA2"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 w:val="0"/>
                <w:color w:val="333632"/>
              </w:rPr>
            </w:pPr>
            <w:r>
              <w:rPr>
                <w:rFonts w:cstheme="minorHAnsi"/>
                <w:b w:val="0"/>
                <w:color w:val="333632"/>
              </w:rPr>
              <w:t>Complaints and knowledge management systems effectively support the responsibilities of the ECS Commissioners.</w:t>
            </w:r>
          </w:p>
          <w:p w14:paraId="616D9B6E" w14:textId="024443F0" w:rsidR="00E15A5E" w:rsidRPr="00F35042" w:rsidRDefault="00E15A5E" w:rsidP="00BA55E3">
            <w:pPr>
              <w:autoSpaceDE w:val="0"/>
              <w:autoSpaceDN w:val="0"/>
              <w:adjustRightInd w:val="0"/>
              <w:spacing w:afterLines="120" w:after="288"/>
              <w:cnfStyle w:val="100000000000" w:firstRow="1" w:lastRow="0" w:firstColumn="0" w:lastColumn="0" w:oddVBand="0" w:evenVBand="0" w:oddHBand="0" w:evenHBand="0" w:firstRowFirstColumn="0" w:firstRowLastColumn="0" w:lastRowFirstColumn="0" w:lastRowLastColumn="0"/>
              <w:rPr>
                <w:rFonts w:cstheme="minorHAnsi"/>
                <w:b w:val="0"/>
                <w:color w:val="333632"/>
              </w:rPr>
            </w:pPr>
            <w:r w:rsidRPr="00430AA2">
              <w:rPr>
                <w:rFonts w:cstheme="minorHAnsi"/>
                <w:b w:val="0"/>
                <w:color w:val="333632"/>
              </w:rPr>
              <w:t xml:space="preserve">Office policies </w:t>
            </w:r>
            <w:r>
              <w:rPr>
                <w:rFonts w:cstheme="minorHAnsi"/>
                <w:b w:val="0"/>
                <w:color w:val="333632"/>
              </w:rPr>
              <w:t xml:space="preserve">are </w:t>
            </w:r>
            <w:r w:rsidRPr="00430AA2">
              <w:rPr>
                <w:rFonts w:cstheme="minorHAnsi"/>
                <w:b w:val="0"/>
                <w:color w:val="333632"/>
              </w:rPr>
              <w:t>up</w:t>
            </w:r>
            <w:r>
              <w:rPr>
                <w:rFonts w:cstheme="minorHAnsi"/>
                <w:b w:val="0"/>
                <w:color w:val="333632"/>
              </w:rPr>
              <w:t xml:space="preserve"> to date </w:t>
            </w:r>
            <w:r w:rsidRPr="00430AA2">
              <w:rPr>
                <w:rFonts w:cstheme="minorHAnsi"/>
                <w:b w:val="0"/>
                <w:color w:val="333632"/>
              </w:rPr>
              <w:t xml:space="preserve">and new policies </w:t>
            </w:r>
            <w:r>
              <w:rPr>
                <w:rFonts w:cstheme="minorHAnsi"/>
                <w:b w:val="0"/>
                <w:color w:val="333632"/>
              </w:rPr>
              <w:t xml:space="preserve">are </w:t>
            </w:r>
            <w:r w:rsidRPr="00430AA2">
              <w:rPr>
                <w:rFonts w:cstheme="minorHAnsi"/>
                <w:b w:val="0"/>
                <w:color w:val="333632"/>
              </w:rPr>
              <w:t>developed where gaps identified.</w:t>
            </w:r>
          </w:p>
        </w:tc>
      </w:tr>
    </w:tbl>
    <w:p w14:paraId="5FF1D281" w14:textId="77777777" w:rsidR="00E15A5E" w:rsidRDefault="00E15A5E" w:rsidP="00E15A5E"/>
    <w:p w14:paraId="59B7FA07" w14:textId="77777777" w:rsidR="00BA55E3" w:rsidRDefault="00BA55E3" w:rsidP="00E15A5E"/>
    <w:tbl>
      <w:tblPr>
        <w:tblStyle w:val="TableGrid"/>
        <w:tblW w:w="5000" w:type="pct"/>
        <w:shd w:val="clear" w:color="auto" w:fill="DBE5F1" w:themeFill="accent1" w:themeFillTint="33"/>
        <w:tblLook w:val="04A0" w:firstRow="1" w:lastRow="0" w:firstColumn="1" w:lastColumn="0" w:noHBand="0" w:noVBand="1"/>
      </w:tblPr>
      <w:tblGrid>
        <w:gridCol w:w="10437"/>
      </w:tblGrid>
      <w:tr w:rsidR="00E15A5E" w14:paraId="496BCDDA" w14:textId="77777777" w:rsidTr="00434CB9">
        <w:tc>
          <w:tcPr>
            <w:tcW w:w="5000" w:type="pct"/>
            <w:tcBorders>
              <w:top w:val="single" w:sz="12" w:space="0" w:color="FFFFFF" w:themeColor="background1"/>
              <w:left w:val="single" w:sz="12" w:space="0" w:color="FFFFFF" w:themeColor="background1"/>
              <w:bottom w:val="single" w:sz="12" w:space="0" w:color="365F91" w:themeColor="accent1" w:themeShade="BF"/>
              <w:right w:val="single" w:sz="12" w:space="0" w:color="FFFFFF" w:themeColor="background1"/>
            </w:tcBorders>
            <w:shd w:val="clear" w:color="auto" w:fill="DBE5F1" w:themeFill="accent1" w:themeFillTint="33"/>
          </w:tcPr>
          <w:p w14:paraId="5B2584FD" w14:textId="77777777" w:rsidR="00E15A5E" w:rsidRPr="00B31F34" w:rsidRDefault="00E15A5E" w:rsidP="00BD6884">
            <w:pPr>
              <w:widowControl w:val="0"/>
              <w:spacing w:after="120" w:line="270" w:lineRule="atLeast"/>
              <w:rPr>
                <w:sz w:val="28"/>
                <w:szCs w:val="28"/>
              </w:rPr>
            </w:pPr>
            <w:r w:rsidRPr="00F314DB">
              <w:rPr>
                <w:rFonts w:eastAsia="Times" w:cstheme="minorHAnsi"/>
                <w:sz w:val="28"/>
                <w:szCs w:val="28"/>
              </w:rPr>
              <w:t>Success</w:t>
            </w:r>
          </w:p>
        </w:tc>
      </w:tr>
    </w:tbl>
    <w:p w14:paraId="47C50C45" w14:textId="77777777" w:rsidR="00E15A5E" w:rsidRDefault="00E15A5E" w:rsidP="00E15A5E">
      <w:pPr>
        <w:widowControl w:val="0"/>
        <w:spacing w:after="120" w:line="270" w:lineRule="atLeast"/>
        <w:rPr>
          <w:rFonts w:eastAsia="Times" w:cstheme="minorHAnsi"/>
          <w:b/>
          <w:sz w:val="24"/>
          <w:szCs w:val="24"/>
        </w:rPr>
      </w:pPr>
    </w:p>
    <w:p w14:paraId="6D74985E" w14:textId="77777777" w:rsidR="00E15A5E" w:rsidRDefault="00E15A5E" w:rsidP="00E15A5E">
      <w:pPr>
        <w:spacing w:after="0"/>
        <w:rPr>
          <w:lang w:val="en-US"/>
        </w:rPr>
      </w:pPr>
      <w:r w:rsidRPr="00224EAD">
        <w:rPr>
          <w:lang w:val="en-US"/>
        </w:rPr>
        <w:t>We are successful when we:</w:t>
      </w:r>
    </w:p>
    <w:p w14:paraId="2D063E2B" w14:textId="77777777" w:rsidR="00E15A5E" w:rsidRPr="00224EAD" w:rsidRDefault="00E15A5E" w:rsidP="00E15A5E">
      <w:pPr>
        <w:spacing w:after="0"/>
        <w:rPr>
          <w:lang w:val="en-US"/>
        </w:rPr>
      </w:pPr>
    </w:p>
    <w:p w14:paraId="638BC060" w14:textId="77777777" w:rsidR="00E15A5E" w:rsidRDefault="00E15A5E" w:rsidP="00890F60">
      <w:pPr>
        <w:pStyle w:val="ListParagraph"/>
        <w:numPr>
          <w:ilvl w:val="0"/>
          <w:numId w:val="7"/>
        </w:numPr>
        <w:spacing w:after="0" w:line="240" w:lineRule="auto"/>
        <w:rPr>
          <w:lang w:val="en-US"/>
        </w:rPr>
      </w:pPr>
      <w:r w:rsidRPr="00E81953">
        <w:rPr>
          <w:lang w:val="en-US"/>
        </w:rPr>
        <w:t xml:space="preserve">Undertake </w:t>
      </w:r>
      <w:r>
        <w:rPr>
          <w:lang w:val="en-US"/>
        </w:rPr>
        <w:t>our responsibilities in an efficient and timely manner</w:t>
      </w:r>
    </w:p>
    <w:p w14:paraId="03600B08" w14:textId="77777777" w:rsidR="00E15A5E" w:rsidRDefault="00E15A5E" w:rsidP="00890F60">
      <w:pPr>
        <w:pStyle w:val="ListParagraph"/>
        <w:numPr>
          <w:ilvl w:val="0"/>
          <w:numId w:val="7"/>
        </w:numPr>
        <w:spacing w:after="0" w:line="240" w:lineRule="auto"/>
        <w:rPr>
          <w:lang w:val="en-US"/>
        </w:rPr>
      </w:pPr>
      <w:r w:rsidRPr="00E84366">
        <w:rPr>
          <w:lang w:val="en-US"/>
        </w:rPr>
        <w:t>Provide individuals with information and support to enable them to confidently pursue a complaint</w:t>
      </w:r>
      <w:r>
        <w:rPr>
          <w:lang w:val="en-US"/>
        </w:rPr>
        <w:t xml:space="preserve">, or seek a review </w:t>
      </w:r>
      <w:r w:rsidRPr="00E84366">
        <w:rPr>
          <w:lang w:val="en-US"/>
        </w:rPr>
        <w:t xml:space="preserve">through the office or with the </w:t>
      </w:r>
      <w:r>
        <w:rPr>
          <w:lang w:val="en-US"/>
        </w:rPr>
        <w:t xml:space="preserve">NQF </w:t>
      </w:r>
      <w:r w:rsidRPr="00E84366">
        <w:rPr>
          <w:lang w:val="en-US"/>
        </w:rPr>
        <w:t>agencies</w:t>
      </w:r>
    </w:p>
    <w:p w14:paraId="1693D174" w14:textId="77777777" w:rsidR="00E15A5E" w:rsidRPr="004B5027" w:rsidRDefault="00E15A5E" w:rsidP="00890F60">
      <w:pPr>
        <w:pStyle w:val="ListParagraph"/>
        <w:numPr>
          <w:ilvl w:val="0"/>
          <w:numId w:val="7"/>
        </w:numPr>
        <w:spacing w:after="0" w:line="240" w:lineRule="auto"/>
        <w:rPr>
          <w:lang w:val="en-US"/>
        </w:rPr>
      </w:pPr>
      <w:r w:rsidRPr="00E84366">
        <w:rPr>
          <w:lang w:val="en-US"/>
        </w:rPr>
        <w:t xml:space="preserve">Provide </w:t>
      </w:r>
      <w:r>
        <w:rPr>
          <w:lang w:val="en-US"/>
        </w:rPr>
        <w:t xml:space="preserve">information and </w:t>
      </w:r>
      <w:r w:rsidRPr="00E84366">
        <w:rPr>
          <w:lang w:val="en-US"/>
        </w:rPr>
        <w:t xml:space="preserve">resources </w:t>
      </w:r>
      <w:r>
        <w:rPr>
          <w:lang w:val="en-US"/>
        </w:rPr>
        <w:t>that a</w:t>
      </w:r>
      <w:r w:rsidRPr="00E84366">
        <w:rPr>
          <w:lang w:val="en-US"/>
        </w:rPr>
        <w:t>ssist agencies to fulfil their obligations under the legislation and encour</w:t>
      </w:r>
      <w:r>
        <w:rPr>
          <w:lang w:val="en-US"/>
        </w:rPr>
        <w:t>age sound</w:t>
      </w:r>
      <w:r w:rsidRPr="00E84366">
        <w:rPr>
          <w:lang w:val="en-US"/>
        </w:rPr>
        <w:t xml:space="preserve"> practice</w:t>
      </w:r>
    </w:p>
    <w:p w14:paraId="3FD714AD" w14:textId="77777777" w:rsidR="00E15A5E" w:rsidRDefault="00E15A5E" w:rsidP="00890F60">
      <w:pPr>
        <w:pStyle w:val="ListParagraph"/>
        <w:numPr>
          <w:ilvl w:val="0"/>
          <w:numId w:val="7"/>
        </w:numPr>
        <w:spacing w:after="0" w:line="240" w:lineRule="auto"/>
        <w:rPr>
          <w:lang w:val="en-US"/>
        </w:rPr>
      </w:pPr>
      <w:r w:rsidRPr="00E84366">
        <w:rPr>
          <w:lang w:val="en-US"/>
        </w:rPr>
        <w:t>Settle complaints informally through advice, consultation and mediation where</w:t>
      </w:r>
      <w:r>
        <w:rPr>
          <w:lang w:val="en-US"/>
        </w:rPr>
        <w:t>ver</w:t>
      </w:r>
      <w:r w:rsidRPr="00E84366">
        <w:rPr>
          <w:lang w:val="en-US"/>
        </w:rPr>
        <w:t xml:space="preserve"> possible</w:t>
      </w:r>
    </w:p>
    <w:p w14:paraId="3940F9E7" w14:textId="77777777" w:rsidR="00E15A5E" w:rsidRPr="00E84366" w:rsidRDefault="00E15A5E" w:rsidP="00890F60">
      <w:pPr>
        <w:pStyle w:val="ListParagraph"/>
        <w:numPr>
          <w:ilvl w:val="0"/>
          <w:numId w:val="7"/>
        </w:numPr>
        <w:spacing w:after="0" w:line="240" w:lineRule="auto"/>
        <w:rPr>
          <w:lang w:val="en-US"/>
        </w:rPr>
      </w:pPr>
      <w:r>
        <w:rPr>
          <w:lang w:val="en-US"/>
        </w:rPr>
        <w:t xml:space="preserve">Increase public trust and </w:t>
      </w:r>
      <w:r w:rsidRPr="00E84366">
        <w:rPr>
          <w:lang w:val="en-US"/>
        </w:rPr>
        <w:t xml:space="preserve">confidence in the </w:t>
      </w:r>
      <w:r>
        <w:rPr>
          <w:lang w:val="en-US"/>
        </w:rPr>
        <w:t>protection of their personal information by the NQF agencies and their rights to access information held by those agencies</w:t>
      </w:r>
    </w:p>
    <w:p w14:paraId="0CBFF095" w14:textId="77777777" w:rsidR="00E15A5E" w:rsidRDefault="00E15A5E" w:rsidP="00890F60">
      <w:pPr>
        <w:pStyle w:val="ListParagraph"/>
        <w:numPr>
          <w:ilvl w:val="0"/>
          <w:numId w:val="7"/>
        </w:numPr>
        <w:spacing w:after="160" w:line="259" w:lineRule="auto"/>
        <w:rPr>
          <w:lang w:val="en-US"/>
        </w:rPr>
      </w:pPr>
      <w:r w:rsidRPr="004B5027">
        <w:rPr>
          <w:lang w:val="en-US"/>
        </w:rPr>
        <w:t>Establish and maintain positive rela</w:t>
      </w:r>
      <w:r>
        <w:rPr>
          <w:lang w:val="en-US"/>
        </w:rPr>
        <w:t>tionships with key stakeholders</w:t>
      </w:r>
      <w:r w:rsidRPr="004B5027">
        <w:rPr>
          <w:lang w:val="en-US"/>
        </w:rPr>
        <w:t xml:space="preserve"> </w:t>
      </w:r>
    </w:p>
    <w:p w14:paraId="3A7D398E" w14:textId="77777777" w:rsidR="00E15A5E" w:rsidRPr="004B5027" w:rsidRDefault="00E15A5E" w:rsidP="00890F60">
      <w:pPr>
        <w:pStyle w:val="ListParagraph"/>
        <w:numPr>
          <w:ilvl w:val="0"/>
          <w:numId w:val="7"/>
        </w:numPr>
        <w:spacing w:after="160" w:line="259" w:lineRule="auto"/>
        <w:rPr>
          <w:lang w:val="en-US"/>
        </w:rPr>
      </w:pPr>
      <w:r>
        <w:rPr>
          <w:lang w:val="en-US"/>
        </w:rPr>
        <w:t>Establish effective relationships with other complaint-handling bodies as necessary including ensuring consistency of practice with the Australian Information Commissioner where appropriate.</w:t>
      </w:r>
    </w:p>
    <w:p w14:paraId="7115C39E" w14:textId="77777777" w:rsidR="00E15A5E" w:rsidRDefault="00E15A5E" w:rsidP="00890F60">
      <w:pPr>
        <w:pStyle w:val="ListParagraph"/>
        <w:numPr>
          <w:ilvl w:val="0"/>
          <w:numId w:val="7"/>
        </w:numPr>
        <w:spacing w:after="160" w:line="259" w:lineRule="auto"/>
        <w:rPr>
          <w:lang w:val="en-US"/>
        </w:rPr>
      </w:pPr>
      <w:r>
        <w:rPr>
          <w:lang w:val="en-US"/>
        </w:rPr>
        <w:t>Provide an effective referral system for general enquiries.</w:t>
      </w:r>
    </w:p>
    <w:p w14:paraId="6AFE65BA" w14:textId="77777777" w:rsidR="00E15A5E" w:rsidRPr="004B5027" w:rsidRDefault="00E15A5E" w:rsidP="00E15A5E">
      <w:pPr>
        <w:rPr>
          <w:lang w:val="en-US"/>
        </w:rPr>
      </w:pPr>
    </w:p>
    <w:tbl>
      <w:tblPr>
        <w:tblStyle w:val="TableGrid"/>
        <w:tblW w:w="5000" w:type="pct"/>
        <w:shd w:val="clear" w:color="auto" w:fill="DBE5F1" w:themeFill="accent1" w:themeFillTint="33"/>
        <w:tblLook w:val="04A0" w:firstRow="1" w:lastRow="0" w:firstColumn="1" w:lastColumn="0" w:noHBand="0" w:noVBand="1"/>
      </w:tblPr>
      <w:tblGrid>
        <w:gridCol w:w="10437"/>
      </w:tblGrid>
      <w:tr w:rsidR="00E15A5E" w14:paraId="3726D0C8" w14:textId="77777777" w:rsidTr="00434CB9">
        <w:tc>
          <w:tcPr>
            <w:tcW w:w="5000" w:type="pct"/>
            <w:tcBorders>
              <w:top w:val="single" w:sz="12" w:space="0" w:color="FFFFFF" w:themeColor="background1"/>
              <w:left w:val="single" w:sz="12" w:space="0" w:color="FFFFFF" w:themeColor="background1"/>
              <w:bottom w:val="single" w:sz="12" w:space="0" w:color="365F91" w:themeColor="accent1" w:themeShade="BF"/>
              <w:right w:val="single" w:sz="12" w:space="0" w:color="FFFFFF" w:themeColor="background1"/>
            </w:tcBorders>
            <w:shd w:val="clear" w:color="auto" w:fill="DBE5F1" w:themeFill="accent1" w:themeFillTint="33"/>
          </w:tcPr>
          <w:p w14:paraId="3C918EFA" w14:textId="77777777" w:rsidR="00E15A5E" w:rsidRPr="00B31F34" w:rsidRDefault="00E15A5E" w:rsidP="00BD6884">
            <w:pPr>
              <w:widowControl w:val="0"/>
              <w:spacing w:after="120" w:line="270" w:lineRule="atLeast"/>
              <w:rPr>
                <w:sz w:val="28"/>
                <w:szCs w:val="28"/>
              </w:rPr>
            </w:pPr>
            <w:r w:rsidRPr="00CA05A8">
              <w:rPr>
                <w:rFonts w:eastAsia="Times" w:cstheme="minorHAnsi"/>
                <w:sz w:val="28"/>
                <w:szCs w:val="28"/>
              </w:rPr>
              <w:t>Accountability</w:t>
            </w:r>
          </w:p>
        </w:tc>
      </w:tr>
    </w:tbl>
    <w:p w14:paraId="672458D4" w14:textId="77777777" w:rsidR="00E15A5E" w:rsidRPr="002B5D66" w:rsidRDefault="00E15A5E" w:rsidP="00E15A5E">
      <w:pPr>
        <w:spacing w:after="120" w:line="270" w:lineRule="atLeast"/>
        <w:rPr>
          <w:rFonts w:eastAsia="Times" w:cstheme="minorHAnsi"/>
          <w:sz w:val="20"/>
          <w:szCs w:val="20"/>
        </w:rPr>
      </w:pPr>
    </w:p>
    <w:p w14:paraId="7870A47D" w14:textId="77777777" w:rsidR="00E15A5E" w:rsidRDefault="00E15A5E" w:rsidP="00E15A5E">
      <w:pPr>
        <w:spacing w:after="120" w:line="270" w:lineRule="atLeast"/>
        <w:rPr>
          <w:rFonts w:eastAsia="Times" w:cstheme="minorHAnsi"/>
        </w:rPr>
      </w:pPr>
      <w:r w:rsidRPr="002B5D66">
        <w:rPr>
          <w:rFonts w:eastAsia="Times" w:cstheme="minorHAnsi"/>
        </w:rPr>
        <w:t xml:space="preserve">The </w:t>
      </w:r>
      <w:r>
        <w:rPr>
          <w:rFonts w:eastAsia="Times" w:cstheme="minorHAnsi"/>
        </w:rPr>
        <w:t xml:space="preserve">ECS </w:t>
      </w:r>
      <w:r w:rsidRPr="002B5D66">
        <w:rPr>
          <w:rFonts w:eastAsia="Times" w:cstheme="minorHAnsi"/>
        </w:rPr>
        <w:t xml:space="preserve">Commissioners are formally accountable to the </w:t>
      </w:r>
      <w:r>
        <w:rPr>
          <w:rFonts w:eastAsia="Times" w:cstheme="minorHAnsi"/>
        </w:rPr>
        <w:t>Education Ministers’ Meeting</w:t>
      </w:r>
      <w:r w:rsidRPr="002B5D66">
        <w:rPr>
          <w:rFonts w:eastAsia="Times" w:cstheme="minorHAnsi"/>
        </w:rPr>
        <w:t xml:space="preserve"> </w:t>
      </w:r>
      <w:r>
        <w:rPr>
          <w:rFonts w:eastAsia="Times" w:cstheme="minorHAnsi"/>
        </w:rPr>
        <w:t xml:space="preserve">and </w:t>
      </w:r>
      <w:r w:rsidRPr="002B5D66">
        <w:rPr>
          <w:rFonts w:eastAsia="Times" w:cstheme="minorHAnsi"/>
        </w:rPr>
        <w:t>submit reports</w:t>
      </w:r>
      <w:r>
        <w:rPr>
          <w:rFonts w:eastAsia="Times" w:cstheme="minorHAnsi"/>
        </w:rPr>
        <w:t xml:space="preserve"> as necessary</w:t>
      </w:r>
      <w:r w:rsidRPr="002B5D66">
        <w:rPr>
          <w:rFonts w:eastAsia="Times" w:cstheme="minorHAnsi"/>
        </w:rPr>
        <w:t xml:space="preserve"> to the senior officials</w:t>
      </w:r>
      <w:r>
        <w:rPr>
          <w:rFonts w:eastAsia="Times" w:cstheme="minorHAnsi"/>
        </w:rPr>
        <w:t>’</w:t>
      </w:r>
      <w:r w:rsidRPr="002B5D66">
        <w:rPr>
          <w:rFonts w:eastAsia="Times" w:cstheme="minorHAnsi"/>
        </w:rPr>
        <w:t xml:space="preserve"> group</w:t>
      </w:r>
      <w:r>
        <w:rPr>
          <w:rFonts w:eastAsia="Times" w:cstheme="minorHAnsi"/>
        </w:rPr>
        <w:t xml:space="preserve"> of the EMM</w:t>
      </w:r>
      <w:r w:rsidRPr="002B5D66">
        <w:rPr>
          <w:rFonts w:eastAsia="Times" w:cstheme="minorHAnsi"/>
        </w:rPr>
        <w:t xml:space="preserve"> </w:t>
      </w:r>
      <w:r>
        <w:rPr>
          <w:rFonts w:eastAsia="Times" w:cstheme="minorHAnsi"/>
        </w:rPr>
        <w:t xml:space="preserve">(the Australian Education Senior Officials Committee – AESOC). </w:t>
      </w:r>
      <w:r w:rsidRPr="002B5D66">
        <w:rPr>
          <w:rFonts w:eastAsia="Times" w:cstheme="minorHAnsi"/>
        </w:rPr>
        <w:t>Information about the performance</w:t>
      </w:r>
      <w:r>
        <w:rPr>
          <w:rFonts w:eastAsia="Times" w:cstheme="minorHAnsi"/>
        </w:rPr>
        <w:t xml:space="preserve"> of the Commissioners is also publicly </w:t>
      </w:r>
      <w:r w:rsidRPr="002B5D66">
        <w:rPr>
          <w:rFonts w:eastAsia="Times" w:cstheme="minorHAnsi"/>
        </w:rPr>
        <w:t>available</w:t>
      </w:r>
      <w:r>
        <w:rPr>
          <w:rFonts w:eastAsia="Times" w:cstheme="minorHAnsi"/>
        </w:rPr>
        <w:t xml:space="preserve"> in our annual reports which are available on our website and</w:t>
      </w:r>
      <w:r w:rsidRPr="002B5D66">
        <w:rPr>
          <w:rFonts w:eastAsia="Times" w:cstheme="minorHAnsi"/>
        </w:rPr>
        <w:t xml:space="preserve"> tabled in each of the Commonwealth, State and Territory Parliaments. </w:t>
      </w:r>
    </w:p>
    <w:p w14:paraId="146349B2" w14:textId="77777777" w:rsidR="00E15A5E" w:rsidRDefault="00E15A5E" w:rsidP="00E15A5E">
      <w:pPr>
        <w:spacing w:after="120" w:line="270" w:lineRule="atLeast"/>
        <w:rPr>
          <w:rFonts w:eastAsia="Times" w:cstheme="minorHAnsi"/>
        </w:rPr>
      </w:pPr>
      <w:r>
        <w:rPr>
          <w:rFonts w:eastAsia="Times" w:cstheme="minorHAnsi"/>
        </w:rPr>
        <w:t>The Freedom of Information Commissioner is required to make public NECS FOI Commissioner Review decisions and the Privacy Commissioner is required to keep a register of any Commissioner Determinations and make it publicly available. In both cases these will be published on the office website.</w:t>
      </w:r>
    </w:p>
    <w:p w14:paraId="400EF5ED" w14:textId="77777777" w:rsidR="00E15A5E" w:rsidRPr="002B5D66" w:rsidRDefault="00E15A5E" w:rsidP="00E15A5E">
      <w:pPr>
        <w:spacing w:after="120" w:line="270" w:lineRule="atLeast"/>
        <w:rPr>
          <w:rFonts w:eastAsia="Times" w:cstheme="minorHAnsi"/>
        </w:rPr>
      </w:pPr>
      <w:r w:rsidRPr="002B5D66">
        <w:rPr>
          <w:rFonts w:eastAsia="Times" w:cstheme="minorHAnsi"/>
        </w:rPr>
        <w:t xml:space="preserve">We </w:t>
      </w:r>
      <w:r>
        <w:rPr>
          <w:rFonts w:eastAsia="Times" w:cstheme="minorHAnsi"/>
        </w:rPr>
        <w:t xml:space="preserve">aim to </w:t>
      </w:r>
      <w:r w:rsidRPr="002B5D66">
        <w:rPr>
          <w:rFonts w:eastAsia="Times" w:cstheme="minorHAnsi"/>
        </w:rPr>
        <w:t xml:space="preserve">keep individuals and </w:t>
      </w:r>
      <w:r>
        <w:rPr>
          <w:rFonts w:eastAsia="Times" w:cstheme="minorHAnsi"/>
        </w:rPr>
        <w:t>agencies</w:t>
      </w:r>
      <w:r w:rsidRPr="002B5D66">
        <w:rPr>
          <w:rFonts w:eastAsia="Times" w:cstheme="minorHAnsi"/>
        </w:rPr>
        <w:t xml:space="preserve"> within our jurisdiction</w:t>
      </w:r>
      <w:r>
        <w:rPr>
          <w:rFonts w:eastAsia="Times" w:cstheme="minorHAnsi"/>
        </w:rPr>
        <w:t xml:space="preserve"> </w:t>
      </w:r>
      <w:r w:rsidRPr="002B5D66">
        <w:rPr>
          <w:rFonts w:eastAsia="Times" w:cstheme="minorHAnsi"/>
        </w:rPr>
        <w:t xml:space="preserve">informed about actions and outcomes through </w:t>
      </w:r>
      <w:r>
        <w:rPr>
          <w:rFonts w:eastAsia="Times" w:cstheme="minorHAnsi"/>
        </w:rPr>
        <w:t xml:space="preserve">appropriate </w:t>
      </w:r>
      <w:r w:rsidRPr="002B5D66">
        <w:rPr>
          <w:rFonts w:eastAsia="Times" w:cstheme="minorHAnsi"/>
        </w:rPr>
        <w:t>communication</w:t>
      </w:r>
    </w:p>
    <w:p w14:paraId="18FD4AC9" w14:textId="77777777" w:rsidR="00E15A5E" w:rsidRPr="00FC02F6" w:rsidRDefault="00E15A5E" w:rsidP="00E15A5E">
      <w:pPr>
        <w:spacing w:after="120" w:line="270" w:lineRule="atLeast"/>
        <w:rPr>
          <w:rFonts w:eastAsia="Times" w:cstheme="minorHAnsi"/>
          <w:color w:val="365F91" w:themeColor="accent1" w:themeShade="BF"/>
          <w:sz w:val="28"/>
          <w:szCs w:val="28"/>
        </w:rPr>
      </w:pPr>
      <w:r w:rsidRPr="00FC02F6">
        <w:rPr>
          <w:rFonts w:eastAsia="Times" w:cstheme="minorHAnsi"/>
          <w:color w:val="365F91" w:themeColor="accent1" w:themeShade="BF"/>
          <w:sz w:val="28"/>
          <w:szCs w:val="28"/>
        </w:rPr>
        <w:t>Strategic Plan Review</w:t>
      </w:r>
    </w:p>
    <w:p w14:paraId="482AB1A6" w14:textId="77777777" w:rsidR="00E15A5E" w:rsidRDefault="00E15A5E" w:rsidP="00E15A5E">
      <w:pPr>
        <w:spacing w:after="120" w:line="270" w:lineRule="atLeast"/>
        <w:rPr>
          <w:rFonts w:eastAsia="Times" w:cstheme="minorHAnsi"/>
        </w:rPr>
      </w:pPr>
      <w:r>
        <w:rPr>
          <w:rFonts w:eastAsia="Times" w:cstheme="minorHAnsi"/>
        </w:rPr>
        <w:t xml:space="preserve">Progress against the Strategic Plan will be monitored during the period and the Plan will be updated if necessary and reviewed in June 2024. </w:t>
      </w:r>
    </w:p>
    <w:p w14:paraId="5F7DA0B2" w14:textId="77777777" w:rsidR="00890F60" w:rsidRDefault="00E15A5E" w:rsidP="00E15A5E">
      <w:pPr>
        <w:spacing w:after="120" w:line="270" w:lineRule="atLeast"/>
        <w:rPr>
          <w:rFonts w:eastAsia="Times" w:cstheme="minorHAnsi"/>
        </w:rPr>
        <w:sectPr w:rsidR="00890F60" w:rsidSect="00512E04">
          <w:headerReference w:type="even" r:id="rId79"/>
          <w:headerReference w:type="default" r:id="rId80"/>
          <w:type w:val="continuous"/>
          <w:pgSz w:w="11907" w:h="16840" w:code="9"/>
          <w:pgMar w:top="720" w:right="720" w:bottom="720" w:left="720" w:header="709" w:footer="709" w:gutter="0"/>
          <w:cols w:space="708"/>
          <w:docGrid w:linePitch="360"/>
        </w:sectPr>
      </w:pPr>
      <w:r>
        <w:rPr>
          <w:rFonts w:eastAsia="Times" w:cstheme="minorHAnsi"/>
        </w:rPr>
        <w:t>Updated: October 2022.</w:t>
      </w:r>
    </w:p>
    <w:p w14:paraId="28EE02BA" w14:textId="08FC81A0" w:rsidR="00E15A5E" w:rsidRPr="00041FCD" w:rsidRDefault="00E15A5E" w:rsidP="00621074">
      <w:pPr>
        <w:spacing w:after="120" w:line="270" w:lineRule="atLeast"/>
        <w:jc w:val="center"/>
        <w:rPr>
          <w:rFonts w:eastAsia="Times" w:cstheme="minorHAnsi"/>
        </w:rPr>
      </w:pPr>
    </w:p>
    <w:p w14:paraId="19E705EE" w14:textId="48939EB3" w:rsidR="00BC44B1" w:rsidRPr="00E97DB2" w:rsidRDefault="009C2CE7" w:rsidP="00E97DB2">
      <w:pPr>
        <w:pStyle w:val="Heading2"/>
        <w:rPr>
          <w:sz w:val="32"/>
          <w:szCs w:val="32"/>
          <w:lang w:val="en-US"/>
        </w:rPr>
      </w:pPr>
      <w:bookmarkStart w:id="44" w:name="_Audited_Financial_Report"/>
      <w:bookmarkStart w:id="45" w:name="_Toc160544971"/>
      <w:bookmarkEnd w:id="44"/>
      <w:r w:rsidRPr="009C2CE7">
        <w:rPr>
          <w:sz w:val="32"/>
          <w:szCs w:val="32"/>
          <w:lang w:val="en-US"/>
        </w:rPr>
        <w:t>Audited Financial Report 202</w:t>
      </w:r>
      <w:r w:rsidR="00EA6B26">
        <w:rPr>
          <w:sz w:val="32"/>
          <w:szCs w:val="32"/>
          <w:lang w:val="en-US"/>
        </w:rPr>
        <w:t>2</w:t>
      </w:r>
      <w:r w:rsidR="00434CF9">
        <w:rPr>
          <w:sz w:val="32"/>
          <w:szCs w:val="32"/>
          <w:lang w:val="en-US"/>
        </w:rPr>
        <w:t>–</w:t>
      </w:r>
      <w:r w:rsidRPr="009C2CE7">
        <w:rPr>
          <w:sz w:val="32"/>
          <w:szCs w:val="32"/>
          <w:lang w:val="en-US"/>
        </w:rPr>
        <w:t>202</w:t>
      </w:r>
      <w:r w:rsidR="00EA6B26">
        <w:rPr>
          <w:sz w:val="32"/>
          <w:szCs w:val="32"/>
          <w:lang w:val="en-US"/>
        </w:rPr>
        <w:t>3</w:t>
      </w:r>
      <w:bookmarkEnd w:id="45"/>
    </w:p>
    <w:p w14:paraId="760E3E05" w14:textId="77777777" w:rsidR="00E51684" w:rsidRDefault="00E51684" w:rsidP="008A2FF2">
      <w:pPr>
        <w:pStyle w:val="BodyText"/>
        <w:ind w:left="109"/>
        <w:rPr>
          <w:rFonts w:ascii="Times New Roman"/>
          <w:sz w:val="20"/>
        </w:rPr>
      </w:pPr>
    </w:p>
    <w:p w14:paraId="59BE8E1A" w14:textId="41E129D2" w:rsidR="008A2FF2" w:rsidRDefault="008A2FF2" w:rsidP="008A2FF2">
      <w:pPr>
        <w:pStyle w:val="BodyText"/>
        <w:ind w:left="109"/>
        <w:rPr>
          <w:rFonts w:ascii="Times New Roman"/>
          <w:sz w:val="20"/>
        </w:rPr>
      </w:pPr>
      <w:r>
        <w:rPr>
          <w:rFonts w:ascii="Times New Roman"/>
          <w:noProof/>
          <w:sz w:val="20"/>
        </w:rPr>
        <w:drawing>
          <wp:inline distT="0" distB="0" distL="0" distR="0" wp14:anchorId="0BF3982F" wp14:editId="27357468">
            <wp:extent cx="825863" cy="1140332"/>
            <wp:effectExtent l="0" t="0" r="0" b="0"/>
            <wp:docPr id="539931173" name="Image 1" descr="Education Services Australi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9931173" name="Image 1" descr="Education Services Australia logo"/>
                    <pic:cNvPicPr/>
                  </pic:nvPicPr>
                  <pic:blipFill>
                    <a:blip r:embed="rId81" cstate="print"/>
                    <a:stretch>
                      <a:fillRect/>
                    </a:stretch>
                  </pic:blipFill>
                  <pic:spPr>
                    <a:xfrm>
                      <a:off x="0" y="0"/>
                      <a:ext cx="825863" cy="1140332"/>
                    </a:xfrm>
                    <a:prstGeom prst="rect">
                      <a:avLst/>
                    </a:prstGeom>
                  </pic:spPr>
                </pic:pic>
              </a:graphicData>
            </a:graphic>
          </wp:inline>
        </w:drawing>
      </w:r>
    </w:p>
    <w:p w14:paraId="7E5E5548" w14:textId="295CF23E" w:rsidR="008A2FF2" w:rsidRPr="00F36730" w:rsidRDefault="008A2FF2" w:rsidP="008A2FF2">
      <w:pPr>
        <w:spacing w:line="247" w:lineRule="auto"/>
        <w:ind w:left="1951" w:right="2394"/>
        <w:jc w:val="center"/>
        <w:rPr>
          <w:b/>
          <w:sz w:val="20"/>
          <w:szCs w:val="20"/>
        </w:rPr>
      </w:pPr>
      <w:r w:rsidRPr="00F36730">
        <w:rPr>
          <w:b/>
          <w:sz w:val="20"/>
          <w:szCs w:val="20"/>
        </w:rPr>
        <w:t>Annual</w:t>
      </w:r>
      <w:r w:rsidRPr="00F36730">
        <w:rPr>
          <w:b/>
          <w:spacing w:val="-4"/>
          <w:sz w:val="20"/>
          <w:szCs w:val="20"/>
        </w:rPr>
        <w:t xml:space="preserve"> </w:t>
      </w:r>
      <w:r w:rsidRPr="00F36730">
        <w:rPr>
          <w:b/>
          <w:sz w:val="20"/>
          <w:szCs w:val="20"/>
        </w:rPr>
        <w:t>Financial</w:t>
      </w:r>
      <w:r w:rsidRPr="00F36730">
        <w:rPr>
          <w:b/>
          <w:spacing w:val="-4"/>
          <w:sz w:val="20"/>
          <w:szCs w:val="20"/>
        </w:rPr>
        <w:t xml:space="preserve"> </w:t>
      </w:r>
      <w:r w:rsidRPr="00F36730">
        <w:rPr>
          <w:b/>
          <w:sz w:val="20"/>
          <w:szCs w:val="20"/>
        </w:rPr>
        <w:t>Statements</w:t>
      </w:r>
      <w:r w:rsidRPr="00F36730">
        <w:rPr>
          <w:b/>
          <w:spacing w:val="-4"/>
          <w:sz w:val="20"/>
          <w:szCs w:val="20"/>
        </w:rPr>
        <w:t xml:space="preserve"> </w:t>
      </w:r>
      <w:r w:rsidRPr="00F36730">
        <w:rPr>
          <w:b/>
          <w:sz w:val="20"/>
          <w:szCs w:val="20"/>
        </w:rPr>
        <w:t>for</w:t>
      </w:r>
      <w:r w:rsidRPr="00F36730">
        <w:rPr>
          <w:b/>
          <w:spacing w:val="-5"/>
          <w:sz w:val="20"/>
          <w:szCs w:val="20"/>
        </w:rPr>
        <w:t xml:space="preserve"> </w:t>
      </w:r>
      <w:r w:rsidRPr="00F36730">
        <w:rPr>
          <w:b/>
          <w:sz w:val="20"/>
          <w:szCs w:val="20"/>
        </w:rPr>
        <w:t>the</w:t>
      </w:r>
      <w:r w:rsidRPr="00F36730">
        <w:rPr>
          <w:b/>
          <w:spacing w:val="-4"/>
          <w:sz w:val="20"/>
          <w:szCs w:val="20"/>
        </w:rPr>
        <w:t xml:space="preserve"> </w:t>
      </w:r>
      <w:r w:rsidRPr="00F36730">
        <w:rPr>
          <w:b/>
          <w:sz w:val="20"/>
          <w:szCs w:val="20"/>
        </w:rPr>
        <w:t>Education</w:t>
      </w:r>
      <w:r w:rsidRPr="00F36730">
        <w:rPr>
          <w:b/>
          <w:spacing w:val="-4"/>
          <w:sz w:val="20"/>
          <w:szCs w:val="20"/>
        </w:rPr>
        <w:t xml:space="preserve"> </w:t>
      </w:r>
      <w:r w:rsidRPr="00F36730">
        <w:rPr>
          <w:b/>
          <w:sz w:val="20"/>
          <w:szCs w:val="20"/>
        </w:rPr>
        <w:t>and</w:t>
      </w:r>
      <w:r w:rsidRPr="00F36730">
        <w:rPr>
          <w:b/>
          <w:spacing w:val="-4"/>
          <w:sz w:val="20"/>
          <w:szCs w:val="20"/>
        </w:rPr>
        <w:t xml:space="preserve"> </w:t>
      </w:r>
      <w:r w:rsidRPr="00F36730">
        <w:rPr>
          <w:b/>
          <w:sz w:val="20"/>
          <w:szCs w:val="20"/>
        </w:rPr>
        <w:t>Care</w:t>
      </w:r>
      <w:r w:rsidRPr="00F36730">
        <w:rPr>
          <w:b/>
          <w:spacing w:val="-4"/>
          <w:sz w:val="20"/>
          <w:szCs w:val="20"/>
        </w:rPr>
        <w:t xml:space="preserve"> </w:t>
      </w:r>
      <w:r w:rsidRPr="00F36730">
        <w:rPr>
          <w:b/>
          <w:sz w:val="20"/>
          <w:szCs w:val="20"/>
        </w:rPr>
        <w:t>Services</w:t>
      </w:r>
      <w:r w:rsidRPr="00F36730">
        <w:rPr>
          <w:b/>
          <w:spacing w:val="-4"/>
          <w:sz w:val="20"/>
          <w:szCs w:val="20"/>
        </w:rPr>
        <w:t xml:space="preserve"> </w:t>
      </w:r>
      <w:r w:rsidRPr="00F36730">
        <w:rPr>
          <w:b/>
          <w:sz w:val="20"/>
          <w:szCs w:val="20"/>
        </w:rPr>
        <w:t>Ombudsman, the</w:t>
      </w:r>
      <w:r w:rsidR="00172BCD">
        <w:rPr>
          <w:b/>
          <w:sz w:val="20"/>
          <w:szCs w:val="20"/>
        </w:rPr>
        <w:t> </w:t>
      </w:r>
      <w:r w:rsidRPr="00F36730">
        <w:rPr>
          <w:b/>
          <w:sz w:val="20"/>
          <w:szCs w:val="20"/>
        </w:rPr>
        <w:t xml:space="preserve">National Education and Care Services Privacy </w:t>
      </w:r>
      <w:proofErr w:type="spellStart"/>
      <w:r w:rsidRPr="00F36730">
        <w:rPr>
          <w:b/>
          <w:sz w:val="20"/>
          <w:szCs w:val="20"/>
        </w:rPr>
        <w:t>Commissoner</w:t>
      </w:r>
      <w:proofErr w:type="spellEnd"/>
      <w:r w:rsidRPr="00F36730">
        <w:rPr>
          <w:b/>
          <w:sz w:val="20"/>
          <w:szCs w:val="20"/>
        </w:rPr>
        <w:t xml:space="preserve"> and the National</w:t>
      </w:r>
      <w:r w:rsidR="005F2F2E">
        <w:rPr>
          <w:b/>
          <w:sz w:val="20"/>
          <w:szCs w:val="20"/>
        </w:rPr>
        <w:t> </w:t>
      </w:r>
      <w:r w:rsidRPr="00F36730">
        <w:rPr>
          <w:b/>
          <w:sz w:val="20"/>
          <w:szCs w:val="20"/>
        </w:rPr>
        <w:t>Education and Care Services Freedom of Information Commissioner</w:t>
      </w:r>
    </w:p>
    <w:p w14:paraId="03FAA332" w14:textId="77777777" w:rsidR="008A2FF2" w:rsidRPr="00F36730" w:rsidRDefault="008A2FF2" w:rsidP="008A2FF2">
      <w:pPr>
        <w:pStyle w:val="BodyText"/>
        <w:spacing w:before="20"/>
        <w:rPr>
          <w:rFonts w:ascii="Calibri"/>
          <w:b/>
          <w:sz w:val="20"/>
          <w:szCs w:val="20"/>
        </w:rPr>
      </w:pPr>
    </w:p>
    <w:p w14:paraId="41536857" w14:textId="77777777" w:rsidR="008A2FF2" w:rsidRPr="00F36730" w:rsidRDefault="008A2FF2" w:rsidP="008A2FF2">
      <w:pPr>
        <w:ind w:right="438"/>
        <w:jc w:val="center"/>
        <w:rPr>
          <w:b/>
          <w:sz w:val="20"/>
          <w:szCs w:val="20"/>
        </w:rPr>
      </w:pPr>
      <w:r w:rsidRPr="00F36730">
        <w:rPr>
          <w:b/>
          <w:sz w:val="20"/>
          <w:szCs w:val="20"/>
        </w:rPr>
        <w:t>Statement</w:t>
      </w:r>
      <w:r w:rsidRPr="00F36730">
        <w:rPr>
          <w:b/>
          <w:spacing w:val="-4"/>
          <w:sz w:val="20"/>
          <w:szCs w:val="20"/>
        </w:rPr>
        <w:t xml:space="preserve"> </w:t>
      </w:r>
      <w:r w:rsidRPr="00F36730">
        <w:rPr>
          <w:b/>
          <w:sz w:val="20"/>
          <w:szCs w:val="20"/>
        </w:rPr>
        <w:t>of</w:t>
      </w:r>
      <w:r w:rsidRPr="00F36730">
        <w:rPr>
          <w:b/>
          <w:spacing w:val="-2"/>
          <w:sz w:val="20"/>
          <w:szCs w:val="20"/>
        </w:rPr>
        <w:t xml:space="preserve"> </w:t>
      </w:r>
      <w:r w:rsidRPr="00F36730">
        <w:rPr>
          <w:b/>
          <w:sz w:val="20"/>
          <w:szCs w:val="20"/>
        </w:rPr>
        <w:t>Funding</w:t>
      </w:r>
      <w:r w:rsidRPr="00F36730">
        <w:rPr>
          <w:b/>
          <w:spacing w:val="-1"/>
          <w:sz w:val="20"/>
          <w:szCs w:val="20"/>
        </w:rPr>
        <w:t xml:space="preserve"> </w:t>
      </w:r>
      <w:r w:rsidRPr="00F36730">
        <w:rPr>
          <w:b/>
          <w:sz w:val="20"/>
          <w:szCs w:val="20"/>
        </w:rPr>
        <w:t>and</w:t>
      </w:r>
      <w:r w:rsidRPr="00F36730">
        <w:rPr>
          <w:b/>
          <w:spacing w:val="-2"/>
          <w:sz w:val="20"/>
          <w:szCs w:val="20"/>
        </w:rPr>
        <w:t xml:space="preserve"> </w:t>
      </w:r>
      <w:r w:rsidRPr="00F36730">
        <w:rPr>
          <w:b/>
          <w:sz w:val="20"/>
          <w:szCs w:val="20"/>
        </w:rPr>
        <w:t>Expenditure</w:t>
      </w:r>
      <w:r w:rsidRPr="00F36730">
        <w:rPr>
          <w:b/>
          <w:spacing w:val="-1"/>
          <w:sz w:val="20"/>
          <w:szCs w:val="20"/>
        </w:rPr>
        <w:t xml:space="preserve"> </w:t>
      </w:r>
      <w:r w:rsidRPr="00F36730">
        <w:rPr>
          <w:b/>
          <w:sz w:val="20"/>
          <w:szCs w:val="20"/>
        </w:rPr>
        <w:t>for</w:t>
      </w:r>
      <w:r w:rsidRPr="00F36730">
        <w:rPr>
          <w:b/>
          <w:spacing w:val="-3"/>
          <w:sz w:val="20"/>
          <w:szCs w:val="20"/>
        </w:rPr>
        <w:t xml:space="preserve"> </w:t>
      </w:r>
      <w:r w:rsidRPr="00F36730">
        <w:rPr>
          <w:b/>
          <w:sz w:val="20"/>
          <w:szCs w:val="20"/>
        </w:rPr>
        <w:t>the</w:t>
      </w:r>
      <w:r w:rsidRPr="00F36730">
        <w:rPr>
          <w:b/>
          <w:spacing w:val="-3"/>
          <w:sz w:val="20"/>
          <w:szCs w:val="20"/>
        </w:rPr>
        <w:t xml:space="preserve"> </w:t>
      </w:r>
      <w:r w:rsidRPr="00F36730">
        <w:rPr>
          <w:b/>
          <w:sz w:val="20"/>
          <w:szCs w:val="20"/>
        </w:rPr>
        <w:t>period</w:t>
      </w:r>
      <w:r w:rsidRPr="00F36730">
        <w:rPr>
          <w:b/>
          <w:spacing w:val="-2"/>
          <w:sz w:val="20"/>
          <w:szCs w:val="20"/>
        </w:rPr>
        <w:t xml:space="preserve"> </w:t>
      </w:r>
      <w:r w:rsidRPr="00F36730">
        <w:rPr>
          <w:b/>
          <w:sz w:val="20"/>
          <w:szCs w:val="20"/>
        </w:rPr>
        <w:t>1</w:t>
      </w:r>
      <w:r w:rsidRPr="00F36730">
        <w:rPr>
          <w:b/>
          <w:spacing w:val="-1"/>
          <w:sz w:val="20"/>
          <w:szCs w:val="20"/>
        </w:rPr>
        <w:t xml:space="preserve"> </w:t>
      </w:r>
      <w:r w:rsidRPr="00F36730">
        <w:rPr>
          <w:b/>
          <w:sz w:val="20"/>
          <w:szCs w:val="20"/>
        </w:rPr>
        <w:t>July</w:t>
      </w:r>
      <w:r w:rsidRPr="00F36730">
        <w:rPr>
          <w:b/>
          <w:spacing w:val="-1"/>
          <w:sz w:val="20"/>
          <w:szCs w:val="20"/>
        </w:rPr>
        <w:t xml:space="preserve"> </w:t>
      </w:r>
      <w:r w:rsidRPr="00F36730">
        <w:rPr>
          <w:b/>
          <w:sz w:val="20"/>
          <w:szCs w:val="20"/>
        </w:rPr>
        <w:t>2022 -</w:t>
      </w:r>
      <w:r w:rsidRPr="00F36730">
        <w:rPr>
          <w:b/>
          <w:spacing w:val="-1"/>
          <w:sz w:val="20"/>
          <w:szCs w:val="20"/>
        </w:rPr>
        <w:t xml:space="preserve"> </w:t>
      </w:r>
      <w:r w:rsidRPr="00F36730">
        <w:rPr>
          <w:b/>
          <w:sz w:val="20"/>
          <w:szCs w:val="20"/>
        </w:rPr>
        <w:t>30 June</w:t>
      </w:r>
      <w:r w:rsidRPr="00F36730">
        <w:rPr>
          <w:b/>
          <w:spacing w:val="-1"/>
          <w:sz w:val="20"/>
          <w:szCs w:val="20"/>
        </w:rPr>
        <w:t xml:space="preserve"> </w:t>
      </w:r>
      <w:r w:rsidRPr="00F36730">
        <w:rPr>
          <w:b/>
          <w:spacing w:val="-4"/>
          <w:sz w:val="20"/>
          <w:szCs w:val="20"/>
        </w:rPr>
        <w:t>2023</w:t>
      </w:r>
    </w:p>
    <w:p w14:paraId="288925FE" w14:textId="77777777" w:rsidR="008A2FF2" w:rsidRPr="00F36730" w:rsidRDefault="008A2FF2" w:rsidP="008A2FF2">
      <w:pPr>
        <w:pStyle w:val="BodyText"/>
        <w:spacing w:before="2"/>
        <w:rPr>
          <w:rFonts w:ascii="Calibri"/>
          <w:b/>
          <w:sz w:val="20"/>
          <w:szCs w:val="20"/>
        </w:rPr>
      </w:pPr>
    </w:p>
    <w:p w14:paraId="30835B1D" w14:textId="77777777" w:rsidR="008A2FF2" w:rsidRPr="00F36730" w:rsidRDefault="008A2FF2" w:rsidP="008A2FF2">
      <w:pPr>
        <w:rPr>
          <w:sz w:val="20"/>
          <w:szCs w:val="20"/>
        </w:rPr>
        <w:sectPr w:rsidR="008A2FF2" w:rsidRPr="00F36730" w:rsidSect="00512E04">
          <w:headerReference w:type="default" r:id="rId82"/>
          <w:headerReference w:type="first" r:id="rId83"/>
          <w:pgSz w:w="12240" w:h="15840"/>
          <w:pgMar w:top="1360" w:right="300" w:bottom="280" w:left="680" w:header="720" w:footer="720" w:gutter="0"/>
          <w:cols w:space="720"/>
          <w:titlePg/>
          <w:docGrid w:linePitch="299"/>
        </w:sectPr>
      </w:pPr>
    </w:p>
    <w:p w14:paraId="3A4B3935" w14:textId="77777777" w:rsidR="008A2FF2" w:rsidRPr="00F36730" w:rsidRDefault="008A2FF2" w:rsidP="008A2FF2">
      <w:pPr>
        <w:pStyle w:val="BodyText"/>
        <w:rPr>
          <w:rFonts w:ascii="Calibri"/>
          <w:b/>
          <w:sz w:val="20"/>
          <w:szCs w:val="20"/>
        </w:rPr>
      </w:pPr>
    </w:p>
    <w:p w14:paraId="72DE7FA4" w14:textId="77777777" w:rsidR="008A2FF2" w:rsidRPr="00F36730" w:rsidRDefault="008A2FF2" w:rsidP="008A2FF2">
      <w:pPr>
        <w:pStyle w:val="BodyText"/>
        <w:spacing w:before="97"/>
        <w:rPr>
          <w:rFonts w:ascii="Calibri"/>
          <w:b/>
          <w:sz w:val="20"/>
          <w:szCs w:val="20"/>
        </w:rPr>
      </w:pPr>
    </w:p>
    <w:p w14:paraId="5CD3AB2A" w14:textId="77777777" w:rsidR="008A2FF2" w:rsidRPr="00F36730" w:rsidRDefault="008A2FF2" w:rsidP="008A2FF2">
      <w:pPr>
        <w:ind w:left="642"/>
        <w:rPr>
          <w:b/>
          <w:sz w:val="20"/>
          <w:szCs w:val="20"/>
        </w:rPr>
      </w:pPr>
      <w:r w:rsidRPr="00F36730">
        <w:rPr>
          <w:b/>
          <w:spacing w:val="-2"/>
          <w:sz w:val="20"/>
          <w:szCs w:val="20"/>
        </w:rPr>
        <w:t>Funding</w:t>
      </w:r>
    </w:p>
    <w:p w14:paraId="3F5A5C60" w14:textId="77777777" w:rsidR="008A2FF2" w:rsidRPr="00F36730" w:rsidRDefault="008A2FF2" w:rsidP="00172BCD">
      <w:pPr>
        <w:tabs>
          <w:tab w:val="left" w:pos="7277"/>
          <w:tab w:val="left" w:pos="8727"/>
        </w:tabs>
        <w:spacing w:before="58" w:after="0"/>
        <w:ind w:left="5659"/>
        <w:rPr>
          <w:b/>
          <w:sz w:val="20"/>
          <w:szCs w:val="20"/>
        </w:rPr>
      </w:pPr>
      <w:r w:rsidRPr="00F36730">
        <w:rPr>
          <w:sz w:val="20"/>
          <w:szCs w:val="20"/>
        </w:rPr>
        <w:br w:type="column"/>
      </w:r>
      <w:r w:rsidRPr="00F36730">
        <w:rPr>
          <w:b/>
          <w:spacing w:val="-2"/>
          <w:sz w:val="20"/>
          <w:szCs w:val="20"/>
        </w:rPr>
        <w:t>Actual</w:t>
      </w:r>
      <w:r w:rsidRPr="00F36730">
        <w:rPr>
          <w:b/>
          <w:sz w:val="20"/>
          <w:szCs w:val="20"/>
        </w:rPr>
        <w:tab/>
      </w:r>
      <w:r w:rsidRPr="00F36730">
        <w:rPr>
          <w:b/>
          <w:spacing w:val="-2"/>
          <w:sz w:val="20"/>
          <w:szCs w:val="20"/>
        </w:rPr>
        <w:t>Budget</w:t>
      </w:r>
      <w:r w:rsidRPr="00F36730">
        <w:rPr>
          <w:b/>
          <w:sz w:val="20"/>
          <w:szCs w:val="20"/>
        </w:rPr>
        <w:tab/>
      </w:r>
      <w:r w:rsidRPr="00F36730">
        <w:rPr>
          <w:b/>
          <w:spacing w:val="-2"/>
          <w:sz w:val="20"/>
          <w:szCs w:val="20"/>
        </w:rPr>
        <w:t>Variance</w:t>
      </w:r>
    </w:p>
    <w:p w14:paraId="08969ADB" w14:textId="77777777" w:rsidR="008A2FF2" w:rsidRPr="00F36730" w:rsidRDefault="008A2FF2" w:rsidP="008A2FF2">
      <w:pPr>
        <w:tabs>
          <w:tab w:val="left" w:pos="7534"/>
          <w:tab w:val="left" w:pos="9056"/>
        </w:tabs>
        <w:spacing w:before="20"/>
        <w:ind w:left="5885"/>
        <w:rPr>
          <w:b/>
          <w:sz w:val="20"/>
          <w:szCs w:val="20"/>
        </w:rPr>
      </w:pPr>
      <w:r w:rsidRPr="00F36730">
        <w:rPr>
          <w:b/>
          <w:spacing w:val="-10"/>
          <w:sz w:val="20"/>
          <w:szCs w:val="20"/>
        </w:rPr>
        <w:t>$</w:t>
      </w:r>
      <w:r w:rsidRPr="00F36730">
        <w:rPr>
          <w:b/>
          <w:sz w:val="20"/>
          <w:szCs w:val="20"/>
        </w:rPr>
        <w:tab/>
      </w:r>
      <w:r w:rsidRPr="00F36730">
        <w:rPr>
          <w:b/>
          <w:spacing w:val="-10"/>
          <w:sz w:val="20"/>
          <w:szCs w:val="20"/>
        </w:rPr>
        <w:t>$</w:t>
      </w:r>
      <w:r w:rsidRPr="00F36730">
        <w:rPr>
          <w:b/>
          <w:sz w:val="20"/>
          <w:szCs w:val="20"/>
        </w:rPr>
        <w:tab/>
      </w:r>
      <w:r w:rsidRPr="00F36730">
        <w:rPr>
          <w:b/>
          <w:spacing w:val="-10"/>
          <w:sz w:val="20"/>
          <w:szCs w:val="20"/>
        </w:rPr>
        <w:t>$</w:t>
      </w:r>
    </w:p>
    <w:p w14:paraId="14BF7E15" w14:textId="77777777" w:rsidR="008A2FF2" w:rsidRPr="00F36730" w:rsidRDefault="008A2FF2" w:rsidP="008A2FF2">
      <w:pPr>
        <w:pStyle w:val="BodyText"/>
        <w:spacing w:before="39"/>
        <w:rPr>
          <w:rFonts w:ascii="Calibri"/>
          <w:b/>
          <w:sz w:val="20"/>
          <w:szCs w:val="20"/>
        </w:rPr>
      </w:pPr>
    </w:p>
    <w:p w14:paraId="115499CA" w14:textId="77777777" w:rsidR="008A2FF2" w:rsidRPr="00F36730" w:rsidRDefault="008A2FF2" w:rsidP="008A2FF2">
      <w:pPr>
        <w:tabs>
          <w:tab w:val="left" w:pos="5909"/>
          <w:tab w:val="left" w:pos="7642"/>
          <w:tab w:val="left" w:pos="9610"/>
        </w:tabs>
        <w:ind w:left="596"/>
        <w:rPr>
          <w:sz w:val="20"/>
          <w:szCs w:val="20"/>
        </w:rPr>
      </w:pPr>
      <w:r w:rsidRPr="00F36730">
        <w:rPr>
          <w:sz w:val="20"/>
          <w:szCs w:val="20"/>
        </w:rPr>
        <w:t>FY22-23</w:t>
      </w:r>
      <w:r w:rsidRPr="00F36730">
        <w:rPr>
          <w:spacing w:val="2"/>
          <w:sz w:val="20"/>
          <w:szCs w:val="20"/>
        </w:rPr>
        <w:t xml:space="preserve"> </w:t>
      </w:r>
      <w:r w:rsidRPr="00F36730">
        <w:rPr>
          <w:spacing w:val="-2"/>
          <w:sz w:val="20"/>
          <w:szCs w:val="20"/>
        </w:rPr>
        <w:t>Funding</w:t>
      </w:r>
      <w:r w:rsidRPr="00F36730">
        <w:rPr>
          <w:sz w:val="20"/>
          <w:szCs w:val="20"/>
        </w:rPr>
        <w:tab/>
      </w:r>
      <w:r w:rsidRPr="00F36730">
        <w:rPr>
          <w:spacing w:val="-2"/>
          <w:sz w:val="20"/>
          <w:szCs w:val="20"/>
        </w:rPr>
        <w:t>200,000</w:t>
      </w:r>
      <w:r w:rsidRPr="00F36730">
        <w:rPr>
          <w:sz w:val="20"/>
          <w:szCs w:val="20"/>
        </w:rPr>
        <w:tab/>
      </w:r>
      <w:r w:rsidRPr="00F36730">
        <w:rPr>
          <w:spacing w:val="-2"/>
          <w:sz w:val="20"/>
          <w:szCs w:val="20"/>
        </w:rPr>
        <w:t>200,000</w:t>
      </w:r>
      <w:r w:rsidRPr="00F36730">
        <w:rPr>
          <w:rFonts w:ascii="Times New Roman"/>
          <w:sz w:val="20"/>
          <w:szCs w:val="20"/>
        </w:rPr>
        <w:tab/>
      </w:r>
      <w:r w:rsidRPr="00F36730">
        <w:rPr>
          <w:spacing w:val="-10"/>
          <w:sz w:val="20"/>
          <w:szCs w:val="20"/>
        </w:rPr>
        <w:t>0</w:t>
      </w:r>
    </w:p>
    <w:p w14:paraId="759C89A9" w14:textId="77777777" w:rsidR="008A2FF2" w:rsidRPr="00F36730" w:rsidRDefault="008A2FF2" w:rsidP="008A2FF2">
      <w:pPr>
        <w:pStyle w:val="BodyText"/>
        <w:spacing w:line="20" w:lineRule="exact"/>
        <w:ind w:left="5146"/>
        <w:rPr>
          <w:rFonts w:ascii="Calibri"/>
          <w:sz w:val="20"/>
          <w:szCs w:val="20"/>
        </w:rPr>
      </w:pPr>
      <w:r w:rsidRPr="00F36730">
        <w:rPr>
          <w:rFonts w:ascii="Calibri"/>
          <w:noProof/>
          <w:sz w:val="20"/>
          <w:szCs w:val="20"/>
        </w:rPr>
        <mc:AlternateContent>
          <mc:Choice Requires="wpg">
            <w:drawing>
              <wp:inline distT="0" distB="0" distL="0" distR="0" wp14:anchorId="015B2CA2" wp14:editId="496C62B2">
                <wp:extent cx="2929255" cy="10795"/>
                <wp:effectExtent l="0" t="0" r="0" b="0"/>
                <wp:docPr id="111927582" name="Group 11192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9255" cy="10795"/>
                          <a:chOff x="0" y="0"/>
                          <a:chExt cx="2929255" cy="10795"/>
                        </a:xfrm>
                      </wpg:grpSpPr>
                      <wps:wsp>
                        <wps:cNvPr id="123453627" name="Graphic 3"/>
                        <wps:cNvSpPr/>
                        <wps:spPr>
                          <a:xfrm>
                            <a:off x="0" y="0"/>
                            <a:ext cx="2929255" cy="10795"/>
                          </a:xfrm>
                          <a:custGeom>
                            <a:avLst/>
                            <a:gdLst/>
                            <a:ahLst/>
                            <a:cxnLst/>
                            <a:rect l="l" t="t" r="r" b="b"/>
                            <a:pathLst>
                              <a:path w="2929255" h="10795">
                                <a:moveTo>
                                  <a:pt x="2929127" y="10667"/>
                                </a:moveTo>
                                <a:lnTo>
                                  <a:pt x="0" y="10667"/>
                                </a:lnTo>
                                <a:lnTo>
                                  <a:pt x="0" y="0"/>
                                </a:lnTo>
                                <a:lnTo>
                                  <a:pt x="2929127" y="0"/>
                                </a:lnTo>
                                <a:lnTo>
                                  <a:pt x="2929127" y="106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AB1212" id="Group 111927582" o:spid="_x0000_s1026" alt="&quot;&quot;" style="width:230.65pt;height:.85pt;mso-position-horizontal-relative:char;mso-position-vertical-relative:line" coordsize="2929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">
                <v:shape id="Graphic 3" o:spid="_x0000_s1027" style="position:absolute;width:29292;height:107;visibility:visible;mso-wrap-style:square;v-text-anchor:top" coordsize="292925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" path="m2929127,10667l,10667,,,2929127,r,10667xe" fillcolor="black" stroked="f">
                  <v:path arrowok="t"/>
                </v:shape>
                <w10:anchorlock/>
              </v:group>
            </w:pict>
          </mc:Fallback>
        </mc:AlternateContent>
      </w:r>
    </w:p>
    <w:p w14:paraId="115A09D7" w14:textId="77777777" w:rsidR="008A2FF2" w:rsidRPr="00F36730" w:rsidRDefault="008A2FF2" w:rsidP="008F07AC">
      <w:pPr>
        <w:tabs>
          <w:tab w:val="left" w:pos="7638"/>
          <w:tab w:val="left" w:pos="9609"/>
        </w:tabs>
        <w:spacing w:before="7" w:after="0"/>
        <w:ind w:left="5908"/>
        <w:rPr>
          <w:b/>
          <w:sz w:val="20"/>
          <w:szCs w:val="20"/>
        </w:rPr>
      </w:pPr>
      <w:r w:rsidRPr="00F36730">
        <w:rPr>
          <w:b/>
          <w:spacing w:val="-2"/>
          <w:sz w:val="20"/>
          <w:szCs w:val="20"/>
        </w:rPr>
        <w:t>200,000</w:t>
      </w:r>
      <w:r w:rsidRPr="00F36730">
        <w:rPr>
          <w:b/>
          <w:sz w:val="20"/>
          <w:szCs w:val="20"/>
        </w:rPr>
        <w:tab/>
      </w:r>
      <w:r w:rsidRPr="00F36730">
        <w:rPr>
          <w:b/>
          <w:spacing w:val="-2"/>
          <w:sz w:val="20"/>
          <w:szCs w:val="20"/>
        </w:rPr>
        <w:t>200,000</w:t>
      </w:r>
      <w:r w:rsidRPr="00F36730">
        <w:rPr>
          <w:b/>
          <w:sz w:val="20"/>
          <w:szCs w:val="20"/>
        </w:rPr>
        <w:tab/>
      </w:r>
      <w:r w:rsidRPr="00F36730">
        <w:rPr>
          <w:b/>
          <w:spacing w:val="-10"/>
          <w:sz w:val="20"/>
          <w:szCs w:val="20"/>
        </w:rPr>
        <w:t>0</w:t>
      </w:r>
    </w:p>
    <w:p w14:paraId="463830E2" w14:textId="77777777" w:rsidR="008A2FF2" w:rsidRPr="00F36730" w:rsidRDefault="008A2FF2" w:rsidP="008A2FF2">
      <w:pPr>
        <w:rPr>
          <w:sz w:val="20"/>
          <w:szCs w:val="20"/>
        </w:rPr>
        <w:sectPr w:rsidR="008A2FF2" w:rsidRPr="00F36730" w:rsidSect="00512E04">
          <w:type w:val="continuous"/>
          <w:pgSz w:w="12240" w:h="15840"/>
          <w:pgMar w:top="1360" w:right="300" w:bottom="280" w:left="680" w:header="720" w:footer="720" w:gutter="0"/>
          <w:cols w:num="2" w:space="720" w:equalWidth="0">
            <w:col w:w="1341" w:space="40"/>
            <w:col w:w="9879"/>
          </w:cols>
        </w:sectPr>
      </w:pPr>
    </w:p>
    <w:p w14:paraId="74B81548" w14:textId="77777777" w:rsidR="008A2FF2" w:rsidRPr="00F36730" w:rsidRDefault="008A2FF2" w:rsidP="008A2FF2">
      <w:pPr>
        <w:pStyle w:val="BodyText"/>
        <w:spacing w:line="50" w:lineRule="exact"/>
        <w:ind w:left="6527"/>
        <w:rPr>
          <w:rFonts w:ascii="Calibri"/>
          <w:sz w:val="20"/>
          <w:szCs w:val="20"/>
        </w:rPr>
      </w:pPr>
      <w:r w:rsidRPr="00F36730">
        <w:rPr>
          <w:rFonts w:ascii="Calibri"/>
          <w:noProof/>
          <w:sz w:val="20"/>
          <w:szCs w:val="20"/>
        </w:rPr>
        <mc:AlternateContent>
          <mc:Choice Requires="wpg">
            <w:drawing>
              <wp:inline distT="0" distB="0" distL="0" distR="0" wp14:anchorId="25828B0C" wp14:editId="5E132BBE">
                <wp:extent cx="2929255" cy="32384"/>
                <wp:effectExtent l="0" t="0" r="0" b="0"/>
                <wp:docPr id="755845054" name="Group 7558450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9255" cy="32384"/>
                          <a:chOff x="0" y="0"/>
                          <a:chExt cx="2929255" cy="32384"/>
                        </a:xfrm>
                      </wpg:grpSpPr>
                      <wps:wsp>
                        <wps:cNvPr id="696271085" name="Graphic 5"/>
                        <wps:cNvSpPr/>
                        <wps:spPr>
                          <a:xfrm>
                            <a:off x="0" y="12"/>
                            <a:ext cx="2929255" cy="32384"/>
                          </a:xfrm>
                          <a:custGeom>
                            <a:avLst/>
                            <a:gdLst/>
                            <a:ahLst/>
                            <a:cxnLst/>
                            <a:rect l="l" t="t" r="r" b="b"/>
                            <a:pathLst>
                              <a:path w="2929255" h="32384">
                                <a:moveTo>
                                  <a:pt x="2929128" y="21336"/>
                                </a:moveTo>
                                <a:lnTo>
                                  <a:pt x="0" y="21336"/>
                                </a:lnTo>
                                <a:lnTo>
                                  <a:pt x="0" y="32004"/>
                                </a:lnTo>
                                <a:lnTo>
                                  <a:pt x="2929128" y="32004"/>
                                </a:lnTo>
                                <a:lnTo>
                                  <a:pt x="2929128" y="21336"/>
                                </a:lnTo>
                                <a:close/>
                              </a:path>
                              <a:path w="2929255" h="32384">
                                <a:moveTo>
                                  <a:pt x="2929128" y="0"/>
                                </a:moveTo>
                                <a:lnTo>
                                  <a:pt x="0" y="0"/>
                                </a:lnTo>
                                <a:lnTo>
                                  <a:pt x="0" y="10655"/>
                                </a:lnTo>
                                <a:lnTo>
                                  <a:pt x="2929128" y="10655"/>
                                </a:lnTo>
                                <a:lnTo>
                                  <a:pt x="2929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FFDE44" id="Group 755845054" o:spid="_x0000_s1026" alt="&quot;&quot;" style="width:230.65pt;height:2.55pt;mso-position-horizontal-relative:char;mso-position-vertical-relative:line" coordsize="29292,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">
                <v:shape id="Graphic 5" o:spid="_x0000_s1027" style="position:absolute;width:29292;height:323;visibility:visible;mso-wrap-style:square;v-text-anchor:top" coordsize="2929255,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" path="m2929128,21336l,21336,,32004r2929128,l2929128,21336xem2929128,l,,,10655r2929128,l2929128,xe" fillcolor="black" stroked="f">
                  <v:path arrowok="t"/>
                </v:shape>
                <w10:anchorlock/>
              </v:group>
            </w:pict>
          </mc:Fallback>
        </mc:AlternateContent>
      </w:r>
    </w:p>
    <w:p w14:paraId="55155A6C" w14:textId="77777777" w:rsidR="008A2FF2" w:rsidRPr="00F36730" w:rsidRDefault="008A2FF2" w:rsidP="008A2FF2">
      <w:pPr>
        <w:pStyle w:val="BodyText"/>
        <w:rPr>
          <w:rFonts w:ascii="Calibri"/>
          <w:b/>
          <w:sz w:val="20"/>
          <w:szCs w:val="20"/>
        </w:rPr>
      </w:pPr>
    </w:p>
    <w:p w14:paraId="2F3AD766" w14:textId="77777777" w:rsidR="008A2FF2" w:rsidRPr="00F36730" w:rsidRDefault="008A2FF2" w:rsidP="008A2FF2">
      <w:pPr>
        <w:pStyle w:val="BodyText"/>
        <w:spacing w:before="92"/>
        <w:rPr>
          <w:rFonts w:ascii="Calibri"/>
          <w:b/>
          <w:sz w:val="20"/>
          <w:szCs w:val="20"/>
        </w:rPr>
      </w:pPr>
    </w:p>
    <w:tbl>
      <w:tblPr>
        <w:tblW w:w="0" w:type="auto"/>
        <w:tblInd w:w="599" w:type="dxa"/>
        <w:tblLayout w:type="fixed"/>
        <w:tblCellMar>
          <w:left w:w="0" w:type="dxa"/>
          <w:right w:w="0" w:type="dxa"/>
        </w:tblCellMar>
        <w:tblLook w:val="01E0" w:firstRow="1" w:lastRow="1" w:firstColumn="1" w:lastColumn="1" w:noHBand="0" w:noVBand="0"/>
      </w:tblPr>
      <w:tblGrid>
        <w:gridCol w:w="1247"/>
        <w:gridCol w:w="4687"/>
        <w:gridCol w:w="2009"/>
        <w:gridCol w:w="1543"/>
        <w:gridCol w:w="1057"/>
      </w:tblGrid>
      <w:tr w:rsidR="008A2FF2" w:rsidRPr="00F36730" w14:paraId="17D127B2" w14:textId="77777777" w:rsidTr="00AB057B">
        <w:trPr>
          <w:trHeight w:val="243"/>
        </w:trPr>
        <w:tc>
          <w:tcPr>
            <w:tcW w:w="1247" w:type="dxa"/>
          </w:tcPr>
          <w:p w14:paraId="7F6628AF" w14:textId="77777777" w:rsidR="008A2FF2" w:rsidRPr="00F36730" w:rsidRDefault="008A2FF2" w:rsidP="00AB057B">
            <w:pPr>
              <w:pStyle w:val="TableParagraph"/>
              <w:spacing w:line="214" w:lineRule="exact"/>
              <w:ind w:left="50"/>
              <w:rPr>
                <w:b/>
                <w:sz w:val="20"/>
                <w:szCs w:val="20"/>
              </w:rPr>
            </w:pPr>
            <w:r w:rsidRPr="00F36730">
              <w:rPr>
                <w:b/>
                <w:spacing w:val="-2"/>
                <w:sz w:val="20"/>
                <w:szCs w:val="20"/>
              </w:rPr>
              <w:t>Expenditure</w:t>
            </w:r>
          </w:p>
        </w:tc>
        <w:tc>
          <w:tcPr>
            <w:tcW w:w="9296" w:type="dxa"/>
            <w:gridSpan w:val="4"/>
          </w:tcPr>
          <w:p w14:paraId="0D33D077" w14:textId="77777777" w:rsidR="008A2FF2" w:rsidRPr="00F36730" w:rsidRDefault="008A2FF2" w:rsidP="00AB057B">
            <w:pPr>
              <w:pStyle w:val="TableParagraph"/>
              <w:spacing w:line="240" w:lineRule="auto"/>
              <w:rPr>
                <w:rFonts w:ascii="Times New Roman"/>
                <w:sz w:val="20"/>
                <w:szCs w:val="20"/>
              </w:rPr>
            </w:pPr>
          </w:p>
        </w:tc>
      </w:tr>
      <w:tr w:rsidR="008A2FF2" w:rsidRPr="00F36730" w14:paraId="1D90A0D1" w14:textId="77777777" w:rsidTr="00AB057B">
        <w:trPr>
          <w:trHeight w:val="275"/>
        </w:trPr>
        <w:tc>
          <w:tcPr>
            <w:tcW w:w="1247" w:type="dxa"/>
          </w:tcPr>
          <w:p w14:paraId="4DEC8F8F" w14:textId="77777777" w:rsidR="008A2FF2" w:rsidRPr="00F36730" w:rsidRDefault="008A2FF2" w:rsidP="00AB057B">
            <w:pPr>
              <w:pStyle w:val="TableParagraph"/>
              <w:spacing w:line="240" w:lineRule="auto"/>
              <w:rPr>
                <w:rFonts w:ascii="Times New Roman"/>
                <w:sz w:val="20"/>
                <w:szCs w:val="20"/>
              </w:rPr>
            </w:pPr>
          </w:p>
        </w:tc>
        <w:tc>
          <w:tcPr>
            <w:tcW w:w="4687" w:type="dxa"/>
          </w:tcPr>
          <w:p w14:paraId="074C4E20" w14:textId="77777777" w:rsidR="008A2FF2" w:rsidRPr="00F36730" w:rsidRDefault="008A2FF2" w:rsidP="00AB057B">
            <w:pPr>
              <w:pStyle w:val="TableParagraph"/>
              <w:ind w:left="137"/>
              <w:rPr>
                <w:sz w:val="20"/>
                <w:szCs w:val="20"/>
              </w:rPr>
            </w:pPr>
            <w:r w:rsidRPr="00F36730">
              <w:rPr>
                <w:sz w:val="20"/>
                <w:szCs w:val="20"/>
              </w:rPr>
              <w:t>Domestic</w:t>
            </w:r>
            <w:r w:rsidRPr="00F36730">
              <w:rPr>
                <w:spacing w:val="-3"/>
                <w:sz w:val="20"/>
                <w:szCs w:val="20"/>
              </w:rPr>
              <w:t xml:space="preserve"> </w:t>
            </w:r>
            <w:r w:rsidRPr="00F36730">
              <w:rPr>
                <w:sz w:val="20"/>
                <w:szCs w:val="20"/>
              </w:rPr>
              <w:t>Travel</w:t>
            </w:r>
            <w:r w:rsidRPr="00F36730">
              <w:rPr>
                <w:spacing w:val="-2"/>
                <w:sz w:val="20"/>
                <w:szCs w:val="20"/>
              </w:rPr>
              <w:t xml:space="preserve"> </w:t>
            </w:r>
            <w:r w:rsidRPr="00F36730">
              <w:rPr>
                <w:sz w:val="20"/>
                <w:szCs w:val="20"/>
              </w:rPr>
              <w:t>account</w:t>
            </w:r>
            <w:r w:rsidRPr="00F36730">
              <w:rPr>
                <w:spacing w:val="-3"/>
                <w:sz w:val="20"/>
                <w:szCs w:val="20"/>
              </w:rPr>
              <w:t xml:space="preserve"> </w:t>
            </w:r>
            <w:r w:rsidRPr="00F36730">
              <w:rPr>
                <w:sz w:val="20"/>
                <w:szCs w:val="20"/>
              </w:rPr>
              <w:t>for</w:t>
            </w:r>
            <w:r w:rsidRPr="00F36730">
              <w:rPr>
                <w:spacing w:val="-2"/>
                <w:sz w:val="20"/>
                <w:szCs w:val="20"/>
              </w:rPr>
              <w:t xml:space="preserve"> Projects</w:t>
            </w:r>
          </w:p>
        </w:tc>
        <w:tc>
          <w:tcPr>
            <w:tcW w:w="2009" w:type="dxa"/>
          </w:tcPr>
          <w:p w14:paraId="155DC7B1" w14:textId="77777777" w:rsidR="008A2FF2" w:rsidRPr="00F36730" w:rsidRDefault="008A2FF2" w:rsidP="00AB057B">
            <w:pPr>
              <w:pStyle w:val="TableParagraph"/>
              <w:ind w:right="478"/>
              <w:jc w:val="right"/>
              <w:rPr>
                <w:sz w:val="20"/>
                <w:szCs w:val="20"/>
              </w:rPr>
            </w:pPr>
            <w:r w:rsidRPr="00F36730">
              <w:rPr>
                <w:spacing w:val="-5"/>
                <w:sz w:val="20"/>
                <w:szCs w:val="20"/>
              </w:rPr>
              <w:t>790</w:t>
            </w:r>
          </w:p>
        </w:tc>
        <w:tc>
          <w:tcPr>
            <w:tcW w:w="1543" w:type="dxa"/>
          </w:tcPr>
          <w:p w14:paraId="49C28F44" w14:textId="77777777" w:rsidR="008A2FF2" w:rsidRPr="00F36730" w:rsidRDefault="008A2FF2" w:rsidP="00AB057B">
            <w:pPr>
              <w:pStyle w:val="TableParagraph"/>
              <w:ind w:right="290"/>
              <w:jc w:val="right"/>
              <w:rPr>
                <w:sz w:val="20"/>
                <w:szCs w:val="20"/>
              </w:rPr>
            </w:pPr>
            <w:r w:rsidRPr="00F36730">
              <w:rPr>
                <w:spacing w:val="-2"/>
                <w:sz w:val="20"/>
                <w:szCs w:val="20"/>
              </w:rPr>
              <w:t>4,000</w:t>
            </w:r>
          </w:p>
        </w:tc>
        <w:tc>
          <w:tcPr>
            <w:tcW w:w="1057" w:type="dxa"/>
          </w:tcPr>
          <w:p w14:paraId="47FF05DC" w14:textId="77777777" w:rsidR="008A2FF2" w:rsidRPr="00F36730" w:rsidRDefault="008A2FF2" w:rsidP="00AB057B">
            <w:pPr>
              <w:pStyle w:val="TableParagraph"/>
              <w:ind w:right="36"/>
              <w:jc w:val="right"/>
              <w:rPr>
                <w:sz w:val="20"/>
                <w:szCs w:val="20"/>
              </w:rPr>
            </w:pPr>
            <w:r w:rsidRPr="00F36730">
              <w:rPr>
                <w:spacing w:val="-2"/>
                <w:sz w:val="20"/>
                <w:szCs w:val="20"/>
              </w:rPr>
              <w:t>3,210</w:t>
            </w:r>
          </w:p>
        </w:tc>
      </w:tr>
      <w:tr w:rsidR="008A2FF2" w:rsidRPr="00F36730" w14:paraId="0664D947" w14:textId="77777777" w:rsidTr="00AB057B">
        <w:trPr>
          <w:trHeight w:val="275"/>
        </w:trPr>
        <w:tc>
          <w:tcPr>
            <w:tcW w:w="1247" w:type="dxa"/>
          </w:tcPr>
          <w:p w14:paraId="507627E0" w14:textId="77777777" w:rsidR="008A2FF2" w:rsidRPr="00F36730" w:rsidRDefault="008A2FF2" w:rsidP="00AB057B">
            <w:pPr>
              <w:pStyle w:val="TableParagraph"/>
              <w:spacing w:line="240" w:lineRule="auto"/>
              <w:rPr>
                <w:rFonts w:ascii="Times New Roman"/>
                <w:sz w:val="20"/>
                <w:szCs w:val="20"/>
              </w:rPr>
            </w:pPr>
          </w:p>
        </w:tc>
        <w:tc>
          <w:tcPr>
            <w:tcW w:w="4687" w:type="dxa"/>
          </w:tcPr>
          <w:p w14:paraId="5FE48DD2" w14:textId="77777777" w:rsidR="008A2FF2" w:rsidRPr="00F36730" w:rsidRDefault="008A2FF2" w:rsidP="00AB057B">
            <w:pPr>
              <w:pStyle w:val="TableParagraph"/>
              <w:ind w:left="137"/>
              <w:rPr>
                <w:sz w:val="20"/>
                <w:szCs w:val="20"/>
              </w:rPr>
            </w:pPr>
            <w:r w:rsidRPr="00F36730">
              <w:rPr>
                <w:sz w:val="20"/>
                <w:szCs w:val="20"/>
              </w:rPr>
              <w:t>Investigation</w:t>
            </w:r>
            <w:r w:rsidRPr="00F36730">
              <w:rPr>
                <w:spacing w:val="-10"/>
                <w:sz w:val="20"/>
                <w:szCs w:val="20"/>
              </w:rPr>
              <w:t xml:space="preserve"> </w:t>
            </w:r>
            <w:proofErr w:type="spellStart"/>
            <w:r w:rsidRPr="00F36730">
              <w:rPr>
                <w:spacing w:val="-2"/>
                <w:sz w:val="20"/>
                <w:szCs w:val="20"/>
              </w:rPr>
              <w:t>Contigency</w:t>
            </w:r>
            <w:proofErr w:type="spellEnd"/>
          </w:p>
        </w:tc>
        <w:tc>
          <w:tcPr>
            <w:tcW w:w="2009" w:type="dxa"/>
          </w:tcPr>
          <w:p w14:paraId="5E219C23" w14:textId="77777777" w:rsidR="008A2FF2" w:rsidRPr="00F36730" w:rsidRDefault="008A2FF2" w:rsidP="00AB057B">
            <w:pPr>
              <w:pStyle w:val="TableParagraph"/>
              <w:ind w:right="478"/>
              <w:jc w:val="right"/>
              <w:rPr>
                <w:sz w:val="20"/>
                <w:szCs w:val="20"/>
              </w:rPr>
            </w:pPr>
            <w:r w:rsidRPr="00F36730">
              <w:rPr>
                <w:spacing w:val="-10"/>
                <w:sz w:val="20"/>
                <w:szCs w:val="20"/>
              </w:rPr>
              <w:t>0</w:t>
            </w:r>
          </w:p>
        </w:tc>
        <w:tc>
          <w:tcPr>
            <w:tcW w:w="1543" w:type="dxa"/>
          </w:tcPr>
          <w:p w14:paraId="4A6FC54E" w14:textId="77777777" w:rsidR="008A2FF2" w:rsidRPr="00F36730" w:rsidRDefault="008A2FF2" w:rsidP="00AB057B">
            <w:pPr>
              <w:pStyle w:val="TableParagraph"/>
              <w:ind w:right="290"/>
              <w:jc w:val="right"/>
              <w:rPr>
                <w:sz w:val="20"/>
                <w:szCs w:val="20"/>
              </w:rPr>
            </w:pPr>
            <w:r w:rsidRPr="00F36730">
              <w:rPr>
                <w:spacing w:val="-2"/>
                <w:sz w:val="20"/>
                <w:szCs w:val="20"/>
              </w:rPr>
              <w:t>74,015</w:t>
            </w:r>
          </w:p>
        </w:tc>
        <w:tc>
          <w:tcPr>
            <w:tcW w:w="1057" w:type="dxa"/>
          </w:tcPr>
          <w:p w14:paraId="3CF10BF7" w14:textId="77777777" w:rsidR="008A2FF2" w:rsidRPr="00F36730" w:rsidRDefault="008A2FF2" w:rsidP="00AB057B">
            <w:pPr>
              <w:pStyle w:val="TableParagraph"/>
              <w:ind w:right="37"/>
              <w:jc w:val="right"/>
              <w:rPr>
                <w:sz w:val="20"/>
                <w:szCs w:val="20"/>
              </w:rPr>
            </w:pPr>
            <w:r w:rsidRPr="00F36730">
              <w:rPr>
                <w:spacing w:val="-2"/>
                <w:sz w:val="20"/>
                <w:szCs w:val="20"/>
              </w:rPr>
              <w:t>74,015</w:t>
            </w:r>
          </w:p>
        </w:tc>
      </w:tr>
      <w:tr w:rsidR="008A2FF2" w:rsidRPr="00F36730" w14:paraId="072C2BB6" w14:textId="77777777" w:rsidTr="00AB057B">
        <w:trPr>
          <w:trHeight w:val="276"/>
        </w:trPr>
        <w:tc>
          <w:tcPr>
            <w:tcW w:w="1247" w:type="dxa"/>
          </w:tcPr>
          <w:p w14:paraId="65F02466" w14:textId="77777777" w:rsidR="008A2FF2" w:rsidRPr="00F36730" w:rsidRDefault="008A2FF2" w:rsidP="00AB057B">
            <w:pPr>
              <w:pStyle w:val="TableParagraph"/>
              <w:spacing w:line="240" w:lineRule="auto"/>
              <w:rPr>
                <w:rFonts w:ascii="Times New Roman"/>
                <w:sz w:val="20"/>
                <w:szCs w:val="20"/>
              </w:rPr>
            </w:pPr>
          </w:p>
        </w:tc>
        <w:tc>
          <w:tcPr>
            <w:tcW w:w="4687" w:type="dxa"/>
          </w:tcPr>
          <w:p w14:paraId="48B15251" w14:textId="77777777" w:rsidR="008A2FF2" w:rsidRPr="00F36730" w:rsidRDefault="008A2FF2" w:rsidP="00AB057B">
            <w:pPr>
              <w:pStyle w:val="TableParagraph"/>
              <w:ind w:left="137"/>
              <w:rPr>
                <w:sz w:val="20"/>
                <w:szCs w:val="20"/>
              </w:rPr>
            </w:pPr>
            <w:r w:rsidRPr="00F36730">
              <w:rPr>
                <w:sz w:val="20"/>
                <w:szCs w:val="20"/>
              </w:rPr>
              <w:t>Website</w:t>
            </w:r>
            <w:r w:rsidRPr="00F36730">
              <w:rPr>
                <w:spacing w:val="-4"/>
                <w:sz w:val="20"/>
                <w:szCs w:val="20"/>
              </w:rPr>
              <w:t xml:space="preserve"> </w:t>
            </w:r>
            <w:r w:rsidRPr="00F36730">
              <w:rPr>
                <w:sz w:val="20"/>
                <w:szCs w:val="20"/>
              </w:rPr>
              <w:t>Development</w:t>
            </w:r>
            <w:r w:rsidRPr="00F36730">
              <w:rPr>
                <w:spacing w:val="-4"/>
                <w:sz w:val="20"/>
                <w:szCs w:val="20"/>
              </w:rPr>
              <w:t xml:space="preserve"> </w:t>
            </w:r>
            <w:r w:rsidRPr="00F36730">
              <w:rPr>
                <w:sz w:val="20"/>
                <w:szCs w:val="20"/>
              </w:rPr>
              <w:t>&amp;</w:t>
            </w:r>
            <w:r w:rsidRPr="00F36730">
              <w:rPr>
                <w:spacing w:val="-3"/>
                <w:sz w:val="20"/>
                <w:szCs w:val="20"/>
              </w:rPr>
              <w:t xml:space="preserve"> </w:t>
            </w:r>
            <w:r w:rsidRPr="00F36730">
              <w:rPr>
                <w:sz w:val="20"/>
                <w:szCs w:val="20"/>
              </w:rPr>
              <w:t>Hosting</w:t>
            </w:r>
            <w:r w:rsidRPr="00F36730">
              <w:rPr>
                <w:spacing w:val="-5"/>
                <w:sz w:val="20"/>
                <w:szCs w:val="20"/>
              </w:rPr>
              <w:t xml:space="preserve"> </w:t>
            </w:r>
            <w:r w:rsidRPr="00F36730">
              <w:rPr>
                <w:spacing w:val="-4"/>
                <w:sz w:val="20"/>
                <w:szCs w:val="20"/>
              </w:rPr>
              <w:t>Cost</w:t>
            </w:r>
          </w:p>
        </w:tc>
        <w:tc>
          <w:tcPr>
            <w:tcW w:w="2009" w:type="dxa"/>
          </w:tcPr>
          <w:p w14:paraId="55AFD187" w14:textId="77777777" w:rsidR="008A2FF2" w:rsidRPr="00F36730" w:rsidRDefault="008A2FF2" w:rsidP="00AB057B">
            <w:pPr>
              <w:pStyle w:val="TableParagraph"/>
              <w:ind w:right="480"/>
              <w:jc w:val="right"/>
              <w:rPr>
                <w:sz w:val="20"/>
                <w:szCs w:val="20"/>
              </w:rPr>
            </w:pPr>
            <w:r w:rsidRPr="00F36730">
              <w:rPr>
                <w:spacing w:val="-2"/>
                <w:sz w:val="20"/>
                <w:szCs w:val="20"/>
              </w:rPr>
              <w:t>1,685</w:t>
            </w:r>
          </w:p>
        </w:tc>
        <w:tc>
          <w:tcPr>
            <w:tcW w:w="1543" w:type="dxa"/>
          </w:tcPr>
          <w:p w14:paraId="55061BA8" w14:textId="77777777" w:rsidR="008A2FF2" w:rsidRPr="00F36730" w:rsidRDefault="008A2FF2" w:rsidP="00AB057B">
            <w:pPr>
              <w:pStyle w:val="TableParagraph"/>
              <w:ind w:right="290"/>
              <w:jc w:val="right"/>
              <w:rPr>
                <w:sz w:val="20"/>
                <w:szCs w:val="20"/>
              </w:rPr>
            </w:pPr>
            <w:r w:rsidRPr="00F36730">
              <w:rPr>
                <w:spacing w:val="-2"/>
                <w:sz w:val="20"/>
                <w:szCs w:val="20"/>
              </w:rPr>
              <w:t>36,000</w:t>
            </w:r>
          </w:p>
        </w:tc>
        <w:tc>
          <w:tcPr>
            <w:tcW w:w="1057" w:type="dxa"/>
          </w:tcPr>
          <w:p w14:paraId="665FE049" w14:textId="77777777" w:rsidR="008A2FF2" w:rsidRPr="00F36730" w:rsidRDefault="008A2FF2" w:rsidP="00AB057B">
            <w:pPr>
              <w:pStyle w:val="TableParagraph"/>
              <w:ind w:right="37"/>
              <w:jc w:val="right"/>
              <w:rPr>
                <w:sz w:val="20"/>
                <w:szCs w:val="20"/>
              </w:rPr>
            </w:pPr>
            <w:r w:rsidRPr="00F36730">
              <w:rPr>
                <w:spacing w:val="-2"/>
                <w:sz w:val="20"/>
                <w:szCs w:val="20"/>
              </w:rPr>
              <w:t>34,315</w:t>
            </w:r>
          </w:p>
        </w:tc>
      </w:tr>
      <w:tr w:rsidR="008A2FF2" w:rsidRPr="00F36730" w14:paraId="3AD24DE2" w14:textId="77777777" w:rsidTr="00AB057B">
        <w:trPr>
          <w:trHeight w:val="275"/>
        </w:trPr>
        <w:tc>
          <w:tcPr>
            <w:tcW w:w="1247" w:type="dxa"/>
          </w:tcPr>
          <w:p w14:paraId="44959AC4" w14:textId="77777777" w:rsidR="008A2FF2" w:rsidRPr="00F36730" w:rsidRDefault="008A2FF2" w:rsidP="00AB057B">
            <w:pPr>
              <w:pStyle w:val="TableParagraph"/>
              <w:spacing w:line="240" w:lineRule="auto"/>
              <w:rPr>
                <w:rFonts w:ascii="Times New Roman"/>
                <w:sz w:val="20"/>
                <w:szCs w:val="20"/>
              </w:rPr>
            </w:pPr>
          </w:p>
        </w:tc>
        <w:tc>
          <w:tcPr>
            <w:tcW w:w="4687" w:type="dxa"/>
          </w:tcPr>
          <w:p w14:paraId="3A5F2D24" w14:textId="77777777" w:rsidR="008A2FF2" w:rsidRPr="00F36730" w:rsidRDefault="008A2FF2" w:rsidP="00AB057B">
            <w:pPr>
              <w:pStyle w:val="TableParagraph"/>
              <w:ind w:left="137"/>
              <w:rPr>
                <w:sz w:val="20"/>
                <w:szCs w:val="20"/>
              </w:rPr>
            </w:pPr>
            <w:r w:rsidRPr="00F36730">
              <w:rPr>
                <w:spacing w:val="-2"/>
                <w:sz w:val="20"/>
                <w:szCs w:val="20"/>
              </w:rPr>
              <w:t>Retainer</w:t>
            </w:r>
          </w:p>
        </w:tc>
        <w:tc>
          <w:tcPr>
            <w:tcW w:w="2009" w:type="dxa"/>
          </w:tcPr>
          <w:p w14:paraId="7053930B" w14:textId="77777777" w:rsidR="008A2FF2" w:rsidRPr="00F36730" w:rsidRDefault="008A2FF2" w:rsidP="00AB057B">
            <w:pPr>
              <w:pStyle w:val="TableParagraph"/>
              <w:ind w:right="480"/>
              <w:jc w:val="right"/>
              <w:rPr>
                <w:sz w:val="20"/>
                <w:szCs w:val="20"/>
              </w:rPr>
            </w:pPr>
            <w:r w:rsidRPr="00F36730">
              <w:rPr>
                <w:spacing w:val="-2"/>
                <w:sz w:val="20"/>
                <w:szCs w:val="20"/>
              </w:rPr>
              <w:t>20,000</w:t>
            </w:r>
          </w:p>
        </w:tc>
        <w:tc>
          <w:tcPr>
            <w:tcW w:w="1543" w:type="dxa"/>
          </w:tcPr>
          <w:p w14:paraId="513D0C73" w14:textId="77777777" w:rsidR="008A2FF2" w:rsidRPr="00F36730" w:rsidRDefault="008A2FF2" w:rsidP="00AB057B">
            <w:pPr>
              <w:pStyle w:val="TableParagraph"/>
              <w:ind w:right="290"/>
              <w:jc w:val="right"/>
              <w:rPr>
                <w:sz w:val="20"/>
                <w:szCs w:val="20"/>
              </w:rPr>
            </w:pPr>
            <w:r w:rsidRPr="00F36730">
              <w:rPr>
                <w:spacing w:val="-2"/>
                <w:sz w:val="20"/>
                <w:szCs w:val="20"/>
              </w:rPr>
              <w:t>20,000</w:t>
            </w:r>
          </w:p>
        </w:tc>
        <w:tc>
          <w:tcPr>
            <w:tcW w:w="1057" w:type="dxa"/>
          </w:tcPr>
          <w:p w14:paraId="2E137092" w14:textId="77777777" w:rsidR="008A2FF2" w:rsidRPr="00F36730" w:rsidRDefault="008A2FF2" w:rsidP="00AB057B">
            <w:pPr>
              <w:pStyle w:val="TableParagraph"/>
              <w:ind w:right="35"/>
              <w:jc w:val="right"/>
              <w:rPr>
                <w:sz w:val="20"/>
                <w:szCs w:val="20"/>
              </w:rPr>
            </w:pPr>
            <w:r w:rsidRPr="00F36730">
              <w:rPr>
                <w:spacing w:val="-5"/>
                <w:sz w:val="20"/>
                <w:szCs w:val="20"/>
              </w:rPr>
              <w:t>(0)</w:t>
            </w:r>
          </w:p>
        </w:tc>
      </w:tr>
      <w:tr w:rsidR="008A2FF2" w:rsidRPr="00F36730" w14:paraId="23BCCC72" w14:textId="77777777" w:rsidTr="00AB057B">
        <w:trPr>
          <w:trHeight w:val="275"/>
        </w:trPr>
        <w:tc>
          <w:tcPr>
            <w:tcW w:w="1247" w:type="dxa"/>
          </w:tcPr>
          <w:p w14:paraId="31029D76" w14:textId="77777777" w:rsidR="008A2FF2" w:rsidRPr="00F36730" w:rsidRDefault="008A2FF2" w:rsidP="00AB057B">
            <w:pPr>
              <w:pStyle w:val="TableParagraph"/>
              <w:spacing w:line="240" w:lineRule="auto"/>
              <w:rPr>
                <w:rFonts w:ascii="Times New Roman"/>
                <w:sz w:val="20"/>
                <w:szCs w:val="20"/>
              </w:rPr>
            </w:pPr>
          </w:p>
        </w:tc>
        <w:tc>
          <w:tcPr>
            <w:tcW w:w="4687" w:type="dxa"/>
          </w:tcPr>
          <w:p w14:paraId="4C5F80D9" w14:textId="77777777" w:rsidR="008A2FF2" w:rsidRPr="00F36730" w:rsidRDefault="008A2FF2" w:rsidP="00AB057B">
            <w:pPr>
              <w:pStyle w:val="TableParagraph"/>
              <w:ind w:left="137"/>
              <w:rPr>
                <w:sz w:val="20"/>
                <w:szCs w:val="20"/>
              </w:rPr>
            </w:pPr>
            <w:r w:rsidRPr="00F36730">
              <w:rPr>
                <w:sz w:val="20"/>
                <w:szCs w:val="20"/>
              </w:rPr>
              <w:t xml:space="preserve">Service </w:t>
            </w:r>
            <w:r w:rsidRPr="00F36730">
              <w:rPr>
                <w:spacing w:val="-5"/>
                <w:sz w:val="20"/>
                <w:szCs w:val="20"/>
              </w:rPr>
              <w:t>Fee</w:t>
            </w:r>
          </w:p>
        </w:tc>
        <w:tc>
          <w:tcPr>
            <w:tcW w:w="2009" w:type="dxa"/>
          </w:tcPr>
          <w:p w14:paraId="06DEDB87" w14:textId="77777777" w:rsidR="008A2FF2" w:rsidRPr="00F36730" w:rsidRDefault="008A2FF2" w:rsidP="00AB057B">
            <w:pPr>
              <w:pStyle w:val="TableParagraph"/>
              <w:ind w:right="480"/>
              <w:jc w:val="right"/>
              <w:rPr>
                <w:sz w:val="20"/>
                <w:szCs w:val="20"/>
              </w:rPr>
            </w:pPr>
            <w:r w:rsidRPr="00F36730">
              <w:rPr>
                <w:spacing w:val="-2"/>
                <w:sz w:val="20"/>
                <w:szCs w:val="20"/>
              </w:rPr>
              <w:t>12,500</w:t>
            </w:r>
          </w:p>
        </w:tc>
        <w:tc>
          <w:tcPr>
            <w:tcW w:w="1543" w:type="dxa"/>
          </w:tcPr>
          <w:p w14:paraId="2E988397" w14:textId="77777777" w:rsidR="008A2FF2" w:rsidRPr="00F36730" w:rsidRDefault="008A2FF2" w:rsidP="00AB057B">
            <w:pPr>
              <w:pStyle w:val="TableParagraph"/>
              <w:ind w:right="290"/>
              <w:jc w:val="right"/>
              <w:rPr>
                <w:sz w:val="20"/>
                <w:szCs w:val="20"/>
              </w:rPr>
            </w:pPr>
            <w:r w:rsidRPr="00F36730">
              <w:rPr>
                <w:spacing w:val="-2"/>
                <w:sz w:val="20"/>
                <w:szCs w:val="20"/>
              </w:rPr>
              <w:t>15,000</w:t>
            </w:r>
          </w:p>
        </w:tc>
        <w:tc>
          <w:tcPr>
            <w:tcW w:w="1057" w:type="dxa"/>
          </w:tcPr>
          <w:p w14:paraId="2BFCFE84" w14:textId="77777777" w:rsidR="008A2FF2" w:rsidRPr="00F36730" w:rsidRDefault="008A2FF2" w:rsidP="00AB057B">
            <w:pPr>
              <w:pStyle w:val="TableParagraph"/>
              <w:ind w:right="36"/>
              <w:jc w:val="right"/>
              <w:rPr>
                <w:sz w:val="20"/>
                <w:szCs w:val="20"/>
              </w:rPr>
            </w:pPr>
            <w:r w:rsidRPr="00F36730">
              <w:rPr>
                <w:spacing w:val="-2"/>
                <w:sz w:val="20"/>
                <w:szCs w:val="20"/>
              </w:rPr>
              <w:t>2,500</w:t>
            </w:r>
          </w:p>
        </w:tc>
      </w:tr>
      <w:tr w:rsidR="008A2FF2" w:rsidRPr="00F36730" w14:paraId="5981626F" w14:textId="77777777" w:rsidTr="00AB057B">
        <w:trPr>
          <w:trHeight w:val="275"/>
        </w:trPr>
        <w:tc>
          <w:tcPr>
            <w:tcW w:w="1247" w:type="dxa"/>
          </w:tcPr>
          <w:p w14:paraId="1CFBF7A0" w14:textId="77777777" w:rsidR="008A2FF2" w:rsidRPr="00F36730" w:rsidRDefault="008A2FF2" w:rsidP="00AB057B">
            <w:pPr>
              <w:pStyle w:val="TableParagraph"/>
              <w:spacing w:line="240" w:lineRule="auto"/>
              <w:rPr>
                <w:rFonts w:ascii="Times New Roman"/>
                <w:sz w:val="20"/>
                <w:szCs w:val="20"/>
              </w:rPr>
            </w:pPr>
          </w:p>
        </w:tc>
        <w:tc>
          <w:tcPr>
            <w:tcW w:w="4687" w:type="dxa"/>
          </w:tcPr>
          <w:p w14:paraId="0957702C" w14:textId="77777777" w:rsidR="008A2FF2" w:rsidRPr="00F36730" w:rsidRDefault="008A2FF2" w:rsidP="00AB057B">
            <w:pPr>
              <w:pStyle w:val="TableParagraph"/>
              <w:ind w:left="137"/>
              <w:rPr>
                <w:sz w:val="20"/>
                <w:szCs w:val="20"/>
              </w:rPr>
            </w:pPr>
            <w:r w:rsidRPr="00F36730">
              <w:rPr>
                <w:spacing w:val="-2"/>
                <w:sz w:val="20"/>
                <w:szCs w:val="20"/>
              </w:rPr>
              <w:t>Sundry</w:t>
            </w:r>
          </w:p>
        </w:tc>
        <w:tc>
          <w:tcPr>
            <w:tcW w:w="2009" w:type="dxa"/>
          </w:tcPr>
          <w:p w14:paraId="7A77008D" w14:textId="77777777" w:rsidR="008A2FF2" w:rsidRPr="00F36730" w:rsidRDefault="008A2FF2" w:rsidP="00AB057B">
            <w:pPr>
              <w:pStyle w:val="TableParagraph"/>
              <w:ind w:right="480"/>
              <w:jc w:val="right"/>
              <w:rPr>
                <w:sz w:val="20"/>
                <w:szCs w:val="20"/>
              </w:rPr>
            </w:pPr>
            <w:r w:rsidRPr="00F36730">
              <w:rPr>
                <w:spacing w:val="-2"/>
                <w:sz w:val="20"/>
                <w:szCs w:val="20"/>
              </w:rPr>
              <w:t>1,106</w:t>
            </w:r>
          </w:p>
        </w:tc>
        <w:tc>
          <w:tcPr>
            <w:tcW w:w="1543" w:type="dxa"/>
          </w:tcPr>
          <w:p w14:paraId="425D26BF" w14:textId="77777777" w:rsidR="008A2FF2" w:rsidRPr="00F36730" w:rsidRDefault="008A2FF2" w:rsidP="00AB057B">
            <w:pPr>
              <w:pStyle w:val="TableParagraph"/>
              <w:ind w:right="290"/>
              <w:jc w:val="right"/>
              <w:rPr>
                <w:sz w:val="20"/>
                <w:szCs w:val="20"/>
              </w:rPr>
            </w:pPr>
            <w:r w:rsidRPr="00F36730">
              <w:rPr>
                <w:spacing w:val="-2"/>
                <w:sz w:val="20"/>
                <w:szCs w:val="20"/>
              </w:rPr>
              <w:t>12,000</w:t>
            </w:r>
          </w:p>
        </w:tc>
        <w:tc>
          <w:tcPr>
            <w:tcW w:w="1057" w:type="dxa"/>
          </w:tcPr>
          <w:p w14:paraId="0AA43B3E" w14:textId="77777777" w:rsidR="008A2FF2" w:rsidRPr="00F36730" w:rsidRDefault="008A2FF2" w:rsidP="00AB057B">
            <w:pPr>
              <w:pStyle w:val="TableParagraph"/>
              <w:ind w:right="37"/>
              <w:jc w:val="right"/>
              <w:rPr>
                <w:sz w:val="20"/>
                <w:szCs w:val="20"/>
              </w:rPr>
            </w:pPr>
            <w:r w:rsidRPr="00F36730">
              <w:rPr>
                <w:spacing w:val="-2"/>
                <w:sz w:val="20"/>
                <w:szCs w:val="20"/>
              </w:rPr>
              <w:t>10,894</w:t>
            </w:r>
          </w:p>
        </w:tc>
      </w:tr>
      <w:tr w:rsidR="008A2FF2" w:rsidRPr="00F36730" w14:paraId="6898D777" w14:textId="77777777" w:rsidTr="00AB057B">
        <w:trPr>
          <w:trHeight w:val="275"/>
        </w:trPr>
        <w:tc>
          <w:tcPr>
            <w:tcW w:w="1247" w:type="dxa"/>
          </w:tcPr>
          <w:p w14:paraId="53AA1CE8" w14:textId="77777777" w:rsidR="008A2FF2" w:rsidRPr="00F36730" w:rsidRDefault="008A2FF2" w:rsidP="00AB057B">
            <w:pPr>
              <w:pStyle w:val="TableParagraph"/>
              <w:spacing w:line="240" w:lineRule="auto"/>
              <w:rPr>
                <w:rFonts w:ascii="Times New Roman"/>
                <w:sz w:val="20"/>
                <w:szCs w:val="20"/>
              </w:rPr>
            </w:pPr>
          </w:p>
        </w:tc>
        <w:tc>
          <w:tcPr>
            <w:tcW w:w="4687" w:type="dxa"/>
          </w:tcPr>
          <w:p w14:paraId="4023CF4A" w14:textId="77777777" w:rsidR="008A2FF2" w:rsidRPr="00F36730" w:rsidRDefault="008A2FF2" w:rsidP="00AB057B">
            <w:pPr>
              <w:pStyle w:val="TableParagraph"/>
              <w:ind w:left="137"/>
              <w:rPr>
                <w:sz w:val="20"/>
                <w:szCs w:val="20"/>
              </w:rPr>
            </w:pPr>
            <w:r w:rsidRPr="00F36730">
              <w:rPr>
                <w:sz w:val="20"/>
                <w:szCs w:val="20"/>
              </w:rPr>
              <w:t>Audit</w:t>
            </w:r>
            <w:r w:rsidRPr="00F36730">
              <w:rPr>
                <w:spacing w:val="-3"/>
                <w:sz w:val="20"/>
                <w:szCs w:val="20"/>
              </w:rPr>
              <w:t xml:space="preserve"> </w:t>
            </w:r>
            <w:r w:rsidRPr="00F36730">
              <w:rPr>
                <w:spacing w:val="-4"/>
                <w:sz w:val="20"/>
                <w:szCs w:val="20"/>
              </w:rPr>
              <w:t>Fees</w:t>
            </w:r>
          </w:p>
        </w:tc>
        <w:tc>
          <w:tcPr>
            <w:tcW w:w="2009" w:type="dxa"/>
          </w:tcPr>
          <w:p w14:paraId="38D43003" w14:textId="77777777" w:rsidR="008A2FF2" w:rsidRPr="00F36730" w:rsidRDefault="008A2FF2" w:rsidP="00AB057B">
            <w:pPr>
              <w:pStyle w:val="TableParagraph"/>
              <w:ind w:right="480"/>
              <w:jc w:val="right"/>
              <w:rPr>
                <w:sz w:val="20"/>
                <w:szCs w:val="20"/>
              </w:rPr>
            </w:pPr>
            <w:r w:rsidRPr="00F36730">
              <w:rPr>
                <w:spacing w:val="-2"/>
                <w:sz w:val="20"/>
                <w:szCs w:val="20"/>
              </w:rPr>
              <w:t>5,250</w:t>
            </w:r>
          </w:p>
        </w:tc>
        <w:tc>
          <w:tcPr>
            <w:tcW w:w="1543" w:type="dxa"/>
          </w:tcPr>
          <w:p w14:paraId="3F42ACAB" w14:textId="77777777" w:rsidR="008A2FF2" w:rsidRPr="00F36730" w:rsidRDefault="008A2FF2" w:rsidP="00AB057B">
            <w:pPr>
              <w:pStyle w:val="TableParagraph"/>
              <w:ind w:right="290"/>
              <w:jc w:val="right"/>
              <w:rPr>
                <w:sz w:val="20"/>
                <w:szCs w:val="20"/>
              </w:rPr>
            </w:pPr>
            <w:r w:rsidRPr="00F36730">
              <w:rPr>
                <w:spacing w:val="-2"/>
                <w:sz w:val="20"/>
                <w:szCs w:val="20"/>
              </w:rPr>
              <w:t>3,000</w:t>
            </w:r>
          </w:p>
        </w:tc>
        <w:tc>
          <w:tcPr>
            <w:tcW w:w="1057" w:type="dxa"/>
          </w:tcPr>
          <w:p w14:paraId="7BE70431" w14:textId="77777777" w:rsidR="008A2FF2" w:rsidRPr="00F36730" w:rsidRDefault="008A2FF2" w:rsidP="00AB057B">
            <w:pPr>
              <w:pStyle w:val="TableParagraph"/>
              <w:ind w:right="36"/>
              <w:jc w:val="right"/>
              <w:rPr>
                <w:sz w:val="20"/>
                <w:szCs w:val="20"/>
              </w:rPr>
            </w:pPr>
            <w:r w:rsidRPr="00F36730">
              <w:rPr>
                <w:spacing w:val="-2"/>
                <w:sz w:val="20"/>
                <w:szCs w:val="20"/>
              </w:rPr>
              <w:t>(2,250)</w:t>
            </w:r>
          </w:p>
        </w:tc>
      </w:tr>
      <w:tr w:rsidR="008A2FF2" w:rsidRPr="00F36730" w14:paraId="606B9BF9" w14:textId="77777777" w:rsidTr="00AB057B">
        <w:trPr>
          <w:trHeight w:val="276"/>
        </w:trPr>
        <w:tc>
          <w:tcPr>
            <w:tcW w:w="1247" w:type="dxa"/>
          </w:tcPr>
          <w:p w14:paraId="4A8EE03F" w14:textId="77777777" w:rsidR="008A2FF2" w:rsidRPr="00F36730" w:rsidRDefault="008A2FF2" w:rsidP="00AB057B">
            <w:pPr>
              <w:pStyle w:val="TableParagraph"/>
              <w:spacing w:line="240" w:lineRule="auto"/>
              <w:rPr>
                <w:rFonts w:ascii="Times New Roman"/>
                <w:sz w:val="20"/>
                <w:szCs w:val="20"/>
              </w:rPr>
            </w:pPr>
          </w:p>
        </w:tc>
        <w:tc>
          <w:tcPr>
            <w:tcW w:w="4687" w:type="dxa"/>
          </w:tcPr>
          <w:p w14:paraId="663DBFEE" w14:textId="77777777" w:rsidR="008A2FF2" w:rsidRPr="00F36730" w:rsidRDefault="008A2FF2" w:rsidP="00AB057B">
            <w:pPr>
              <w:pStyle w:val="TableParagraph"/>
              <w:ind w:left="137"/>
              <w:rPr>
                <w:sz w:val="20"/>
                <w:szCs w:val="20"/>
              </w:rPr>
            </w:pPr>
            <w:r w:rsidRPr="00F36730">
              <w:rPr>
                <w:sz w:val="20"/>
                <w:szCs w:val="20"/>
              </w:rPr>
              <w:t>Project</w:t>
            </w:r>
            <w:r w:rsidRPr="00F36730">
              <w:rPr>
                <w:spacing w:val="-5"/>
                <w:sz w:val="20"/>
                <w:szCs w:val="20"/>
              </w:rPr>
              <w:t xml:space="preserve"> </w:t>
            </w:r>
            <w:r w:rsidRPr="00F36730">
              <w:rPr>
                <w:sz w:val="20"/>
                <w:szCs w:val="20"/>
              </w:rPr>
              <w:t>Legal</w:t>
            </w:r>
            <w:r w:rsidRPr="00F36730">
              <w:rPr>
                <w:spacing w:val="-2"/>
                <w:sz w:val="20"/>
                <w:szCs w:val="20"/>
              </w:rPr>
              <w:t xml:space="preserve"> </w:t>
            </w:r>
            <w:r w:rsidRPr="00F36730">
              <w:rPr>
                <w:spacing w:val="-4"/>
                <w:sz w:val="20"/>
                <w:szCs w:val="20"/>
              </w:rPr>
              <w:t>fees</w:t>
            </w:r>
          </w:p>
        </w:tc>
        <w:tc>
          <w:tcPr>
            <w:tcW w:w="2009" w:type="dxa"/>
          </w:tcPr>
          <w:p w14:paraId="69F8EEA4" w14:textId="77777777" w:rsidR="008A2FF2" w:rsidRPr="00F36730" w:rsidRDefault="008A2FF2" w:rsidP="00AB057B">
            <w:pPr>
              <w:pStyle w:val="TableParagraph"/>
              <w:ind w:right="480"/>
              <w:jc w:val="right"/>
              <w:rPr>
                <w:sz w:val="20"/>
                <w:szCs w:val="20"/>
              </w:rPr>
            </w:pPr>
            <w:r w:rsidRPr="00F36730">
              <w:rPr>
                <w:spacing w:val="-2"/>
                <w:sz w:val="20"/>
                <w:szCs w:val="20"/>
              </w:rPr>
              <w:t>49,599</w:t>
            </w:r>
          </w:p>
        </w:tc>
        <w:tc>
          <w:tcPr>
            <w:tcW w:w="1543" w:type="dxa"/>
          </w:tcPr>
          <w:p w14:paraId="0DE7F9F9" w14:textId="77777777" w:rsidR="008A2FF2" w:rsidRPr="00F36730" w:rsidRDefault="008A2FF2" w:rsidP="00AB057B">
            <w:pPr>
              <w:pStyle w:val="TableParagraph"/>
              <w:ind w:right="290"/>
              <w:jc w:val="right"/>
              <w:rPr>
                <w:sz w:val="20"/>
                <w:szCs w:val="20"/>
              </w:rPr>
            </w:pPr>
            <w:r w:rsidRPr="00F36730">
              <w:rPr>
                <w:spacing w:val="-2"/>
                <w:sz w:val="20"/>
                <w:szCs w:val="20"/>
              </w:rPr>
              <w:t>25,000</w:t>
            </w:r>
          </w:p>
        </w:tc>
        <w:tc>
          <w:tcPr>
            <w:tcW w:w="1057" w:type="dxa"/>
          </w:tcPr>
          <w:p w14:paraId="176D8A9E" w14:textId="77777777" w:rsidR="008A2FF2" w:rsidRPr="00F36730" w:rsidRDefault="008A2FF2" w:rsidP="00AB057B">
            <w:pPr>
              <w:pStyle w:val="TableParagraph"/>
              <w:ind w:right="35"/>
              <w:jc w:val="right"/>
              <w:rPr>
                <w:sz w:val="20"/>
                <w:szCs w:val="20"/>
              </w:rPr>
            </w:pPr>
            <w:r w:rsidRPr="00F36730">
              <w:rPr>
                <w:spacing w:val="-2"/>
                <w:sz w:val="20"/>
                <w:szCs w:val="20"/>
              </w:rPr>
              <w:t>(24,599)</w:t>
            </w:r>
          </w:p>
        </w:tc>
      </w:tr>
      <w:tr w:rsidR="008A2FF2" w:rsidRPr="00F36730" w14:paraId="7F3043DC" w14:textId="77777777" w:rsidTr="00AB057B">
        <w:trPr>
          <w:trHeight w:val="525"/>
        </w:trPr>
        <w:tc>
          <w:tcPr>
            <w:tcW w:w="1247" w:type="dxa"/>
          </w:tcPr>
          <w:p w14:paraId="1B4B91BA" w14:textId="77777777" w:rsidR="008A2FF2" w:rsidRPr="00F36730" w:rsidRDefault="008A2FF2" w:rsidP="00AB057B">
            <w:pPr>
              <w:pStyle w:val="TableParagraph"/>
              <w:spacing w:line="240" w:lineRule="auto"/>
              <w:rPr>
                <w:rFonts w:ascii="Times New Roman"/>
                <w:sz w:val="20"/>
                <w:szCs w:val="20"/>
              </w:rPr>
            </w:pPr>
          </w:p>
        </w:tc>
        <w:tc>
          <w:tcPr>
            <w:tcW w:w="4687" w:type="dxa"/>
          </w:tcPr>
          <w:p w14:paraId="3D22401F" w14:textId="77777777" w:rsidR="008A2FF2" w:rsidRPr="00F36730" w:rsidRDefault="008A2FF2" w:rsidP="00AB057B">
            <w:pPr>
              <w:pStyle w:val="TableParagraph"/>
              <w:ind w:left="137"/>
              <w:rPr>
                <w:sz w:val="20"/>
                <w:szCs w:val="20"/>
              </w:rPr>
            </w:pPr>
            <w:r w:rsidRPr="00F36730">
              <w:rPr>
                <w:sz w:val="20"/>
                <w:szCs w:val="20"/>
              </w:rPr>
              <w:t>Salary</w:t>
            </w:r>
            <w:r w:rsidRPr="00F36730">
              <w:rPr>
                <w:spacing w:val="-2"/>
                <w:sz w:val="20"/>
                <w:szCs w:val="20"/>
              </w:rPr>
              <w:t xml:space="preserve"> </w:t>
            </w:r>
            <w:r w:rsidRPr="00F36730">
              <w:rPr>
                <w:sz w:val="20"/>
                <w:szCs w:val="20"/>
              </w:rPr>
              <w:t>&amp;</w:t>
            </w:r>
            <w:r w:rsidRPr="00F36730">
              <w:rPr>
                <w:spacing w:val="-1"/>
                <w:sz w:val="20"/>
                <w:szCs w:val="20"/>
              </w:rPr>
              <w:t xml:space="preserve"> </w:t>
            </w:r>
            <w:r w:rsidRPr="00F36730">
              <w:rPr>
                <w:sz w:val="20"/>
                <w:szCs w:val="20"/>
              </w:rPr>
              <w:t>On</w:t>
            </w:r>
            <w:r w:rsidRPr="00F36730">
              <w:rPr>
                <w:spacing w:val="-1"/>
                <w:sz w:val="20"/>
                <w:szCs w:val="20"/>
              </w:rPr>
              <w:t xml:space="preserve"> </w:t>
            </w:r>
            <w:r w:rsidRPr="00F36730">
              <w:rPr>
                <w:spacing w:val="-4"/>
                <w:sz w:val="20"/>
                <w:szCs w:val="20"/>
              </w:rPr>
              <w:t>Costs</w:t>
            </w:r>
          </w:p>
        </w:tc>
        <w:tc>
          <w:tcPr>
            <w:tcW w:w="2009" w:type="dxa"/>
            <w:tcBorders>
              <w:bottom w:val="single" w:sz="8" w:space="0" w:color="000000"/>
            </w:tcBorders>
          </w:tcPr>
          <w:p w14:paraId="6602BDE6" w14:textId="77777777" w:rsidR="008A2FF2" w:rsidRPr="00F36730" w:rsidRDefault="008A2FF2" w:rsidP="00AB057B">
            <w:pPr>
              <w:pStyle w:val="TableParagraph"/>
              <w:ind w:right="479"/>
              <w:jc w:val="right"/>
              <w:rPr>
                <w:sz w:val="20"/>
                <w:szCs w:val="20"/>
              </w:rPr>
            </w:pPr>
            <w:r w:rsidRPr="00F36730">
              <w:rPr>
                <w:spacing w:val="-2"/>
                <w:sz w:val="20"/>
                <w:szCs w:val="20"/>
              </w:rPr>
              <w:t>124,550</w:t>
            </w:r>
          </w:p>
        </w:tc>
        <w:tc>
          <w:tcPr>
            <w:tcW w:w="1543" w:type="dxa"/>
            <w:tcBorders>
              <w:bottom w:val="single" w:sz="8" w:space="0" w:color="000000"/>
            </w:tcBorders>
          </w:tcPr>
          <w:p w14:paraId="123C1C31" w14:textId="77777777" w:rsidR="008A2FF2" w:rsidRPr="00F36730" w:rsidRDefault="008A2FF2" w:rsidP="00AB057B">
            <w:pPr>
              <w:pStyle w:val="TableParagraph"/>
              <w:ind w:right="290"/>
              <w:jc w:val="right"/>
              <w:rPr>
                <w:sz w:val="20"/>
                <w:szCs w:val="20"/>
              </w:rPr>
            </w:pPr>
            <w:r w:rsidRPr="00F36730">
              <w:rPr>
                <w:spacing w:val="-2"/>
                <w:sz w:val="20"/>
                <w:szCs w:val="20"/>
              </w:rPr>
              <w:t>85,000</w:t>
            </w:r>
          </w:p>
        </w:tc>
        <w:tc>
          <w:tcPr>
            <w:tcW w:w="1057" w:type="dxa"/>
            <w:tcBorders>
              <w:bottom w:val="single" w:sz="8" w:space="0" w:color="000000"/>
            </w:tcBorders>
          </w:tcPr>
          <w:p w14:paraId="27122C0A" w14:textId="77777777" w:rsidR="008A2FF2" w:rsidRPr="00F36730" w:rsidRDefault="008A2FF2" w:rsidP="00AB057B">
            <w:pPr>
              <w:pStyle w:val="TableParagraph"/>
              <w:ind w:right="35"/>
              <w:jc w:val="right"/>
              <w:rPr>
                <w:sz w:val="20"/>
                <w:szCs w:val="20"/>
              </w:rPr>
            </w:pPr>
            <w:r w:rsidRPr="00F36730">
              <w:rPr>
                <w:spacing w:val="-2"/>
                <w:sz w:val="20"/>
                <w:szCs w:val="20"/>
              </w:rPr>
              <w:t>(39,550)</w:t>
            </w:r>
          </w:p>
        </w:tc>
      </w:tr>
      <w:tr w:rsidR="008A2FF2" w:rsidRPr="00F36730" w14:paraId="3EBB7456" w14:textId="77777777" w:rsidTr="00AB057B">
        <w:trPr>
          <w:trHeight w:val="248"/>
        </w:trPr>
        <w:tc>
          <w:tcPr>
            <w:tcW w:w="1247" w:type="dxa"/>
          </w:tcPr>
          <w:p w14:paraId="79A85304" w14:textId="77777777" w:rsidR="008A2FF2" w:rsidRPr="00F36730" w:rsidRDefault="008A2FF2" w:rsidP="00AB057B">
            <w:pPr>
              <w:pStyle w:val="TableParagraph"/>
              <w:spacing w:line="240" w:lineRule="auto"/>
              <w:rPr>
                <w:rFonts w:ascii="Times New Roman"/>
                <w:sz w:val="20"/>
                <w:szCs w:val="20"/>
              </w:rPr>
            </w:pPr>
          </w:p>
        </w:tc>
        <w:tc>
          <w:tcPr>
            <w:tcW w:w="4687" w:type="dxa"/>
          </w:tcPr>
          <w:p w14:paraId="4985C9A6" w14:textId="77777777" w:rsidR="008A2FF2" w:rsidRPr="00F36730" w:rsidRDefault="008A2FF2" w:rsidP="00AB057B">
            <w:pPr>
              <w:pStyle w:val="TableParagraph"/>
              <w:spacing w:line="240" w:lineRule="auto"/>
              <w:rPr>
                <w:rFonts w:ascii="Times New Roman"/>
                <w:sz w:val="20"/>
                <w:szCs w:val="20"/>
              </w:rPr>
            </w:pPr>
          </w:p>
        </w:tc>
        <w:tc>
          <w:tcPr>
            <w:tcW w:w="2009" w:type="dxa"/>
            <w:tcBorders>
              <w:top w:val="single" w:sz="8" w:space="0" w:color="000000"/>
              <w:bottom w:val="double" w:sz="8" w:space="0" w:color="000000"/>
            </w:tcBorders>
          </w:tcPr>
          <w:p w14:paraId="2C95AF43" w14:textId="77777777" w:rsidR="008A2FF2" w:rsidRPr="00F36730" w:rsidRDefault="008A2FF2" w:rsidP="00AB057B">
            <w:pPr>
              <w:pStyle w:val="TableParagraph"/>
              <w:spacing w:before="5" w:line="223" w:lineRule="exact"/>
              <w:ind w:left="761"/>
              <w:rPr>
                <w:b/>
                <w:sz w:val="20"/>
                <w:szCs w:val="20"/>
              </w:rPr>
            </w:pPr>
            <w:r w:rsidRPr="00F36730">
              <w:rPr>
                <w:b/>
                <w:spacing w:val="-2"/>
                <w:sz w:val="20"/>
                <w:szCs w:val="20"/>
              </w:rPr>
              <w:t>215,480</w:t>
            </w:r>
          </w:p>
        </w:tc>
        <w:tc>
          <w:tcPr>
            <w:tcW w:w="1543" w:type="dxa"/>
            <w:tcBorders>
              <w:top w:val="single" w:sz="8" w:space="0" w:color="000000"/>
              <w:bottom w:val="double" w:sz="8" w:space="0" w:color="000000"/>
            </w:tcBorders>
          </w:tcPr>
          <w:p w14:paraId="05715B89" w14:textId="77777777" w:rsidR="008A2FF2" w:rsidRPr="00F36730" w:rsidRDefault="008A2FF2" w:rsidP="00AB057B">
            <w:pPr>
              <w:pStyle w:val="TableParagraph"/>
              <w:spacing w:before="5" w:line="223" w:lineRule="exact"/>
              <w:ind w:left="483"/>
              <w:rPr>
                <w:b/>
                <w:sz w:val="20"/>
                <w:szCs w:val="20"/>
              </w:rPr>
            </w:pPr>
            <w:r w:rsidRPr="00F36730">
              <w:rPr>
                <w:b/>
                <w:spacing w:val="-2"/>
                <w:sz w:val="20"/>
                <w:szCs w:val="20"/>
              </w:rPr>
              <w:t>274,015</w:t>
            </w:r>
          </w:p>
        </w:tc>
        <w:tc>
          <w:tcPr>
            <w:tcW w:w="1057" w:type="dxa"/>
            <w:tcBorders>
              <w:top w:val="single" w:sz="8" w:space="0" w:color="000000"/>
              <w:bottom w:val="double" w:sz="8" w:space="0" w:color="000000"/>
            </w:tcBorders>
          </w:tcPr>
          <w:p w14:paraId="68D1411A" w14:textId="77777777" w:rsidR="008A2FF2" w:rsidRPr="00F36730" w:rsidRDefault="008A2FF2" w:rsidP="00AB057B">
            <w:pPr>
              <w:pStyle w:val="TableParagraph"/>
              <w:spacing w:before="5" w:line="223" w:lineRule="exact"/>
              <w:ind w:right="38"/>
              <w:jc w:val="right"/>
              <w:rPr>
                <w:b/>
                <w:sz w:val="20"/>
                <w:szCs w:val="20"/>
              </w:rPr>
            </w:pPr>
            <w:r w:rsidRPr="00F36730">
              <w:rPr>
                <w:b/>
                <w:spacing w:val="-2"/>
                <w:sz w:val="20"/>
                <w:szCs w:val="20"/>
              </w:rPr>
              <w:t>58,535</w:t>
            </w:r>
          </w:p>
        </w:tc>
      </w:tr>
    </w:tbl>
    <w:p w14:paraId="386AE4AE" w14:textId="77777777" w:rsidR="008A2FF2" w:rsidRPr="00F36730" w:rsidRDefault="008A2FF2" w:rsidP="008A2FF2">
      <w:pPr>
        <w:pStyle w:val="BodyText"/>
        <w:rPr>
          <w:rFonts w:ascii="Calibri"/>
          <w:b/>
          <w:sz w:val="20"/>
          <w:szCs w:val="20"/>
        </w:rPr>
      </w:pPr>
    </w:p>
    <w:p w14:paraId="0ECAA21E" w14:textId="77777777" w:rsidR="008A2FF2" w:rsidRPr="00F36730" w:rsidRDefault="008A2FF2" w:rsidP="008A2FF2">
      <w:pPr>
        <w:pStyle w:val="BodyText"/>
        <w:spacing w:before="84"/>
        <w:rPr>
          <w:rFonts w:ascii="Calibri"/>
          <w:b/>
          <w:sz w:val="20"/>
          <w:szCs w:val="20"/>
        </w:rPr>
      </w:pPr>
    </w:p>
    <w:tbl>
      <w:tblPr>
        <w:tblW w:w="0" w:type="auto"/>
        <w:tblInd w:w="599" w:type="dxa"/>
        <w:tblLayout w:type="fixed"/>
        <w:tblCellMar>
          <w:left w:w="0" w:type="dxa"/>
          <w:right w:w="0" w:type="dxa"/>
        </w:tblCellMar>
        <w:tblLook w:val="01E0" w:firstRow="1" w:lastRow="1" w:firstColumn="1" w:lastColumn="1" w:noHBand="0" w:noVBand="0"/>
      </w:tblPr>
      <w:tblGrid>
        <w:gridCol w:w="5935"/>
        <w:gridCol w:w="1570"/>
      </w:tblGrid>
      <w:tr w:rsidR="008A2FF2" w:rsidRPr="00F36730" w14:paraId="6852B6D8" w14:textId="77777777" w:rsidTr="00AB057B">
        <w:trPr>
          <w:trHeight w:val="256"/>
        </w:trPr>
        <w:tc>
          <w:tcPr>
            <w:tcW w:w="5935" w:type="dxa"/>
          </w:tcPr>
          <w:p w14:paraId="0EBA12D2" w14:textId="77777777" w:rsidR="008A2FF2" w:rsidRPr="00F36730" w:rsidRDefault="008A2FF2" w:rsidP="00AB057B">
            <w:pPr>
              <w:pStyle w:val="TableParagraph"/>
              <w:spacing w:line="236" w:lineRule="exact"/>
              <w:ind w:left="50"/>
              <w:rPr>
                <w:sz w:val="20"/>
                <w:szCs w:val="20"/>
              </w:rPr>
            </w:pPr>
            <w:r w:rsidRPr="00F36730">
              <w:rPr>
                <w:spacing w:val="-2"/>
                <w:sz w:val="20"/>
                <w:szCs w:val="20"/>
              </w:rPr>
              <w:t>Surplus/(Deficit)</w:t>
            </w:r>
          </w:p>
        </w:tc>
        <w:tc>
          <w:tcPr>
            <w:tcW w:w="1570" w:type="dxa"/>
            <w:tcBorders>
              <w:top w:val="single" w:sz="8" w:space="0" w:color="000000"/>
              <w:bottom w:val="single" w:sz="8" w:space="0" w:color="000000"/>
            </w:tcBorders>
          </w:tcPr>
          <w:p w14:paraId="1370C56E" w14:textId="77777777" w:rsidR="008A2FF2" w:rsidRPr="00F36730" w:rsidRDefault="008A2FF2" w:rsidP="00AB057B">
            <w:pPr>
              <w:pStyle w:val="TableParagraph"/>
              <w:spacing w:line="236" w:lineRule="exact"/>
              <w:ind w:right="40"/>
              <w:jc w:val="right"/>
              <w:rPr>
                <w:sz w:val="20"/>
                <w:szCs w:val="20"/>
              </w:rPr>
            </w:pPr>
            <w:r w:rsidRPr="00F36730">
              <w:rPr>
                <w:spacing w:val="-2"/>
                <w:sz w:val="20"/>
                <w:szCs w:val="20"/>
              </w:rPr>
              <w:t>(15,480)</w:t>
            </w:r>
          </w:p>
        </w:tc>
      </w:tr>
      <w:tr w:rsidR="008A2FF2" w:rsidRPr="00F36730" w14:paraId="3C4A63D6" w14:textId="77777777" w:rsidTr="00AB057B">
        <w:trPr>
          <w:trHeight w:val="255"/>
        </w:trPr>
        <w:tc>
          <w:tcPr>
            <w:tcW w:w="5935" w:type="dxa"/>
          </w:tcPr>
          <w:p w14:paraId="483D6AEA" w14:textId="77777777" w:rsidR="008A2FF2" w:rsidRPr="00F36730" w:rsidRDefault="008A2FF2" w:rsidP="00AB057B">
            <w:pPr>
              <w:pStyle w:val="TableParagraph"/>
              <w:spacing w:line="240" w:lineRule="auto"/>
              <w:rPr>
                <w:rFonts w:ascii="Times New Roman"/>
                <w:sz w:val="20"/>
                <w:szCs w:val="20"/>
              </w:rPr>
            </w:pPr>
          </w:p>
        </w:tc>
        <w:tc>
          <w:tcPr>
            <w:tcW w:w="1570" w:type="dxa"/>
            <w:tcBorders>
              <w:top w:val="single" w:sz="8" w:space="0" w:color="000000"/>
              <w:bottom w:val="single" w:sz="8" w:space="0" w:color="000000"/>
            </w:tcBorders>
          </w:tcPr>
          <w:p w14:paraId="773B62CE" w14:textId="77777777" w:rsidR="008A2FF2" w:rsidRPr="00F36730" w:rsidRDefault="008A2FF2" w:rsidP="00AB057B">
            <w:pPr>
              <w:pStyle w:val="TableParagraph"/>
              <w:spacing w:line="240" w:lineRule="auto"/>
              <w:rPr>
                <w:rFonts w:ascii="Times New Roman"/>
                <w:sz w:val="20"/>
                <w:szCs w:val="20"/>
              </w:rPr>
            </w:pPr>
          </w:p>
        </w:tc>
      </w:tr>
      <w:tr w:rsidR="008A2FF2" w:rsidRPr="00F36730" w14:paraId="4812BF6A" w14:textId="77777777" w:rsidTr="00AB057B">
        <w:trPr>
          <w:trHeight w:val="256"/>
        </w:trPr>
        <w:tc>
          <w:tcPr>
            <w:tcW w:w="5935" w:type="dxa"/>
          </w:tcPr>
          <w:p w14:paraId="0CE4CAE8" w14:textId="77777777" w:rsidR="008A2FF2" w:rsidRPr="00F36730" w:rsidRDefault="008A2FF2" w:rsidP="00AB057B">
            <w:pPr>
              <w:pStyle w:val="TableParagraph"/>
              <w:spacing w:line="236" w:lineRule="exact"/>
              <w:ind w:left="50"/>
              <w:rPr>
                <w:sz w:val="20"/>
                <w:szCs w:val="20"/>
              </w:rPr>
            </w:pPr>
            <w:r w:rsidRPr="00F36730">
              <w:rPr>
                <w:sz w:val="20"/>
                <w:szCs w:val="20"/>
              </w:rPr>
              <w:t>Prior</w:t>
            </w:r>
            <w:r w:rsidRPr="00F36730">
              <w:rPr>
                <w:spacing w:val="-2"/>
                <w:sz w:val="20"/>
                <w:szCs w:val="20"/>
              </w:rPr>
              <w:t xml:space="preserve"> </w:t>
            </w:r>
            <w:r w:rsidRPr="00F36730">
              <w:rPr>
                <w:sz w:val="20"/>
                <w:szCs w:val="20"/>
              </w:rPr>
              <w:t>years</w:t>
            </w:r>
            <w:r w:rsidRPr="00F36730">
              <w:rPr>
                <w:spacing w:val="-2"/>
                <w:sz w:val="20"/>
                <w:szCs w:val="20"/>
              </w:rPr>
              <w:t xml:space="preserve"> </w:t>
            </w:r>
            <w:r w:rsidRPr="00F36730">
              <w:rPr>
                <w:sz w:val="20"/>
                <w:szCs w:val="20"/>
              </w:rPr>
              <w:t>unspent</w:t>
            </w:r>
            <w:r w:rsidRPr="00F36730">
              <w:rPr>
                <w:spacing w:val="-2"/>
                <w:sz w:val="20"/>
                <w:szCs w:val="20"/>
              </w:rPr>
              <w:t xml:space="preserve"> funding</w:t>
            </w:r>
          </w:p>
        </w:tc>
        <w:tc>
          <w:tcPr>
            <w:tcW w:w="1570" w:type="dxa"/>
            <w:tcBorders>
              <w:top w:val="single" w:sz="8" w:space="0" w:color="000000"/>
              <w:bottom w:val="single" w:sz="8" w:space="0" w:color="000000"/>
            </w:tcBorders>
          </w:tcPr>
          <w:p w14:paraId="4048E8AB" w14:textId="77777777" w:rsidR="008A2FF2" w:rsidRPr="00F36730" w:rsidRDefault="008A2FF2" w:rsidP="00AB057B">
            <w:pPr>
              <w:pStyle w:val="TableParagraph"/>
              <w:spacing w:line="236" w:lineRule="exact"/>
              <w:ind w:right="42"/>
              <w:jc w:val="right"/>
              <w:rPr>
                <w:sz w:val="20"/>
                <w:szCs w:val="20"/>
              </w:rPr>
            </w:pPr>
            <w:r w:rsidRPr="00F36730">
              <w:rPr>
                <w:spacing w:val="-2"/>
                <w:sz w:val="20"/>
                <w:szCs w:val="20"/>
              </w:rPr>
              <w:t>74,016</w:t>
            </w:r>
          </w:p>
        </w:tc>
      </w:tr>
      <w:tr w:rsidR="008A2FF2" w:rsidRPr="00F36730" w14:paraId="5BB28E82" w14:textId="77777777" w:rsidTr="00AB057B">
        <w:trPr>
          <w:trHeight w:val="255"/>
        </w:trPr>
        <w:tc>
          <w:tcPr>
            <w:tcW w:w="5935" w:type="dxa"/>
          </w:tcPr>
          <w:p w14:paraId="12461070" w14:textId="77777777" w:rsidR="008A2FF2" w:rsidRPr="00F36730" w:rsidRDefault="008A2FF2" w:rsidP="00AB057B">
            <w:pPr>
              <w:pStyle w:val="TableParagraph"/>
              <w:spacing w:line="240" w:lineRule="auto"/>
              <w:rPr>
                <w:rFonts w:ascii="Times New Roman"/>
                <w:sz w:val="20"/>
                <w:szCs w:val="20"/>
              </w:rPr>
            </w:pPr>
          </w:p>
        </w:tc>
        <w:tc>
          <w:tcPr>
            <w:tcW w:w="1570" w:type="dxa"/>
            <w:tcBorders>
              <w:top w:val="single" w:sz="8" w:space="0" w:color="000000"/>
              <w:bottom w:val="single" w:sz="8" w:space="0" w:color="000000"/>
            </w:tcBorders>
          </w:tcPr>
          <w:p w14:paraId="24F164BE" w14:textId="77777777" w:rsidR="008A2FF2" w:rsidRPr="00F36730" w:rsidRDefault="008A2FF2" w:rsidP="00AB057B">
            <w:pPr>
              <w:pStyle w:val="TableParagraph"/>
              <w:spacing w:line="240" w:lineRule="auto"/>
              <w:rPr>
                <w:rFonts w:ascii="Times New Roman"/>
                <w:sz w:val="20"/>
                <w:szCs w:val="20"/>
              </w:rPr>
            </w:pPr>
          </w:p>
        </w:tc>
      </w:tr>
      <w:tr w:rsidR="008A2FF2" w:rsidRPr="00F36730" w14:paraId="674C5404" w14:textId="77777777" w:rsidTr="00AB057B">
        <w:trPr>
          <w:trHeight w:val="254"/>
        </w:trPr>
        <w:tc>
          <w:tcPr>
            <w:tcW w:w="5935" w:type="dxa"/>
          </w:tcPr>
          <w:p w14:paraId="6C1207FC" w14:textId="77777777" w:rsidR="008A2FF2" w:rsidRPr="00F36730" w:rsidRDefault="008A2FF2" w:rsidP="00AB057B">
            <w:pPr>
              <w:pStyle w:val="TableParagraph"/>
              <w:spacing w:line="234" w:lineRule="exact"/>
              <w:ind w:left="50"/>
              <w:rPr>
                <w:b/>
                <w:sz w:val="20"/>
                <w:szCs w:val="20"/>
              </w:rPr>
            </w:pPr>
            <w:r w:rsidRPr="00F36730">
              <w:rPr>
                <w:b/>
                <w:sz w:val="20"/>
                <w:szCs w:val="20"/>
              </w:rPr>
              <w:t>Total</w:t>
            </w:r>
            <w:r w:rsidRPr="00F36730">
              <w:rPr>
                <w:b/>
                <w:spacing w:val="-3"/>
                <w:sz w:val="20"/>
                <w:szCs w:val="20"/>
              </w:rPr>
              <w:t xml:space="preserve"> </w:t>
            </w:r>
            <w:r w:rsidRPr="00F36730">
              <w:rPr>
                <w:b/>
                <w:sz w:val="20"/>
                <w:szCs w:val="20"/>
              </w:rPr>
              <w:t>Balance</w:t>
            </w:r>
            <w:r w:rsidRPr="00F36730">
              <w:rPr>
                <w:b/>
                <w:spacing w:val="-2"/>
                <w:sz w:val="20"/>
                <w:szCs w:val="20"/>
              </w:rPr>
              <w:t xml:space="preserve"> </w:t>
            </w:r>
            <w:r w:rsidRPr="00F36730">
              <w:rPr>
                <w:b/>
                <w:sz w:val="20"/>
                <w:szCs w:val="20"/>
              </w:rPr>
              <w:t>of</w:t>
            </w:r>
            <w:r w:rsidRPr="00F36730">
              <w:rPr>
                <w:b/>
                <w:spacing w:val="-2"/>
                <w:sz w:val="20"/>
                <w:szCs w:val="20"/>
              </w:rPr>
              <w:t xml:space="preserve"> </w:t>
            </w:r>
            <w:r w:rsidRPr="00F36730">
              <w:rPr>
                <w:b/>
                <w:sz w:val="20"/>
                <w:szCs w:val="20"/>
              </w:rPr>
              <w:t>funds</w:t>
            </w:r>
            <w:r w:rsidRPr="00F36730">
              <w:rPr>
                <w:b/>
                <w:spacing w:val="-2"/>
                <w:sz w:val="20"/>
                <w:szCs w:val="20"/>
              </w:rPr>
              <w:t xml:space="preserve"> remaining</w:t>
            </w:r>
          </w:p>
        </w:tc>
        <w:tc>
          <w:tcPr>
            <w:tcW w:w="1570" w:type="dxa"/>
            <w:tcBorders>
              <w:top w:val="single" w:sz="8" w:space="0" w:color="000000"/>
              <w:bottom w:val="single" w:sz="18" w:space="0" w:color="000000"/>
            </w:tcBorders>
          </w:tcPr>
          <w:p w14:paraId="0AC94AEE" w14:textId="77777777" w:rsidR="008A2FF2" w:rsidRPr="00F36730" w:rsidRDefault="008A2FF2" w:rsidP="00AB057B">
            <w:pPr>
              <w:pStyle w:val="TableParagraph"/>
              <w:spacing w:before="5" w:line="229" w:lineRule="exact"/>
              <w:ind w:right="40"/>
              <w:jc w:val="right"/>
              <w:rPr>
                <w:b/>
                <w:sz w:val="20"/>
                <w:szCs w:val="20"/>
              </w:rPr>
            </w:pPr>
            <w:r w:rsidRPr="00F36730">
              <w:rPr>
                <w:b/>
                <w:spacing w:val="-2"/>
                <w:sz w:val="20"/>
                <w:szCs w:val="20"/>
              </w:rPr>
              <w:t>58,535</w:t>
            </w:r>
          </w:p>
        </w:tc>
      </w:tr>
    </w:tbl>
    <w:p w14:paraId="76400932" w14:textId="77777777" w:rsidR="008A2FF2" w:rsidRDefault="008A2FF2" w:rsidP="008A2FF2">
      <w:pPr>
        <w:spacing w:line="229" w:lineRule="exact"/>
        <w:jc w:val="right"/>
        <w:rPr>
          <w:sz w:val="21"/>
        </w:rPr>
        <w:sectPr w:rsidR="008A2FF2" w:rsidSect="00512E04">
          <w:type w:val="continuous"/>
          <w:pgSz w:w="12240" w:h="15840"/>
          <w:pgMar w:top="1360" w:right="300" w:bottom="280" w:left="680" w:header="720" w:footer="720" w:gutter="0"/>
          <w:cols w:space="720"/>
        </w:sectPr>
      </w:pPr>
    </w:p>
    <w:p w14:paraId="4B2B48A1" w14:textId="77777777" w:rsidR="00396043" w:rsidRDefault="00396043" w:rsidP="008A2FF2">
      <w:pPr>
        <w:pStyle w:val="BodyText"/>
        <w:spacing w:before="139" w:line="345" w:lineRule="auto"/>
        <w:ind w:left="120" w:right="215"/>
        <w:rPr>
          <w:b/>
          <w:bCs/>
          <w:spacing w:val="-2"/>
          <w:w w:val="105"/>
        </w:rPr>
      </w:pPr>
    </w:p>
    <w:p w14:paraId="5E4BF802" w14:textId="72B8E953" w:rsidR="008B5E5F" w:rsidRPr="00C84430" w:rsidRDefault="008A2FF2" w:rsidP="00FD68FB">
      <w:pPr>
        <w:pStyle w:val="BodyText"/>
        <w:spacing w:before="139" w:line="346" w:lineRule="auto"/>
        <w:ind w:right="215"/>
        <w:rPr>
          <w:b/>
          <w:bCs/>
          <w:w w:val="105"/>
          <w:sz w:val="19"/>
          <w:szCs w:val="19"/>
        </w:rPr>
      </w:pPr>
      <w:r w:rsidRPr="00C84430">
        <w:rPr>
          <w:b/>
          <w:bCs/>
          <w:spacing w:val="-2"/>
          <w:w w:val="105"/>
          <w:sz w:val="19"/>
          <w:szCs w:val="19"/>
        </w:rPr>
        <w:t>Independent</w:t>
      </w:r>
      <w:r w:rsidRPr="00C84430">
        <w:rPr>
          <w:b/>
          <w:bCs/>
          <w:spacing w:val="-6"/>
          <w:w w:val="105"/>
          <w:sz w:val="19"/>
          <w:szCs w:val="19"/>
        </w:rPr>
        <w:t xml:space="preserve"> </w:t>
      </w:r>
      <w:r w:rsidRPr="00C84430">
        <w:rPr>
          <w:b/>
          <w:bCs/>
          <w:spacing w:val="-2"/>
          <w:w w:val="105"/>
          <w:sz w:val="19"/>
          <w:szCs w:val="19"/>
        </w:rPr>
        <w:t>Auditor’s</w:t>
      </w:r>
      <w:r w:rsidRPr="00C84430">
        <w:rPr>
          <w:b/>
          <w:bCs/>
          <w:spacing w:val="-5"/>
          <w:w w:val="105"/>
          <w:sz w:val="19"/>
          <w:szCs w:val="19"/>
        </w:rPr>
        <w:t xml:space="preserve"> </w:t>
      </w:r>
      <w:r w:rsidRPr="00C84430">
        <w:rPr>
          <w:b/>
          <w:bCs/>
          <w:spacing w:val="-2"/>
          <w:w w:val="105"/>
          <w:sz w:val="19"/>
          <w:szCs w:val="19"/>
        </w:rPr>
        <w:t>Report</w:t>
      </w:r>
      <w:r w:rsidRPr="00C84430">
        <w:rPr>
          <w:b/>
          <w:bCs/>
          <w:spacing w:val="-6"/>
          <w:w w:val="105"/>
          <w:sz w:val="19"/>
          <w:szCs w:val="19"/>
        </w:rPr>
        <w:t xml:space="preserve"> </w:t>
      </w:r>
      <w:r w:rsidRPr="00C84430">
        <w:rPr>
          <w:b/>
          <w:bCs/>
          <w:spacing w:val="-2"/>
          <w:w w:val="105"/>
          <w:sz w:val="19"/>
          <w:szCs w:val="19"/>
        </w:rPr>
        <w:t>to the</w:t>
      </w:r>
      <w:r w:rsidRPr="00C84430">
        <w:rPr>
          <w:b/>
          <w:bCs/>
          <w:spacing w:val="-4"/>
          <w:w w:val="105"/>
          <w:sz w:val="19"/>
          <w:szCs w:val="19"/>
        </w:rPr>
        <w:t xml:space="preserve"> </w:t>
      </w:r>
      <w:r w:rsidRPr="00C84430">
        <w:rPr>
          <w:b/>
          <w:bCs/>
          <w:spacing w:val="-2"/>
          <w:w w:val="105"/>
          <w:sz w:val="19"/>
          <w:szCs w:val="19"/>
        </w:rPr>
        <w:t>Education</w:t>
      </w:r>
      <w:r w:rsidRPr="00C84430">
        <w:rPr>
          <w:b/>
          <w:bCs/>
          <w:spacing w:val="-5"/>
          <w:w w:val="105"/>
          <w:sz w:val="19"/>
          <w:szCs w:val="19"/>
        </w:rPr>
        <w:t xml:space="preserve"> </w:t>
      </w:r>
      <w:r w:rsidRPr="00C84430">
        <w:rPr>
          <w:b/>
          <w:bCs/>
          <w:spacing w:val="-2"/>
          <w:w w:val="105"/>
          <w:sz w:val="19"/>
          <w:szCs w:val="19"/>
        </w:rPr>
        <w:t>and</w:t>
      </w:r>
      <w:r w:rsidRPr="00C84430">
        <w:rPr>
          <w:b/>
          <w:bCs/>
          <w:spacing w:val="-5"/>
          <w:w w:val="105"/>
          <w:sz w:val="19"/>
          <w:szCs w:val="19"/>
        </w:rPr>
        <w:t xml:space="preserve"> </w:t>
      </w:r>
      <w:r w:rsidRPr="00C84430">
        <w:rPr>
          <w:b/>
          <w:bCs/>
          <w:spacing w:val="-2"/>
          <w:w w:val="105"/>
          <w:sz w:val="19"/>
          <w:szCs w:val="19"/>
        </w:rPr>
        <w:t>Care</w:t>
      </w:r>
      <w:r w:rsidRPr="00C84430">
        <w:rPr>
          <w:b/>
          <w:bCs/>
          <w:spacing w:val="-4"/>
          <w:w w:val="105"/>
          <w:sz w:val="19"/>
          <w:szCs w:val="19"/>
        </w:rPr>
        <w:t xml:space="preserve"> </w:t>
      </w:r>
      <w:r w:rsidRPr="00C84430">
        <w:rPr>
          <w:b/>
          <w:bCs/>
          <w:spacing w:val="-2"/>
          <w:w w:val="105"/>
          <w:sz w:val="19"/>
          <w:szCs w:val="19"/>
        </w:rPr>
        <w:t>Services</w:t>
      </w:r>
      <w:r w:rsidRPr="00C84430">
        <w:rPr>
          <w:b/>
          <w:bCs/>
          <w:spacing w:val="-5"/>
          <w:w w:val="105"/>
          <w:sz w:val="19"/>
          <w:szCs w:val="19"/>
        </w:rPr>
        <w:t xml:space="preserve"> </w:t>
      </w:r>
      <w:r w:rsidRPr="00C84430">
        <w:rPr>
          <w:b/>
          <w:bCs/>
          <w:spacing w:val="-2"/>
          <w:w w:val="105"/>
          <w:sz w:val="19"/>
          <w:szCs w:val="19"/>
        </w:rPr>
        <w:t>Ombudsman, the</w:t>
      </w:r>
      <w:r w:rsidRPr="00C84430">
        <w:rPr>
          <w:b/>
          <w:bCs/>
          <w:spacing w:val="-4"/>
          <w:w w:val="105"/>
          <w:sz w:val="19"/>
          <w:szCs w:val="19"/>
        </w:rPr>
        <w:t xml:space="preserve"> </w:t>
      </w:r>
      <w:r w:rsidRPr="00C84430">
        <w:rPr>
          <w:b/>
          <w:bCs/>
          <w:spacing w:val="-2"/>
          <w:w w:val="105"/>
          <w:sz w:val="19"/>
          <w:szCs w:val="19"/>
        </w:rPr>
        <w:t xml:space="preserve">National </w:t>
      </w:r>
      <w:r w:rsidRPr="00C84430">
        <w:rPr>
          <w:b/>
          <w:bCs/>
          <w:sz w:val="19"/>
          <w:szCs w:val="19"/>
        </w:rPr>
        <w:t>Education</w:t>
      </w:r>
      <w:r w:rsidR="00EE1481" w:rsidRPr="00C84430">
        <w:rPr>
          <w:b/>
          <w:bCs/>
          <w:sz w:val="19"/>
          <w:szCs w:val="19"/>
        </w:rPr>
        <w:t> </w:t>
      </w:r>
      <w:r w:rsidRPr="00C84430">
        <w:rPr>
          <w:b/>
          <w:bCs/>
          <w:sz w:val="19"/>
          <w:szCs w:val="19"/>
        </w:rPr>
        <w:t xml:space="preserve">and Care Services Privacy Commissioner and the National Education and Care Services </w:t>
      </w:r>
      <w:r w:rsidRPr="00C84430">
        <w:rPr>
          <w:b/>
          <w:bCs/>
          <w:w w:val="105"/>
          <w:sz w:val="19"/>
          <w:szCs w:val="19"/>
        </w:rPr>
        <w:t>Freedom</w:t>
      </w:r>
      <w:r w:rsidR="009B5FF2" w:rsidRPr="00C84430">
        <w:rPr>
          <w:b/>
          <w:bCs/>
          <w:w w:val="105"/>
          <w:sz w:val="19"/>
          <w:szCs w:val="19"/>
        </w:rPr>
        <w:t> </w:t>
      </w:r>
      <w:r w:rsidRPr="00C84430">
        <w:rPr>
          <w:b/>
          <w:bCs/>
          <w:w w:val="105"/>
          <w:sz w:val="19"/>
          <w:szCs w:val="19"/>
        </w:rPr>
        <w:t xml:space="preserve">of Information Commissioner (Collectively referred to as the NECS Commissioners) </w:t>
      </w:r>
    </w:p>
    <w:p w14:paraId="11ADCB03" w14:textId="3379AF6F" w:rsidR="008A2FF2" w:rsidRPr="00C84430" w:rsidRDefault="008A2FF2" w:rsidP="00FD68FB">
      <w:pPr>
        <w:pStyle w:val="BodyText"/>
        <w:spacing w:line="346" w:lineRule="auto"/>
        <w:ind w:right="215"/>
        <w:rPr>
          <w:b/>
          <w:bCs/>
          <w:sz w:val="19"/>
          <w:szCs w:val="19"/>
        </w:rPr>
      </w:pPr>
      <w:r w:rsidRPr="00C84430">
        <w:rPr>
          <w:b/>
          <w:bCs/>
          <w:spacing w:val="-2"/>
          <w:w w:val="105"/>
          <w:sz w:val="19"/>
          <w:szCs w:val="19"/>
        </w:rPr>
        <w:t>Opinion</w:t>
      </w:r>
    </w:p>
    <w:p w14:paraId="09B26867" w14:textId="51C70E5E" w:rsidR="008A2FF2" w:rsidRPr="00C84430" w:rsidRDefault="008A2FF2" w:rsidP="009B5FF2">
      <w:pPr>
        <w:pStyle w:val="BodyText"/>
        <w:spacing w:line="346" w:lineRule="auto"/>
        <w:ind w:right="186"/>
        <w:rPr>
          <w:sz w:val="19"/>
          <w:szCs w:val="19"/>
        </w:rPr>
      </w:pPr>
      <w:r w:rsidRPr="00C84430">
        <w:rPr>
          <w:sz w:val="19"/>
          <w:szCs w:val="19"/>
        </w:rPr>
        <w:t>We have audited the attached Statement of Funding and Expenditure of the Education and Care Services</w:t>
      </w:r>
      <w:r w:rsidR="009B5FF2" w:rsidRPr="00C84430">
        <w:rPr>
          <w:sz w:val="19"/>
          <w:szCs w:val="19"/>
        </w:rPr>
        <w:t> </w:t>
      </w:r>
      <w:r w:rsidRPr="00C84430">
        <w:rPr>
          <w:sz w:val="19"/>
          <w:szCs w:val="19"/>
        </w:rPr>
        <w:t>Ombudsman, the National Education and Care Services Privacy Commissioner and the Na</w:t>
      </w:r>
      <w:r w:rsidRPr="00C84430">
        <w:rPr>
          <w:rFonts w:ascii="Arial"/>
          <w:sz w:val="19"/>
          <w:szCs w:val="19"/>
        </w:rPr>
        <w:t>-</w:t>
      </w:r>
      <w:proofErr w:type="spellStart"/>
      <w:r w:rsidRPr="00C84430">
        <w:rPr>
          <w:sz w:val="19"/>
          <w:szCs w:val="19"/>
        </w:rPr>
        <w:t>tional</w:t>
      </w:r>
      <w:proofErr w:type="spellEnd"/>
      <w:r w:rsidR="009B5FF2" w:rsidRPr="00C84430">
        <w:rPr>
          <w:sz w:val="19"/>
          <w:szCs w:val="19"/>
        </w:rPr>
        <w:t> </w:t>
      </w:r>
      <w:r w:rsidRPr="00C84430">
        <w:rPr>
          <w:sz w:val="19"/>
          <w:szCs w:val="19"/>
        </w:rPr>
        <w:t>Education and Care Services Freedom</w:t>
      </w:r>
      <w:r w:rsidRPr="00C84430">
        <w:rPr>
          <w:spacing w:val="17"/>
          <w:sz w:val="19"/>
          <w:szCs w:val="19"/>
        </w:rPr>
        <w:t xml:space="preserve"> </w:t>
      </w:r>
      <w:r w:rsidRPr="00C84430">
        <w:rPr>
          <w:sz w:val="19"/>
          <w:szCs w:val="19"/>
        </w:rPr>
        <w:t>of Information Commissioner for the period 01 July 2022</w:t>
      </w:r>
      <w:r w:rsidR="009B5FF2" w:rsidRPr="00C84430">
        <w:rPr>
          <w:sz w:val="19"/>
          <w:szCs w:val="19"/>
        </w:rPr>
        <w:t xml:space="preserve"> </w:t>
      </w:r>
      <w:r w:rsidRPr="00C84430">
        <w:rPr>
          <w:sz w:val="19"/>
          <w:szCs w:val="19"/>
        </w:rPr>
        <w:t>to</w:t>
      </w:r>
      <w:r w:rsidR="009B5FF2" w:rsidRPr="00C84430">
        <w:rPr>
          <w:sz w:val="19"/>
          <w:szCs w:val="19"/>
        </w:rPr>
        <w:t> </w:t>
      </w:r>
      <w:r w:rsidRPr="00C84430">
        <w:rPr>
          <w:sz w:val="19"/>
          <w:szCs w:val="19"/>
        </w:rPr>
        <w:t>30</w:t>
      </w:r>
      <w:r w:rsidR="009B5FF2" w:rsidRPr="00C84430">
        <w:rPr>
          <w:sz w:val="19"/>
          <w:szCs w:val="19"/>
        </w:rPr>
        <w:t> </w:t>
      </w:r>
      <w:r w:rsidRPr="00C84430">
        <w:rPr>
          <w:sz w:val="19"/>
          <w:szCs w:val="19"/>
        </w:rPr>
        <w:t>June 2023. The Statement of Funding and Expenditure is represented by a deficit of $15,480 and</w:t>
      </w:r>
      <w:r w:rsidR="00C95E90" w:rsidRPr="00C84430">
        <w:rPr>
          <w:sz w:val="19"/>
          <w:szCs w:val="19"/>
        </w:rPr>
        <w:t xml:space="preserve"> </w:t>
      </w:r>
      <w:r w:rsidRPr="00C84430">
        <w:rPr>
          <w:w w:val="105"/>
          <w:sz w:val="19"/>
          <w:szCs w:val="19"/>
        </w:rPr>
        <w:t>a</w:t>
      </w:r>
      <w:r w:rsidR="009B5FF2" w:rsidRPr="00C84430">
        <w:rPr>
          <w:w w:val="105"/>
          <w:sz w:val="19"/>
          <w:szCs w:val="19"/>
        </w:rPr>
        <w:t> </w:t>
      </w:r>
      <w:r w:rsidRPr="00C84430">
        <w:rPr>
          <w:w w:val="105"/>
          <w:sz w:val="19"/>
          <w:szCs w:val="19"/>
        </w:rPr>
        <w:t>total</w:t>
      </w:r>
      <w:r w:rsidR="009B5FF2" w:rsidRPr="00C84430">
        <w:rPr>
          <w:w w:val="105"/>
          <w:sz w:val="19"/>
          <w:szCs w:val="19"/>
        </w:rPr>
        <w:t> </w:t>
      </w:r>
      <w:r w:rsidRPr="00C84430">
        <w:rPr>
          <w:w w:val="105"/>
          <w:sz w:val="19"/>
          <w:szCs w:val="19"/>
        </w:rPr>
        <w:t>balance of funds remaining of $58,535.</w:t>
      </w:r>
    </w:p>
    <w:p w14:paraId="1C5BDB03" w14:textId="5DBED846" w:rsidR="008A2FF2" w:rsidRPr="00C84430" w:rsidRDefault="008A2FF2" w:rsidP="00FD68FB">
      <w:pPr>
        <w:pStyle w:val="BodyText"/>
        <w:spacing w:line="346" w:lineRule="auto"/>
        <w:ind w:right="342"/>
        <w:jc w:val="both"/>
        <w:rPr>
          <w:sz w:val="19"/>
          <w:szCs w:val="19"/>
        </w:rPr>
      </w:pPr>
      <w:r w:rsidRPr="00C84430">
        <w:rPr>
          <w:sz w:val="19"/>
          <w:szCs w:val="19"/>
        </w:rPr>
        <w:t>In our opinion, the Statement of Funding and Expenditure presents fairly, in all material respects, the</w:t>
      </w:r>
      <w:r w:rsidR="009B5FF2" w:rsidRPr="00C84430">
        <w:rPr>
          <w:sz w:val="19"/>
          <w:szCs w:val="19"/>
        </w:rPr>
        <w:t xml:space="preserve"> </w:t>
      </w:r>
      <w:r w:rsidRPr="00C84430">
        <w:rPr>
          <w:sz w:val="19"/>
          <w:szCs w:val="19"/>
        </w:rPr>
        <w:t>funding</w:t>
      </w:r>
      <w:r w:rsidR="009B5FF2" w:rsidRPr="00C84430">
        <w:rPr>
          <w:sz w:val="19"/>
          <w:szCs w:val="19"/>
        </w:rPr>
        <w:t> </w:t>
      </w:r>
      <w:r w:rsidRPr="00C84430">
        <w:rPr>
          <w:sz w:val="19"/>
          <w:szCs w:val="19"/>
        </w:rPr>
        <w:t>received and subsequent expenditure in accordance with the Agreement.</w:t>
      </w:r>
    </w:p>
    <w:p w14:paraId="5DF65ADA" w14:textId="77777777" w:rsidR="008A2FF2" w:rsidRPr="00C84430" w:rsidRDefault="008A2FF2" w:rsidP="00FD68FB">
      <w:pPr>
        <w:pStyle w:val="BodyText"/>
        <w:spacing w:before="11" w:line="346" w:lineRule="auto"/>
        <w:rPr>
          <w:sz w:val="19"/>
          <w:szCs w:val="19"/>
        </w:rPr>
      </w:pPr>
    </w:p>
    <w:p w14:paraId="4F084F16" w14:textId="77777777" w:rsidR="008A2FF2" w:rsidRPr="00C84430" w:rsidRDefault="008A2FF2" w:rsidP="00FD68FB">
      <w:pPr>
        <w:pStyle w:val="BodyText"/>
        <w:spacing w:line="346" w:lineRule="auto"/>
        <w:rPr>
          <w:b/>
          <w:bCs/>
          <w:sz w:val="19"/>
          <w:szCs w:val="19"/>
        </w:rPr>
      </w:pPr>
      <w:r w:rsidRPr="00C84430">
        <w:rPr>
          <w:b/>
          <w:bCs/>
          <w:w w:val="110"/>
          <w:sz w:val="19"/>
          <w:szCs w:val="19"/>
        </w:rPr>
        <w:t>Basis</w:t>
      </w:r>
      <w:r w:rsidRPr="00C84430">
        <w:rPr>
          <w:b/>
          <w:bCs/>
          <w:spacing w:val="-9"/>
          <w:w w:val="110"/>
          <w:sz w:val="19"/>
          <w:szCs w:val="19"/>
        </w:rPr>
        <w:t xml:space="preserve"> </w:t>
      </w:r>
      <w:r w:rsidRPr="00C84430">
        <w:rPr>
          <w:b/>
          <w:bCs/>
          <w:w w:val="110"/>
          <w:sz w:val="19"/>
          <w:szCs w:val="19"/>
        </w:rPr>
        <w:t>for</w:t>
      </w:r>
      <w:r w:rsidRPr="00C84430">
        <w:rPr>
          <w:b/>
          <w:bCs/>
          <w:spacing w:val="-8"/>
          <w:w w:val="110"/>
          <w:sz w:val="19"/>
          <w:szCs w:val="19"/>
        </w:rPr>
        <w:t xml:space="preserve"> </w:t>
      </w:r>
      <w:r w:rsidRPr="00C84430">
        <w:rPr>
          <w:b/>
          <w:bCs/>
          <w:spacing w:val="-2"/>
          <w:w w:val="110"/>
          <w:sz w:val="19"/>
          <w:szCs w:val="19"/>
        </w:rPr>
        <w:t>Opinion</w:t>
      </w:r>
    </w:p>
    <w:p w14:paraId="3770E7DD" w14:textId="3076D33F" w:rsidR="008A2FF2" w:rsidRPr="00C84430" w:rsidRDefault="008A2FF2" w:rsidP="00FD68FB">
      <w:pPr>
        <w:pStyle w:val="BodyText"/>
        <w:spacing w:line="346" w:lineRule="auto"/>
        <w:ind w:right="186"/>
        <w:rPr>
          <w:sz w:val="19"/>
          <w:szCs w:val="19"/>
        </w:rPr>
      </w:pPr>
      <w:r w:rsidRPr="00C84430">
        <w:rPr>
          <w:sz w:val="19"/>
          <w:szCs w:val="19"/>
        </w:rPr>
        <w:t>We conducted our audit in accordance with Australian Auditing Standards. Our responsibilities under</w:t>
      </w:r>
      <w:r w:rsidR="001960E8" w:rsidRPr="00C84430">
        <w:rPr>
          <w:sz w:val="19"/>
          <w:szCs w:val="19"/>
        </w:rPr>
        <w:t xml:space="preserve"> </w:t>
      </w:r>
      <w:r w:rsidRPr="00C84430">
        <w:rPr>
          <w:sz w:val="19"/>
          <w:szCs w:val="19"/>
        </w:rPr>
        <w:t>those</w:t>
      </w:r>
      <w:r w:rsidR="002D273E" w:rsidRPr="00C84430">
        <w:rPr>
          <w:sz w:val="19"/>
          <w:szCs w:val="19"/>
        </w:rPr>
        <w:t> </w:t>
      </w:r>
      <w:r w:rsidRPr="00C84430">
        <w:rPr>
          <w:sz w:val="19"/>
          <w:szCs w:val="19"/>
        </w:rPr>
        <w:t>standards are further described in the Auditor’s Responsibilities for the Audit of the Statement of</w:t>
      </w:r>
      <w:r w:rsidR="002D273E" w:rsidRPr="00C84430">
        <w:rPr>
          <w:sz w:val="19"/>
          <w:szCs w:val="19"/>
        </w:rPr>
        <w:t> </w:t>
      </w:r>
      <w:r w:rsidRPr="00C84430">
        <w:rPr>
          <w:sz w:val="19"/>
          <w:szCs w:val="19"/>
        </w:rPr>
        <w:t>Funding</w:t>
      </w:r>
      <w:r w:rsidR="002D273E" w:rsidRPr="00C84430">
        <w:rPr>
          <w:sz w:val="19"/>
          <w:szCs w:val="19"/>
        </w:rPr>
        <w:t> </w:t>
      </w:r>
      <w:r w:rsidRPr="00C84430">
        <w:rPr>
          <w:sz w:val="19"/>
          <w:szCs w:val="19"/>
        </w:rPr>
        <w:t>and Expenditure section of this report. We are independent of ESA in accordance with the</w:t>
      </w:r>
      <w:r w:rsidR="002D273E" w:rsidRPr="00C84430">
        <w:rPr>
          <w:sz w:val="19"/>
          <w:szCs w:val="19"/>
        </w:rPr>
        <w:t xml:space="preserve"> </w:t>
      </w:r>
      <w:r w:rsidRPr="00C84430">
        <w:rPr>
          <w:sz w:val="19"/>
          <w:szCs w:val="19"/>
        </w:rPr>
        <w:t>ethical</w:t>
      </w:r>
      <w:r w:rsidR="002D273E" w:rsidRPr="00C84430">
        <w:rPr>
          <w:sz w:val="19"/>
          <w:szCs w:val="19"/>
        </w:rPr>
        <w:t> </w:t>
      </w:r>
      <w:r w:rsidRPr="00C84430">
        <w:rPr>
          <w:sz w:val="19"/>
          <w:szCs w:val="19"/>
        </w:rPr>
        <w:t>requirements of the Accounting Professional and Ethical Standards Board’s APES 110 Code of Ethics</w:t>
      </w:r>
      <w:r w:rsidR="002D273E" w:rsidRPr="00C84430">
        <w:rPr>
          <w:sz w:val="19"/>
          <w:szCs w:val="19"/>
        </w:rPr>
        <w:t> </w:t>
      </w:r>
      <w:r w:rsidRPr="00C84430">
        <w:rPr>
          <w:sz w:val="19"/>
          <w:szCs w:val="19"/>
        </w:rPr>
        <w:t>for Professional Accountants (the Code) that are relevant to our audit of the Statement of Funding</w:t>
      </w:r>
      <w:r w:rsidR="002D273E" w:rsidRPr="00C84430">
        <w:rPr>
          <w:sz w:val="19"/>
          <w:szCs w:val="19"/>
        </w:rPr>
        <w:t> </w:t>
      </w:r>
      <w:r w:rsidRPr="00C84430">
        <w:rPr>
          <w:sz w:val="19"/>
          <w:szCs w:val="19"/>
        </w:rPr>
        <w:t>and</w:t>
      </w:r>
      <w:r w:rsidR="002D273E" w:rsidRPr="00C84430">
        <w:rPr>
          <w:sz w:val="19"/>
          <w:szCs w:val="19"/>
        </w:rPr>
        <w:t> </w:t>
      </w:r>
      <w:r w:rsidRPr="00C84430">
        <w:rPr>
          <w:sz w:val="19"/>
          <w:szCs w:val="19"/>
        </w:rPr>
        <w:t>Expenditure in Australia, and we have fulfilled our other ethical responsibilities in accord-</w:t>
      </w:r>
      <w:proofErr w:type="spellStart"/>
      <w:r w:rsidRPr="00C84430">
        <w:rPr>
          <w:sz w:val="19"/>
          <w:szCs w:val="19"/>
        </w:rPr>
        <w:t>ance</w:t>
      </w:r>
      <w:proofErr w:type="spellEnd"/>
      <w:r w:rsidR="002D273E" w:rsidRPr="00C84430">
        <w:rPr>
          <w:sz w:val="19"/>
          <w:szCs w:val="19"/>
        </w:rPr>
        <w:t> </w:t>
      </w:r>
      <w:r w:rsidRPr="00C84430">
        <w:rPr>
          <w:sz w:val="19"/>
          <w:szCs w:val="19"/>
        </w:rPr>
        <w:t xml:space="preserve">with the Code. We believe that the audit evidence we have obtained is sufficient and </w:t>
      </w:r>
      <w:proofErr w:type="spellStart"/>
      <w:r w:rsidRPr="00C84430">
        <w:rPr>
          <w:sz w:val="19"/>
          <w:szCs w:val="19"/>
        </w:rPr>
        <w:t>appropri</w:t>
      </w:r>
      <w:proofErr w:type="spellEnd"/>
      <w:r w:rsidRPr="00C84430">
        <w:rPr>
          <w:sz w:val="19"/>
          <w:szCs w:val="19"/>
        </w:rPr>
        <w:t>- ate</w:t>
      </w:r>
      <w:r w:rsidR="002D273E" w:rsidRPr="00C84430">
        <w:rPr>
          <w:sz w:val="19"/>
          <w:szCs w:val="19"/>
        </w:rPr>
        <w:t> </w:t>
      </w:r>
      <w:r w:rsidRPr="00C84430">
        <w:rPr>
          <w:sz w:val="19"/>
          <w:szCs w:val="19"/>
        </w:rPr>
        <w:t>to</w:t>
      </w:r>
      <w:r w:rsidR="002D273E" w:rsidRPr="00C84430">
        <w:rPr>
          <w:sz w:val="19"/>
          <w:szCs w:val="19"/>
        </w:rPr>
        <w:t> </w:t>
      </w:r>
      <w:r w:rsidRPr="00C84430">
        <w:rPr>
          <w:sz w:val="19"/>
          <w:szCs w:val="19"/>
        </w:rPr>
        <w:t>provide a basis for our opinion.</w:t>
      </w:r>
    </w:p>
    <w:p w14:paraId="017BE992" w14:textId="77777777" w:rsidR="008A2FF2" w:rsidRPr="00C84430" w:rsidRDefault="008A2FF2" w:rsidP="00FD68FB">
      <w:pPr>
        <w:pStyle w:val="BodyText"/>
        <w:spacing w:before="47" w:line="346" w:lineRule="auto"/>
        <w:rPr>
          <w:sz w:val="19"/>
          <w:szCs w:val="19"/>
        </w:rPr>
      </w:pPr>
    </w:p>
    <w:p w14:paraId="09BC492E" w14:textId="77777777" w:rsidR="008A2FF2" w:rsidRPr="00C84430" w:rsidRDefault="008A2FF2" w:rsidP="00FD68FB">
      <w:pPr>
        <w:pStyle w:val="BodyText"/>
        <w:spacing w:line="346" w:lineRule="auto"/>
        <w:rPr>
          <w:b/>
          <w:bCs/>
          <w:sz w:val="19"/>
          <w:szCs w:val="19"/>
        </w:rPr>
      </w:pPr>
      <w:r w:rsidRPr="00C84430">
        <w:rPr>
          <w:b/>
          <w:bCs/>
          <w:sz w:val="19"/>
          <w:szCs w:val="19"/>
        </w:rPr>
        <w:t>Emphasis</w:t>
      </w:r>
      <w:r w:rsidRPr="00C84430">
        <w:rPr>
          <w:b/>
          <w:bCs/>
          <w:spacing w:val="16"/>
          <w:sz w:val="19"/>
          <w:szCs w:val="19"/>
        </w:rPr>
        <w:t xml:space="preserve"> </w:t>
      </w:r>
      <w:r w:rsidRPr="00C84430">
        <w:rPr>
          <w:b/>
          <w:bCs/>
          <w:sz w:val="19"/>
          <w:szCs w:val="19"/>
        </w:rPr>
        <w:t>of</w:t>
      </w:r>
      <w:r w:rsidRPr="00C84430">
        <w:rPr>
          <w:b/>
          <w:bCs/>
          <w:spacing w:val="16"/>
          <w:sz w:val="19"/>
          <w:szCs w:val="19"/>
        </w:rPr>
        <w:t xml:space="preserve"> </w:t>
      </w:r>
      <w:r w:rsidRPr="00C84430">
        <w:rPr>
          <w:b/>
          <w:bCs/>
          <w:sz w:val="19"/>
          <w:szCs w:val="19"/>
        </w:rPr>
        <w:t>Matter</w:t>
      </w:r>
      <w:r w:rsidRPr="00C84430">
        <w:rPr>
          <w:b/>
          <w:bCs/>
          <w:spacing w:val="18"/>
          <w:sz w:val="19"/>
          <w:szCs w:val="19"/>
        </w:rPr>
        <w:t xml:space="preserve"> </w:t>
      </w:r>
      <w:r w:rsidRPr="00C84430">
        <w:rPr>
          <w:b/>
          <w:bCs/>
          <w:sz w:val="19"/>
          <w:szCs w:val="19"/>
        </w:rPr>
        <w:t>–</w:t>
      </w:r>
      <w:r w:rsidRPr="00C84430">
        <w:rPr>
          <w:b/>
          <w:bCs/>
          <w:spacing w:val="16"/>
          <w:sz w:val="19"/>
          <w:szCs w:val="19"/>
        </w:rPr>
        <w:t xml:space="preserve"> </w:t>
      </w:r>
      <w:r w:rsidRPr="00C84430">
        <w:rPr>
          <w:b/>
          <w:bCs/>
          <w:sz w:val="19"/>
          <w:szCs w:val="19"/>
        </w:rPr>
        <w:t>Basis</w:t>
      </w:r>
      <w:r w:rsidRPr="00C84430">
        <w:rPr>
          <w:b/>
          <w:bCs/>
          <w:spacing w:val="12"/>
          <w:sz w:val="19"/>
          <w:szCs w:val="19"/>
        </w:rPr>
        <w:t xml:space="preserve"> </w:t>
      </w:r>
      <w:r w:rsidRPr="00C84430">
        <w:rPr>
          <w:b/>
          <w:bCs/>
          <w:sz w:val="19"/>
          <w:szCs w:val="19"/>
        </w:rPr>
        <w:t>of</w:t>
      </w:r>
      <w:r w:rsidRPr="00C84430">
        <w:rPr>
          <w:b/>
          <w:bCs/>
          <w:spacing w:val="17"/>
          <w:sz w:val="19"/>
          <w:szCs w:val="19"/>
        </w:rPr>
        <w:t xml:space="preserve"> </w:t>
      </w:r>
      <w:r w:rsidRPr="00C84430">
        <w:rPr>
          <w:b/>
          <w:bCs/>
          <w:sz w:val="19"/>
          <w:szCs w:val="19"/>
        </w:rPr>
        <w:t>Accounting</w:t>
      </w:r>
      <w:r w:rsidRPr="00C84430">
        <w:rPr>
          <w:b/>
          <w:bCs/>
          <w:spacing w:val="16"/>
          <w:sz w:val="19"/>
          <w:szCs w:val="19"/>
        </w:rPr>
        <w:t xml:space="preserve"> </w:t>
      </w:r>
      <w:r w:rsidRPr="00C84430">
        <w:rPr>
          <w:b/>
          <w:bCs/>
          <w:sz w:val="19"/>
          <w:szCs w:val="19"/>
        </w:rPr>
        <w:t>and</w:t>
      </w:r>
      <w:r w:rsidRPr="00C84430">
        <w:rPr>
          <w:b/>
          <w:bCs/>
          <w:spacing w:val="16"/>
          <w:sz w:val="19"/>
          <w:szCs w:val="19"/>
        </w:rPr>
        <w:t xml:space="preserve"> </w:t>
      </w:r>
      <w:r w:rsidRPr="00C84430">
        <w:rPr>
          <w:b/>
          <w:bCs/>
          <w:sz w:val="19"/>
          <w:szCs w:val="19"/>
        </w:rPr>
        <w:t>Restriction</w:t>
      </w:r>
      <w:r w:rsidRPr="00C84430">
        <w:rPr>
          <w:b/>
          <w:bCs/>
          <w:spacing w:val="17"/>
          <w:sz w:val="19"/>
          <w:szCs w:val="19"/>
        </w:rPr>
        <w:t xml:space="preserve"> </w:t>
      </w:r>
      <w:r w:rsidRPr="00C84430">
        <w:rPr>
          <w:b/>
          <w:bCs/>
          <w:sz w:val="19"/>
          <w:szCs w:val="19"/>
        </w:rPr>
        <w:t>on</w:t>
      </w:r>
      <w:r w:rsidRPr="00C84430">
        <w:rPr>
          <w:b/>
          <w:bCs/>
          <w:spacing w:val="19"/>
          <w:sz w:val="19"/>
          <w:szCs w:val="19"/>
        </w:rPr>
        <w:t xml:space="preserve"> </w:t>
      </w:r>
      <w:r w:rsidRPr="00C84430">
        <w:rPr>
          <w:b/>
          <w:bCs/>
          <w:sz w:val="19"/>
          <w:szCs w:val="19"/>
        </w:rPr>
        <w:t>Distribution</w:t>
      </w:r>
      <w:r w:rsidRPr="00C84430">
        <w:rPr>
          <w:b/>
          <w:bCs/>
          <w:spacing w:val="16"/>
          <w:sz w:val="19"/>
          <w:szCs w:val="19"/>
        </w:rPr>
        <w:t xml:space="preserve"> </w:t>
      </w:r>
      <w:r w:rsidRPr="00C84430">
        <w:rPr>
          <w:b/>
          <w:bCs/>
          <w:sz w:val="19"/>
          <w:szCs w:val="19"/>
        </w:rPr>
        <w:t>and</w:t>
      </w:r>
      <w:r w:rsidRPr="00C84430">
        <w:rPr>
          <w:b/>
          <w:bCs/>
          <w:spacing w:val="16"/>
          <w:sz w:val="19"/>
          <w:szCs w:val="19"/>
        </w:rPr>
        <w:t xml:space="preserve"> </w:t>
      </w:r>
      <w:r w:rsidRPr="00C84430">
        <w:rPr>
          <w:b/>
          <w:bCs/>
          <w:spacing w:val="-5"/>
          <w:sz w:val="19"/>
          <w:szCs w:val="19"/>
        </w:rPr>
        <w:t>Use</w:t>
      </w:r>
    </w:p>
    <w:p w14:paraId="760CA829" w14:textId="6BB78492" w:rsidR="008A2FF2" w:rsidRPr="00C84430" w:rsidRDefault="008A2FF2" w:rsidP="00AF3635">
      <w:pPr>
        <w:pStyle w:val="BodyText"/>
        <w:spacing w:line="346" w:lineRule="auto"/>
        <w:ind w:left="119" w:right="187"/>
        <w:rPr>
          <w:sz w:val="19"/>
          <w:szCs w:val="19"/>
        </w:rPr>
      </w:pPr>
      <w:r w:rsidRPr="00C84430">
        <w:rPr>
          <w:sz w:val="19"/>
          <w:szCs w:val="19"/>
        </w:rPr>
        <w:t>The Statement of Funding and Expenditure has been prepared for distribution to the Department of Education. We disclaim any assumptions of responsibility for any reliance on this Statement of Funding</w:t>
      </w:r>
      <w:r w:rsidR="002D273E" w:rsidRPr="00C84430">
        <w:rPr>
          <w:sz w:val="19"/>
          <w:szCs w:val="19"/>
        </w:rPr>
        <w:t> </w:t>
      </w:r>
      <w:r w:rsidRPr="00C84430">
        <w:rPr>
          <w:sz w:val="19"/>
          <w:szCs w:val="19"/>
        </w:rPr>
        <w:t>and</w:t>
      </w:r>
      <w:r w:rsidR="002D273E" w:rsidRPr="00C84430">
        <w:rPr>
          <w:sz w:val="19"/>
          <w:szCs w:val="19"/>
        </w:rPr>
        <w:t> </w:t>
      </w:r>
      <w:r w:rsidRPr="00C84430">
        <w:rPr>
          <w:sz w:val="19"/>
          <w:szCs w:val="19"/>
        </w:rPr>
        <w:t>Expenditure or on the information to which it relates to any persons other than Educa-</w:t>
      </w:r>
      <w:proofErr w:type="spellStart"/>
      <w:r w:rsidRPr="00C84430">
        <w:rPr>
          <w:sz w:val="19"/>
          <w:szCs w:val="19"/>
        </w:rPr>
        <w:t>tion</w:t>
      </w:r>
      <w:proofErr w:type="spellEnd"/>
      <w:r w:rsidR="002D273E" w:rsidRPr="00C84430">
        <w:rPr>
          <w:sz w:val="19"/>
          <w:szCs w:val="19"/>
        </w:rPr>
        <w:t> </w:t>
      </w:r>
      <w:r w:rsidRPr="00C84430">
        <w:rPr>
          <w:sz w:val="19"/>
          <w:szCs w:val="19"/>
        </w:rPr>
        <w:t>Services Australia and the Department of Education, or for any purpose other than that for which it</w:t>
      </w:r>
      <w:r w:rsidR="002D273E" w:rsidRPr="00C84430">
        <w:rPr>
          <w:sz w:val="19"/>
          <w:szCs w:val="19"/>
        </w:rPr>
        <w:t> </w:t>
      </w:r>
      <w:r w:rsidRPr="00C84430">
        <w:rPr>
          <w:sz w:val="19"/>
          <w:szCs w:val="19"/>
        </w:rPr>
        <w:t>was</w:t>
      </w:r>
      <w:r w:rsidR="002D273E" w:rsidRPr="00C84430">
        <w:rPr>
          <w:sz w:val="19"/>
          <w:szCs w:val="19"/>
        </w:rPr>
        <w:t> </w:t>
      </w:r>
      <w:r w:rsidRPr="00C84430">
        <w:rPr>
          <w:sz w:val="19"/>
          <w:szCs w:val="19"/>
        </w:rPr>
        <w:t>prepared. Our opinion is not modified in respect of this matter.</w:t>
      </w:r>
    </w:p>
    <w:p w14:paraId="5E9C31B4" w14:textId="77777777" w:rsidR="008A2FF2" w:rsidRPr="00C84430" w:rsidRDefault="008A2FF2" w:rsidP="00FD68FB">
      <w:pPr>
        <w:pStyle w:val="BodyText"/>
        <w:spacing w:before="32" w:line="346" w:lineRule="auto"/>
        <w:rPr>
          <w:sz w:val="19"/>
          <w:szCs w:val="19"/>
        </w:rPr>
      </w:pPr>
    </w:p>
    <w:p w14:paraId="292BB1EA" w14:textId="373CB62C" w:rsidR="008A2FF2" w:rsidRPr="00C84430" w:rsidRDefault="008A2FF2" w:rsidP="00FD68FB">
      <w:pPr>
        <w:pStyle w:val="BodyText"/>
        <w:spacing w:before="1" w:line="346" w:lineRule="auto"/>
        <w:ind w:right="186"/>
        <w:rPr>
          <w:b/>
          <w:bCs/>
          <w:sz w:val="19"/>
          <w:szCs w:val="19"/>
        </w:rPr>
      </w:pPr>
      <w:r w:rsidRPr="00C84430">
        <w:rPr>
          <w:b/>
          <w:bCs/>
          <w:sz w:val="19"/>
          <w:szCs w:val="19"/>
        </w:rPr>
        <w:t>Responsibility of Management and the Directors (together referred to as Management) for the Statement</w:t>
      </w:r>
      <w:r w:rsidR="002D273E" w:rsidRPr="00C84430">
        <w:rPr>
          <w:b/>
          <w:bCs/>
          <w:sz w:val="19"/>
          <w:szCs w:val="19"/>
        </w:rPr>
        <w:t> </w:t>
      </w:r>
      <w:r w:rsidRPr="00C84430">
        <w:rPr>
          <w:b/>
          <w:bCs/>
          <w:sz w:val="19"/>
          <w:szCs w:val="19"/>
        </w:rPr>
        <w:t>of</w:t>
      </w:r>
      <w:r w:rsidR="002D273E" w:rsidRPr="00C84430">
        <w:rPr>
          <w:b/>
          <w:bCs/>
          <w:sz w:val="19"/>
          <w:szCs w:val="19"/>
        </w:rPr>
        <w:t> </w:t>
      </w:r>
      <w:r w:rsidRPr="00C84430">
        <w:rPr>
          <w:b/>
          <w:bCs/>
          <w:sz w:val="19"/>
          <w:szCs w:val="19"/>
        </w:rPr>
        <w:t>Funding and Expenditure</w:t>
      </w:r>
    </w:p>
    <w:p w14:paraId="3A4F8865" w14:textId="71F15DB2" w:rsidR="008A2FF2" w:rsidRDefault="008A2FF2" w:rsidP="0026508F">
      <w:pPr>
        <w:pStyle w:val="BodyText"/>
        <w:spacing w:line="346" w:lineRule="auto"/>
        <w:ind w:left="119" w:right="310"/>
      </w:pPr>
      <w:r w:rsidRPr="00C84430">
        <w:rPr>
          <w:w w:val="105"/>
          <w:sz w:val="19"/>
          <w:szCs w:val="19"/>
        </w:rPr>
        <w:t>ESA’s</w:t>
      </w:r>
      <w:r w:rsidRPr="00C84430">
        <w:rPr>
          <w:spacing w:val="-5"/>
          <w:w w:val="105"/>
          <w:sz w:val="19"/>
          <w:szCs w:val="19"/>
        </w:rPr>
        <w:t xml:space="preserve"> </w:t>
      </w:r>
      <w:r w:rsidRPr="00C84430">
        <w:rPr>
          <w:w w:val="105"/>
          <w:sz w:val="19"/>
          <w:szCs w:val="19"/>
        </w:rPr>
        <w:t>management</w:t>
      </w:r>
      <w:r w:rsidRPr="00C84430">
        <w:rPr>
          <w:spacing w:val="-6"/>
          <w:w w:val="105"/>
          <w:sz w:val="19"/>
          <w:szCs w:val="19"/>
        </w:rPr>
        <w:t xml:space="preserve"> </w:t>
      </w:r>
      <w:r w:rsidRPr="00C84430">
        <w:rPr>
          <w:w w:val="105"/>
          <w:sz w:val="19"/>
          <w:szCs w:val="19"/>
        </w:rPr>
        <w:t>is</w:t>
      </w:r>
      <w:r w:rsidRPr="00C84430">
        <w:rPr>
          <w:spacing w:val="-5"/>
          <w:w w:val="105"/>
          <w:sz w:val="19"/>
          <w:szCs w:val="19"/>
        </w:rPr>
        <w:t xml:space="preserve"> </w:t>
      </w:r>
      <w:r w:rsidRPr="00C84430">
        <w:rPr>
          <w:w w:val="105"/>
          <w:sz w:val="19"/>
          <w:szCs w:val="19"/>
        </w:rPr>
        <w:t>responsible</w:t>
      </w:r>
      <w:r w:rsidRPr="00C84430">
        <w:rPr>
          <w:spacing w:val="-4"/>
          <w:w w:val="105"/>
          <w:sz w:val="19"/>
          <w:szCs w:val="19"/>
        </w:rPr>
        <w:t xml:space="preserve"> </w:t>
      </w:r>
      <w:r w:rsidRPr="00C84430">
        <w:rPr>
          <w:w w:val="105"/>
          <w:sz w:val="19"/>
          <w:szCs w:val="19"/>
        </w:rPr>
        <w:t>for</w:t>
      </w:r>
      <w:r w:rsidRPr="00C84430">
        <w:rPr>
          <w:spacing w:val="-5"/>
          <w:w w:val="105"/>
          <w:sz w:val="19"/>
          <w:szCs w:val="19"/>
        </w:rPr>
        <w:t xml:space="preserve"> </w:t>
      </w:r>
      <w:r w:rsidRPr="00C84430">
        <w:rPr>
          <w:w w:val="105"/>
          <w:sz w:val="19"/>
          <w:szCs w:val="19"/>
        </w:rPr>
        <w:t>the</w:t>
      </w:r>
      <w:r w:rsidRPr="00C84430">
        <w:rPr>
          <w:spacing w:val="-4"/>
          <w:w w:val="105"/>
          <w:sz w:val="19"/>
          <w:szCs w:val="19"/>
        </w:rPr>
        <w:t xml:space="preserve"> </w:t>
      </w:r>
      <w:r w:rsidRPr="00C84430">
        <w:rPr>
          <w:w w:val="105"/>
          <w:sz w:val="19"/>
          <w:szCs w:val="19"/>
        </w:rPr>
        <w:t>preparation</w:t>
      </w:r>
      <w:r w:rsidRPr="00C84430">
        <w:rPr>
          <w:spacing w:val="-5"/>
          <w:w w:val="105"/>
          <w:sz w:val="19"/>
          <w:szCs w:val="19"/>
        </w:rPr>
        <w:t xml:space="preserve"> </w:t>
      </w:r>
      <w:r w:rsidRPr="00C84430">
        <w:rPr>
          <w:w w:val="105"/>
          <w:sz w:val="19"/>
          <w:szCs w:val="19"/>
        </w:rPr>
        <w:t>of</w:t>
      </w:r>
      <w:r w:rsidRPr="00C84430">
        <w:rPr>
          <w:spacing w:val="-5"/>
          <w:w w:val="105"/>
          <w:sz w:val="19"/>
          <w:szCs w:val="19"/>
        </w:rPr>
        <w:t xml:space="preserve"> </w:t>
      </w:r>
      <w:r w:rsidRPr="00C84430">
        <w:rPr>
          <w:w w:val="105"/>
          <w:sz w:val="19"/>
          <w:szCs w:val="19"/>
        </w:rPr>
        <w:t>the</w:t>
      </w:r>
      <w:r w:rsidRPr="00C84430">
        <w:rPr>
          <w:spacing w:val="-4"/>
          <w:w w:val="105"/>
          <w:sz w:val="19"/>
          <w:szCs w:val="19"/>
        </w:rPr>
        <w:t xml:space="preserve"> </w:t>
      </w:r>
      <w:r w:rsidRPr="00C84430">
        <w:rPr>
          <w:w w:val="105"/>
          <w:sz w:val="19"/>
          <w:szCs w:val="19"/>
        </w:rPr>
        <w:t>Statement</w:t>
      </w:r>
      <w:r w:rsidRPr="00C84430">
        <w:rPr>
          <w:spacing w:val="-5"/>
          <w:w w:val="105"/>
          <w:sz w:val="19"/>
          <w:szCs w:val="19"/>
        </w:rPr>
        <w:t xml:space="preserve"> </w:t>
      </w:r>
      <w:r w:rsidRPr="00C84430">
        <w:rPr>
          <w:w w:val="105"/>
          <w:sz w:val="19"/>
          <w:szCs w:val="19"/>
        </w:rPr>
        <w:t>of</w:t>
      </w:r>
      <w:r w:rsidRPr="00C84430">
        <w:rPr>
          <w:spacing w:val="-5"/>
          <w:w w:val="105"/>
          <w:sz w:val="19"/>
          <w:szCs w:val="19"/>
        </w:rPr>
        <w:t xml:space="preserve"> </w:t>
      </w:r>
      <w:r w:rsidRPr="00C84430">
        <w:rPr>
          <w:w w:val="105"/>
          <w:sz w:val="19"/>
          <w:szCs w:val="19"/>
        </w:rPr>
        <w:t>Funding</w:t>
      </w:r>
      <w:r w:rsidRPr="00C84430">
        <w:rPr>
          <w:spacing w:val="-5"/>
          <w:w w:val="105"/>
          <w:sz w:val="19"/>
          <w:szCs w:val="19"/>
        </w:rPr>
        <w:t xml:space="preserve"> </w:t>
      </w:r>
      <w:r w:rsidRPr="00C84430">
        <w:rPr>
          <w:w w:val="105"/>
          <w:sz w:val="19"/>
          <w:szCs w:val="19"/>
        </w:rPr>
        <w:t xml:space="preserve">and </w:t>
      </w:r>
      <w:r w:rsidRPr="00C84430">
        <w:rPr>
          <w:spacing w:val="-2"/>
          <w:w w:val="105"/>
          <w:sz w:val="19"/>
          <w:szCs w:val="19"/>
        </w:rPr>
        <w:t>Expenditure</w:t>
      </w:r>
      <w:r w:rsidR="002D273E" w:rsidRPr="00C84430">
        <w:rPr>
          <w:spacing w:val="-2"/>
          <w:w w:val="105"/>
          <w:sz w:val="19"/>
          <w:szCs w:val="19"/>
        </w:rPr>
        <w:t> </w:t>
      </w:r>
      <w:r w:rsidRPr="00C84430">
        <w:rPr>
          <w:spacing w:val="-2"/>
          <w:w w:val="105"/>
          <w:sz w:val="19"/>
          <w:szCs w:val="19"/>
        </w:rPr>
        <w:t>in</w:t>
      </w:r>
      <w:r w:rsidR="002D273E" w:rsidRPr="00C84430">
        <w:rPr>
          <w:spacing w:val="-5"/>
          <w:w w:val="105"/>
          <w:sz w:val="19"/>
          <w:szCs w:val="19"/>
        </w:rPr>
        <w:t> </w:t>
      </w:r>
      <w:r w:rsidRPr="00C84430">
        <w:rPr>
          <w:spacing w:val="-2"/>
          <w:w w:val="105"/>
          <w:sz w:val="19"/>
          <w:szCs w:val="19"/>
        </w:rPr>
        <w:t>accordance with the requirements of the</w:t>
      </w:r>
      <w:r w:rsidRPr="00C84430">
        <w:rPr>
          <w:spacing w:val="-4"/>
          <w:w w:val="105"/>
          <w:sz w:val="19"/>
          <w:szCs w:val="19"/>
        </w:rPr>
        <w:t xml:space="preserve"> </w:t>
      </w:r>
      <w:r w:rsidRPr="00C84430">
        <w:rPr>
          <w:spacing w:val="-2"/>
          <w:w w:val="105"/>
          <w:sz w:val="19"/>
          <w:szCs w:val="19"/>
        </w:rPr>
        <w:t>Agreement. This responsibility</w:t>
      </w:r>
      <w:r w:rsidRPr="00C84430">
        <w:rPr>
          <w:spacing w:val="-3"/>
          <w:w w:val="105"/>
          <w:sz w:val="19"/>
          <w:szCs w:val="19"/>
        </w:rPr>
        <w:t xml:space="preserve"> </w:t>
      </w:r>
      <w:r w:rsidRPr="00C84430">
        <w:rPr>
          <w:spacing w:val="-2"/>
          <w:w w:val="105"/>
          <w:sz w:val="19"/>
          <w:szCs w:val="19"/>
        </w:rPr>
        <w:t>includes</w:t>
      </w:r>
      <w:r w:rsidR="002D273E" w:rsidRPr="00C84430">
        <w:rPr>
          <w:spacing w:val="-2"/>
          <w:w w:val="105"/>
          <w:sz w:val="19"/>
          <w:szCs w:val="19"/>
        </w:rPr>
        <w:t xml:space="preserve"> </w:t>
      </w:r>
      <w:r w:rsidRPr="00C84430">
        <w:rPr>
          <w:sz w:val="19"/>
          <w:szCs w:val="19"/>
        </w:rPr>
        <w:t xml:space="preserve">determining that the basis of accounting is an acceptable basis for the preparation of the Statement </w:t>
      </w:r>
      <w:r w:rsidRPr="00C84430">
        <w:rPr>
          <w:w w:val="105"/>
          <w:sz w:val="19"/>
          <w:szCs w:val="19"/>
        </w:rPr>
        <w:t>of</w:t>
      </w:r>
      <w:r w:rsidR="0026508F" w:rsidRPr="00C84430">
        <w:rPr>
          <w:w w:val="105"/>
          <w:sz w:val="19"/>
          <w:szCs w:val="19"/>
        </w:rPr>
        <w:t> </w:t>
      </w:r>
      <w:r w:rsidRPr="00C84430">
        <w:rPr>
          <w:w w:val="105"/>
          <w:sz w:val="19"/>
          <w:szCs w:val="19"/>
        </w:rPr>
        <w:t xml:space="preserve">Funding and Expenditure in the circumstances </w:t>
      </w:r>
      <w:proofErr w:type="gramStart"/>
      <w:r w:rsidRPr="00C84430">
        <w:rPr>
          <w:w w:val="105"/>
          <w:sz w:val="19"/>
          <w:szCs w:val="19"/>
        </w:rPr>
        <w:t>and also</w:t>
      </w:r>
      <w:proofErr w:type="gramEnd"/>
      <w:r w:rsidRPr="00C84430">
        <w:rPr>
          <w:w w:val="105"/>
          <w:sz w:val="19"/>
          <w:szCs w:val="19"/>
        </w:rPr>
        <w:t xml:space="preserve"> includes such internal</w:t>
      </w:r>
      <w:r w:rsidRPr="00C84430">
        <w:rPr>
          <w:spacing w:val="-1"/>
          <w:w w:val="105"/>
          <w:sz w:val="19"/>
          <w:szCs w:val="19"/>
        </w:rPr>
        <w:t xml:space="preserve"> </w:t>
      </w:r>
      <w:r w:rsidRPr="00C84430">
        <w:rPr>
          <w:w w:val="105"/>
          <w:sz w:val="19"/>
          <w:szCs w:val="19"/>
        </w:rPr>
        <w:t>control</w:t>
      </w:r>
      <w:r w:rsidRPr="00C84430">
        <w:rPr>
          <w:spacing w:val="-1"/>
          <w:w w:val="105"/>
          <w:sz w:val="19"/>
          <w:szCs w:val="19"/>
        </w:rPr>
        <w:t xml:space="preserve"> </w:t>
      </w:r>
      <w:r w:rsidRPr="00C84430">
        <w:rPr>
          <w:w w:val="105"/>
          <w:sz w:val="19"/>
          <w:szCs w:val="19"/>
        </w:rPr>
        <w:t xml:space="preserve">as is </w:t>
      </w:r>
      <w:r w:rsidRPr="00C84430">
        <w:rPr>
          <w:sz w:val="19"/>
          <w:szCs w:val="19"/>
        </w:rPr>
        <w:t xml:space="preserve">determined necessary to enable the preparation of the Statement of Funding and Expenditure that is </w:t>
      </w:r>
      <w:r w:rsidRPr="00C84430">
        <w:rPr>
          <w:w w:val="105"/>
          <w:sz w:val="19"/>
          <w:szCs w:val="19"/>
        </w:rPr>
        <w:t>free</w:t>
      </w:r>
      <w:r w:rsidR="0026508F" w:rsidRPr="00C84430">
        <w:rPr>
          <w:w w:val="105"/>
          <w:sz w:val="19"/>
          <w:szCs w:val="19"/>
        </w:rPr>
        <w:t> </w:t>
      </w:r>
      <w:r w:rsidRPr="00C84430">
        <w:rPr>
          <w:w w:val="105"/>
          <w:sz w:val="19"/>
          <w:szCs w:val="19"/>
        </w:rPr>
        <w:t>from material misstatement, whether due to fraud or error.</w:t>
      </w:r>
    </w:p>
    <w:p w14:paraId="1F609716" w14:textId="77777777" w:rsidR="007E3669" w:rsidRDefault="007E3669">
      <w:pPr>
        <w:rPr>
          <w:rFonts w:ascii="Century Gothic" w:eastAsia="Century Gothic" w:hAnsi="Century Gothic" w:cs="Century Gothic"/>
          <w:sz w:val="18"/>
          <w:szCs w:val="18"/>
          <w:lang w:val="en-US"/>
        </w:rPr>
      </w:pPr>
      <w:r>
        <w:br w:type="page"/>
      </w:r>
    </w:p>
    <w:p w14:paraId="2FC3090B" w14:textId="77777777" w:rsidR="00CB276B" w:rsidRDefault="00CB276B" w:rsidP="008A2FF2">
      <w:pPr>
        <w:pStyle w:val="BodyText"/>
        <w:spacing w:before="139"/>
        <w:ind w:left="120"/>
        <w:rPr>
          <w:b/>
          <w:bCs/>
        </w:rPr>
      </w:pPr>
    </w:p>
    <w:p w14:paraId="4BCA0F23" w14:textId="77777777" w:rsidR="00CB276B" w:rsidRDefault="00CB276B" w:rsidP="00B74D22">
      <w:pPr>
        <w:pStyle w:val="BodyText"/>
        <w:spacing w:before="139"/>
        <w:rPr>
          <w:b/>
          <w:bCs/>
        </w:rPr>
      </w:pPr>
    </w:p>
    <w:p w14:paraId="139066F4" w14:textId="683EC9A1" w:rsidR="008A2FF2" w:rsidRPr="00B477E9" w:rsidRDefault="008A2FF2" w:rsidP="00B74D22">
      <w:pPr>
        <w:pStyle w:val="BodyText"/>
        <w:spacing w:before="139"/>
        <w:rPr>
          <w:b/>
          <w:bCs/>
          <w:sz w:val="19"/>
          <w:szCs w:val="19"/>
        </w:rPr>
      </w:pPr>
      <w:r w:rsidRPr="00B477E9">
        <w:rPr>
          <w:b/>
          <w:bCs/>
          <w:sz w:val="19"/>
          <w:szCs w:val="19"/>
        </w:rPr>
        <w:t>Auditor’s</w:t>
      </w:r>
      <w:r w:rsidRPr="00B477E9">
        <w:rPr>
          <w:b/>
          <w:bCs/>
          <w:spacing w:val="10"/>
          <w:sz w:val="19"/>
          <w:szCs w:val="19"/>
        </w:rPr>
        <w:t xml:space="preserve"> </w:t>
      </w:r>
      <w:r w:rsidRPr="00B477E9">
        <w:rPr>
          <w:b/>
          <w:bCs/>
          <w:sz w:val="19"/>
          <w:szCs w:val="19"/>
        </w:rPr>
        <w:t>Responsibility</w:t>
      </w:r>
      <w:r w:rsidRPr="00B477E9">
        <w:rPr>
          <w:b/>
          <w:bCs/>
          <w:spacing w:val="9"/>
          <w:sz w:val="19"/>
          <w:szCs w:val="19"/>
        </w:rPr>
        <w:t xml:space="preserve"> </w:t>
      </w:r>
      <w:r w:rsidRPr="00B477E9">
        <w:rPr>
          <w:b/>
          <w:bCs/>
          <w:sz w:val="19"/>
          <w:szCs w:val="19"/>
        </w:rPr>
        <w:t>for</w:t>
      </w:r>
      <w:r w:rsidRPr="00B477E9">
        <w:rPr>
          <w:b/>
          <w:bCs/>
          <w:spacing w:val="11"/>
          <w:sz w:val="19"/>
          <w:szCs w:val="19"/>
        </w:rPr>
        <w:t xml:space="preserve"> </w:t>
      </w:r>
      <w:r w:rsidRPr="00B477E9">
        <w:rPr>
          <w:b/>
          <w:bCs/>
          <w:sz w:val="19"/>
          <w:szCs w:val="19"/>
        </w:rPr>
        <w:t>the</w:t>
      </w:r>
      <w:r w:rsidRPr="00B477E9">
        <w:rPr>
          <w:b/>
          <w:bCs/>
          <w:spacing w:val="12"/>
          <w:sz w:val="19"/>
          <w:szCs w:val="19"/>
        </w:rPr>
        <w:t xml:space="preserve"> </w:t>
      </w:r>
      <w:r w:rsidRPr="00B477E9">
        <w:rPr>
          <w:b/>
          <w:bCs/>
          <w:sz w:val="19"/>
          <w:szCs w:val="19"/>
        </w:rPr>
        <w:t>Audit</w:t>
      </w:r>
      <w:r w:rsidRPr="00B477E9">
        <w:rPr>
          <w:b/>
          <w:bCs/>
          <w:spacing w:val="9"/>
          <w:sz w:val="19"/>
          <w:szCs w:val="19"/>
        </w:rPr>
        <w:t xml:space="preserve"> </w:t>
      </w:r>
      <w:r w:rsidRPr="00B477E9">
        <w:rPr>
          <w:b/>
          <w:bCs/>
          <w:sz w:val="19"/>
          <w:szCs w:val="19"/>
        </w:rPr>
        <w:t>of</w:t>
      </w:r>
      <w:r w:rsidRPr="00B477E9">
        <w:rPr>
          <w:b/>
          <w:bCs/>
          <w:spacing w:val="11"/>
          <w:sz w:val="19"/>
          <w:szCs w:val="19"/>
        </w:rPr>
        <w:t xml:space="preserve"> </w:t>
      </w:r>
      <w:r w:rsidRPr="00B477E9">
        <w:rPr>
          <w:b/>
          <w:bCs/>
          <w:sz w:val="19"/>
          <w:szCs w:val="19"/>
        </w:rPr>
        <w:t>the</w:t>
      </w:r>
      <w:r w:rsidRPr="00B477E9">
        <w:rPr>
          <w:b/>
          <w:bCs/>
          <w:spacing w:val="16"/>
          <w:sz w:val="19"/>
          <w:szCs w:val="19"/>
        </w:rPr>
        <w:t xml:space="preserve"> </w:t>
      </w:r>
      <w:r w:rsidRPr="00B477E9">
        <w:rPr>
          <w:b/>
          <w:bCs/>
          <w:sz w:val="19"/>
          <w:szCs w:val="19"/>
        </w:rPr>
        <w:t>Statement</w:t>
      </w:r>
      <w:r w:rsidRPr="00B477E9">
        <w:rPr>
          <w:b/>
          <w:bCs/>
          <w:spacing w:val="9"/>
          <w:sz w:val="19"/>
          <w:szCs w:val="19"/>
        </w:rPr>
        <w:t xml:space="preserve"> </w:t>
      </w:r>
      <w:r w:rsidRPr="00B477E9">
        <w:rPr>
          <w:b/>
          <w:bCs/>
          <w:sz w:val="19"/>
          <w:szCs w:val="19"/>
        </w:rPr>
        <w:t>of</w:t>
      </w:r>
      <w:r w:rsidRPr="00B477E9">
        <w:rPr>
          <w:b/>
          <w:bCs/>
          <w:spacing w:val="10"/>
          <w:sz w:val="19"/>
          <w:szCs w:val="19"/>
        </w:rPr>
        <w:t xml:space="preserve"> </w:t>
      </w:r>
      <w:r w:rsidRPr="00B477E9">
        <w:rPr>
          <w:b/>
          <w:bCs/>
          <w:sz w:val="19"/>
          <w:szCs w:val="19"/>
        </w:rPr>
        <w:t>Funding</w:t>
      </w:r>
      <w:r w:rsidRPr="00B477E9">
        <w:rPr>
          <w:b/>
          <w:bCs/>
          <w:spacing w:val="11"/>
          <w:sz w:val="19"/>
          <w:szCs w:val="19"/>
        </w:rPr>
        <w:t xml:space="preserve"> </w:t>
      </w:r>
      <w:r w:rsidRPr="00B477E9">
        <w:rPr>
          <w:b/>
          <w:bCs/>
          <w:sz w:val="19"/>
          <w:szCs w:val="19"/>
        </w:rPr>
        <w:t>and</w:t>
      </w:r>
      <w:r w:rsidRPr="00B477E9">
        <w:rPr>
          <w:b/>
          <w:bCs/>
          <w:spacing w:val="11"/>
          <w:sz w:val="19"/>
          <w:szCs w:val="19"/>
        </w:rPr>
        <w:t xml:space="preserve"> </w:t>
      </w:r>
      <w:r w:rsidRPr="00B477E9">
        <w:rPr>
          <w:b/>
          <w:bCs/>
          <w:spacing w:val="-2"/>
          <w:sz w:val="19"/>
          <w:szCs w:val="19"/>
        </w:rPr>
        <w:t>Expenditure</w:t>
      </w:r>
    </w:p>
    <w:p w14:paraId="25CA4D8C" w14:textId="7856DF55" w:rsidR="008A2FF2" w:rsidRPr="00B477E9" w:rsidRDefault="008A2FF2" w:rsidP="00455A8E">
      <w:pPr>
        <w:pStyle w:val="BodyText"/>
        <w:spacing w:before="96" w:line="341" w:lineRule="auto"/>
        <w:ind w:left="85" w:right="215"/>
        <w:rPr>
          <w:sz w:val="19"/>
          <w:szCs w:val="19"/>
        </w:rPr>
      </w:pPr>
      <w:r w:rsidRPr="00B477E9">
        <w:rPr>
          <w:w w:val="105"/>
          <w:sz w:val="19"/>
          <w:szCs w:val="19"/>
        </w:rPr>
        <w:t>Our</w:t>
      </w:r>
      <w:r w:rsidRPr="00B477E9">
        <w:rPr>
          <w:spacing w:val="-14"/>
          <w:w w:val="105"/>
          <w:sz w:val="19"/>
          <w:szCs w:val="19"/>
        </w:rPr>
        <w:t xml:space="preserve"> </w:t>
      </w:r>
      <w:r w:rsidRPr="00B477E9">
        <w:rPr>
          <w:w w:val="105"/>
          <w:sz w:val="19"/>
          <w:szCs w:val="19"/>
        </w:rPr>
        <w:t>objectives</w:t>
      </w:r>
      <w:r w:rsidRPr="00B477E9">
        <w:rPr>
          <w:spacing w:val="-13"/>
          <w:w w:val="105"/>
          <w:sz w:val="19"/>
          <w:szCs w:val="19"/>
        </w:rPr>
        <w:t xml:space="preserve"> </w:t>
      </w:r>
      <w:r w:rsidRPr="00B477E9">
        <w:rPr>
          <w:w w:val="105"/>
          <w:sz w:val="19"/>
          <w:szCs w:val="19"/>
        </w:rPr>
        <w:t>are</w:t>
      </w:r>
      <w:r w:rsidRPr="00B477E9">
        <w:rPr>
          <w:spacing w:val="-13"/>
          <w:w w:val="105"/>
          <w:sz w:val="19"/>
          <w:szCs w:val="19"/>
        </w:rPr>
        <w:t xml:space="preserve"> </w:t>
      </w:r>
      <w:r w:rsidRPr="00B477E9">
        <w:rPr>
          <w:w w:val="105"/>
          <w:sz w:val="19"/>
          <w:szCs w:val="19"/>
        </w:rPr>
        <w:t>to</w:t>
      </w:r>
      <w:r w:rsidRPr="00B477E9">
        <w:rPr>
          <w:spacing w:val="-13"/>
          <w:w w:val="105"/>
          <w:sz w:val="19"/>
          <w:szCs w:val="19"/>
        </w:rPr>
        <w:t xml:space="preserve"> </w:t>
      </w:r>
      <w:r w:rsidRPr="00B477E9">
        <w:rPr>
          <w:w w:val="105"/>
          <w:sz w:val="19"/>
          <w:szCs w:val="19"/>
        </w:rPr>
        <w:t>obtain</w:t>
      </w:r>
      <w:r w:rsidRPr="00B477E9">
        <w:rPr>
          <w:spacing w:val="-13"/>
          <w:w w:val="105"/>
          <w:sz w:val="19"/>
          <w:szCs w:val="19"/>
        </w:rPr>
        <w:t xml:space="preserve"> </w:t>
      </w:r>
      <w:r w:rsidRPr="00B477E9">
        <w:rPr>
          <w:w w:val="105"/>
          <w:sz w:val="19"/>
          <w:szCs w:val="19"/>
        </w:rPr>
        <w:t>reasonable</w:t>
      </w:r>
      <w:r w:rsidRPr="00B477E9">
        <w:rPr>
          <w:spacing w:val="-13"/>
          <w:w w:val="105"/>
          <w:sz w:val="19"/>
          <w:szCs w:val="19"/>
        </w:rPr>
        <w:t xml:space="preserve"> </w:t>
      </w:r>
      <w:r w:rsidRPr="00B477E9">
        <w:rPr>
          <w:w w:val="105"/>
          <w:sz w:val="19"/>
          <w:szCs w:val="19"/>
        </w:rPr>
        <w:t>assurance</w:t>
      </w:r>
      <w:r w:rsidRPr="00B477E9">
        <w:rPr>
          <w:spacing w:val="-13"/>
          <w:w w:val="105"/>
          <w:sz w:val="19"/>
          <w:szCs w:val="19"/>
        </w:rPr>
        <w:t xml:space="preserve"> </w:t>
      </w:r>
      <w:r w:rsidRPr="00B477E9">
        <w:rPr>
          <w:w w:val="105"/>
          <w:sz w:val="19"/>
          <w:szCs w:val="19"/>
        </w:rPr>
        <w:t>about</w:t>
      </w:r>
      <w:r w:rsidRPr="00B477E9">
        <w:rPr>
          <w:spacing w:val="-13"/>
          <w:w w:val="105"/>
          <w:sz w:val="19"/>
          <w:szCs w:val="19"/>
        </w:rPr>
        <w:t xml:space="preserve"> </w:t>
      </w:r>
      <w:r w:rsidRPr="00B477E9">
        <w:rPr>
          <w:w w:val="105"/>
          <w:sz w:val="19"/>
          <w:szCs w:val="19"/>
        </w:rPr>
        <w:t>whether</w:t>
      </w:r>
      <w:r w:rsidRPr="00B477E9">
        <w:rPr>
          <w:spacing w:val="-13"/>
          <w:w w:val="105"/>
          <w:sz w:val="19"/>
          <w:szCs w:val="19"/>
        </w:rPr>
        <w:t xml:space="preserve"> </w:t>
      </w:r>
      <w:r w:rsidRPr="00B477E9">
        <w:rPr>
          <w:w w:val="105"/>
          <w:sz w:val="19"/>
          <w:szCs w:val="19"/>
        </w:rPr>
        <w:t>the</w:t>
      </w:r>
      <w:r w:rsidRPr="00B477E9">
        <w:rPr>
          <w:spacing w:val="-13"/>
          <w:w w:val="105"/>
          <w:sz w:val="19"/>
          <w:szCs w:val="19"/>
        </w:rPr>
        <w:t xml:space="preserve"> </w:t>
      </w:r>
      <w:r w:rsidRPr="00B477E9">
        <w:rPr>
          <w:w w:val="105"/>
          <w:sz w:val="19"/>
          <w:szCs w:val="19"/>
        </w:rPr>
        <w:t>Statement</w:t>
      </w:r>
      <w:r w:rsidRPr="00B477E9">
        <w:rPr>
          <w:spacing w:val="-13"/>
          <w:w w:val="105"/>
          <w:sz w:val="19"/>
          <w:szCs w:val="19"/>
        </w:rPr>
        <w:t xml:space="preserve"> </w:t>
      </w:r>
      <w:r w:rsidRPr="00B477E9">
        <w:rPr>
          <w:w w:val="105"/>
          <w:sz w:val="19"/>
          <w:szCs w:val="19"/>
        </w:rPr>
        <w:t>of</w:t>
      </w:r>
      <w:r w:rsidRPr="00B477E9">
        <w:rPr>
          <w:spacing w:val="-13"/>
          <w:w w:val="105"/>
          <w:sz w:val="19"/>
          <w:szCs w:val="19"/>
        </w:rPr>
        <w:t xml:space="preserve"> </w:t>
      </w:r>
      <w:r w:rsidRPr="00B477E9">
        <w:rPr>
          <w:w w:val="105"/>
          <w:sz w:val="19"/>
          <w:szCs w:val="19"/>
        </w:rPr>
        <w:t>Funding</w:t>
      </w:r>
      <w:r w:rsidRPr="00B477E9">
        <w:rPr>
          <w:spacing w:val="-14"/>
          <w:w w:val="105"/>
          <w:sz w:val="19"/>
          <w:szCs w:val="19"/>
        </w:rPr>
        <w:t xml:space="preserve"> </w:t>
      </w:r>
      <w:r w:rsidRPr="00B477E9">
        <w:rPr>
          <w:w w:val="105"/>
          <w:sz w:val="19"/>
          <w:szCs w:val="19"/>
        </w:rPr>
        <w:t>and Expenditure</w:t>
      </w:r>
      <w:r w:rsidRPr="00B477E9">
        <w:rPr>
          <w:spacing w:val="-6"/>
          <w:w w:val="105"/>
          <w:sz w:val="19"/>
          <w:szCs w:val="19"/>
        </w:rPr>
        <w:t xml:space="preserve"> </w:t>
      </w:r>
      <w:proofErr w:type="gramStart"/>
      <w:r w:rsidRPr="00B477E9">
        <w:rPr>
          <w:w w:val="105"/>
          <w:sz w:val="19"/>
          <w:szCs w:val="19"/>
        </w:rPr>
        <w:t>as</w:t>
      </w:r>
      <w:r w:rsidRPr="00B477E9">
        <w:rPr>
          <w:spacing w:val="-6"/>
          <w:w w:val="105"/>
          <w:sz w:val="19"/>
          <w:szCs w:val="19"/>
        </w:rPr>
        <w:t xml:space="preserve"> </w:t>
      </w:r>
      <w:r w:rsidRPr="00B477E9">
        <w:rPr>
          <w:w w:val="105"/>
          <w:sz w:val="19"/>
          <w:szCs w:val="19"/>
        </w:rPr>
        <w:t>a</w:t>
      </w:r>
      <w:r w:rsidRPr="00B477E9">
        <w:rPr>
          <w:spacing w:val="-7"/>
          <w:w w:val="105"/>
          <w:sz w:val="19"/>
          <w:szCs w:val="19"/>
        </w:rPr>
        <w:t xml:space="preserve"> </w:t>
      </w:r>
      <w:r w:rsidRPr="00B477E9">
        <w:rPr>
          <w:w w:val="105"/>
          <w:sz w:val="19"/>
          <w:szCs w:val="19"/>
        </w:rPr>
        <w:t>whole</w:t>
      </w:r>
      <w:r w:rsidRPr="00B477E9">
        <w:rPr>
          <w:spacing w:val="-5"/>
          <w:w w:val="105"/>
          <w:sz w:val="19"/>
          <w:szCs w:val="19"/>
        </w:rPr>
        <w:t xml:space="preserve"> </w:t>
      </w:r>
      <w:r w:rsidRPr="00B477E9">
        <w:rPr>
          <w:w w:val="105"/>
          <w:sz w:val="19"/>
          <w:szCs w:val="19"/>
        </w:rPr>
        <w:t>is</w:t>
      </w:r>
      <w:proofErr w:type="gramEnd"/>
      <w:r w:rsidRPr="00B477E9">
        <w:rPr>
          <w:spacing w:val="-6"/>
          <w:w w:val="105"/>
          <w:sz w:val="19"/>
          <w:szCs w:val="19"/>
        </w:rPr>
        <w:t xml:space="preserve"> </w:t>
      </w:r>
      <w:r w:rsidRPr="00B477E9">
        <w:rPr>
          <w:w w:val="105"/>
          <w:sz w:val="19"/>
          <w:szCs w:val="19"/>
        </w:rPr>
        <w:t>free</w:t>
      </w:r>
      <w:r w:rsidRPr="00B477E9">
        <w:rPr>
          <w:spacing w:val="-5"/>
          <w:w w:val="105"/>
          <w:sz w:val="19"/>
          <w:szCs w:val="19"/>
        </w:rPr>
        <w:t xml:space="preserve"> </w:t>
      </w:r>
      <w:r w:rsidRPr="00B477E9">
        <w:rPr>
          <w:w w:val="105"/>
          <w:sz w:val="19"/>
          <w:szCs w:val="19"/>
        </w:rPr>
        <w:t>from</w:t>
      </w:r>
      <w:r w:rsidRPr="00B477E9">
        <w:rPr>
          <w:spacing w:val="-7"/>
          <w:w w:val="105"/>
          <w:sz w:val="19"/>
          <w:szCs w:val="19"/>
        </w:rPr>
        <w:t xml:space="preserve"> </w:t>
      </w:r>
      <w:r w:rsidRPr="00B477E9">
        <w:rPr>
          <w:w w:val="105"/>
          <w:sz w:val="19"/>
          <w:szCs w:val="19"/>
        </w:rPr>
        <w:t>material</w:t>
      </w:r>
      <w:r w:rsidRPr="00B477E9">
        <w:rPr>
          <w:spacing w:val="-7"/>
          <w:w w:val="105"/>
          <w:sz w:val="19"/>
          <w:szCs w:val="19"/>
        </w:rPr>
        <w:t xml:space="preserve"> </w:t>
      </w:r>
      <w:r w:rsidRPr="00B477E9">
        <w:rPr>
          <w:w w:val="105"/>
          <w:sz w:val="19"/>
          <w:szCs w:val="19"/>
        </w:rPr>
        <w:t>misstatement,</w:t>
      </w:r>
      <w:r w:rsidRPr="00B477E9">
        <w:rPr>
          <w:spacing w:val="-6"/>
          <w:w w:val="105"/>
          <w:sz w:val="19"/>
          <w:szCs w:val="19"/>
        </w:rPr>
        <w:t xml:space="preserve"> </w:t>
      </w:r>
      <w:r w:rsidRPr="00B477E9">
        <w:rPr>
          <w:w w:val="105"/>
          <w:sz w:val="19"/>
          <w:szCs w:val="19"/>
        </w:rPr>
        <w:t>whether</w:t>
      </w:r>
      <w:r w:rsidRPr="00B477E9">
        <w:rPr>
          <w:spacing w:val="-6"/>
          <w:w w:val="105"/>
          <w:sz w:val="19"/>
          <w:szCs w:val="19"/>
        </w:rPr>
        <w:t xml:space="preserve"> </w:t>
      </w:r>
      <w:r w:rsidRPr="00B477E9">
        <w:rPr>
          <w:w w:val="105"/>
          <w:sz w:val="19"/>
          <w:szCs w:val="19"/>
        </w:rPr>
        <w:t>due</w:t>
      </w:r>
      <w:r w:rsidRPr="00B477E9">
        <w:rPr>
          <w:spacing w:val="-5"/>
          <w:w w:val="105"/>
          <w:sz w:val="19"/>
          <w:szCs w:val="19"/>
        </w:rPr>
        <w:t xml:space="preserve"> </w:t>
      </w:r>
      <w:r w:rsidRPr="00B477E9">
        <w:rPr>
          <w:w w:val="105"/>
          <w:sz w:val="19"/>
          <w:szCs w:val="19"/>
        </w:rPr>
        <w:t>to</w:t>
      </w:r>
      <w:r w:rsidRPr="00B477E9">
        <w:rPr>
          <w:spacing w:val="-6"/>
          <w:w w:val="105"/>
          <w:sz w:val="19"/>
          <w:szCs w:val="19"/>
        </w:rPr>
        <w:t xml:space="preserve"> </w:t>
      </w:r>
      <w:r w:rsidRPr="00B477E9">
        <w:rPr>
          <w:w w:val="105"/>
          <w:sz w:val="19"/>
          <w:szCs w:val="19"/>
        </w:rPr>
        <w:t>fraud</w:t>
      </w:r>
      <w:r w:rsidRPr="00B477E9">
        <w:rPr>
          <w:spacing w:val="-8"/>
          <w:w w:val="105"/>
          <w:sz w:val="19"/>
          <w:szCs w:val="19"/>
        </w:rPr>
        <w:t xml:space="preserve"> </w:t>
      </w:r>
      <w:r w:rsidRPr="00B477E9">
        <w:rPr>
          <w:w w:val="105"/>
          <w:sz w:val="19"/>
          <w:szCs w:val="19"/>
        </w:rPr>
        <w:t>or</w:t>
      </w:r>
      <w:r w:rsidRPr="00B477E9">
        <w:rPr>
          <w:spacing w:val="-6"/>
          <w:w w:val="105"/>
          <w:sz w:val="19"/>
          <w:szCs w:val="19"/>
        </w:rPr>
        <w:t xml:space="preserve"> </w:t>
      </w:r>
      <w:r w:rsidRPr="00B477E9">
        <w:rPr>
          <w:w w:val="105"/>
          <w:sz w:val="19"/>
          <w:szCs w:val="19"/>
        </w:rPr>
        <w:t>error,</w:t>
      </w:r>
      <w:r w:rsidRPr="00B477E9">
        <w:rPr>
          <w:spacing w:val="-6"/>
          <w:w w:val="105"/>
          <w:sz w:val="19"/>
          <w:szCs w:val="19"/>
        </w:rPr>
        <w:t xml:space="preserve"> </w:t>
      </w:r>
      <w:r w:rsidRPr="00B477E9">
        <w:rPr>
          <w:w w:val="105"/>
          <w:sz w:val="19"/>
          <w:szCs w:val="19"/>
        </w:rPr>
        <w:t>and</w:t>
      </w:r>
      <w:r w:rsidRPr="00B477E9">
        <w:rPr>
          <w:spacing w:val="-6"/>
          <w:w w:val="105"/>
          <w:sz w:val="19"/>
          <w:szCs w:val="19"/>
        </w:rPr>
        <w:t xml:space="preserve"> </w:t>
      </w:r>
      <w:r w:rsidRPr="00B477E9">
        <w:rPr>
          <w:w w:val="105"/>
          <w:sz w:val="19"/>
          <w:szCs w:val="19"/>
        </w:rPr>
        <w:t>to issue</w:t>
      </w:r>
      <w:r w:rsidR="00EE13F5" w:rsidRPr="00B477E9">
        <w:rPr>
          <w:spacing w:val="-3"/>
          <w:w w:val="105"/>
          <w:sz w:val="19"/>
          <w:szCs w:val="19"/>
        </w:rPr>
        <w:t> </w:t>
      </w:r>
      <w:r w:rsidRPr="00B477E9">
        <w:rPr>
          <w:w w:val="105"/>
          <w:sz w:val="19"/>
          <w:szCs w:val="19"/>
        </w:rPr>
        <w:t>an</w:t>
      </w:r>
      <w:r w:rsidR="00DC24FD" w:rsidRPr="00B477E9">
        <w:rPr>
          <w:spacing w:val="-4"/>
          <w:w w:val="105"/>
          <w:sz w:val="19"/>
          <w:szCs w:val="19"/>
        </w:rPr>
        <w:t> </w:t>
      </w:r>
      <w:r w:rsidRPr="00B477E9">
        <w:rPr>
          <w:w w:val="105"/>
          <w:sz w:val="19"/>
          <w:szCs w:val="19"/>
        </w:rPr>
        <w:t>auditor’s</w:t>
      </w:r>
      <w:r w:rsidRPr="00B477E9">
        <w:rPr>
          <w:spacing w:val="-4"/>
          <w:w w:val="105"/>
          <w:sz w:val="19"/>
          <w:szCs w:val="19"/>
        </w:rPr>
        <w:t xml:space="preserve"> </w:t>
      </w:r>
      <w:r w:rsidRPr="00B477E9">
        <w:rPr>
          <w:w w:val="105"/>
          <w:sz w:val="19"/>
          <w:szCs w:val="19"/>
        </w:rPr>
        <w:t>report</w:t>
      </w:r>
      <w:r w:rsidRPr="00B477E9">
        <w:rPr>
          <w:spacing w:val="-5"/>
          <w:w w:val="105"/>
          <w:sz w:val="19"/>
          <w:szCs w:val="19"/>
        </w:rPr>
        <w:t xml:space="preserve"> </w:t>
      </w:r>
      <w:r w:rsidRPr="00B477E9">
        <w:rPr>
          <w:w w:val="105"/>
          <w:sz w:val="19"/>
          <w:szCs w:val="19"/>
        </w:rPr>
        <w:t>that</w:t>
      </w:r>
      <w:r w:rsidRPr="00B477E9">
        <w:rPr>
          <w:spacing w:val="-5"/>
          <w:w w:val="105"/>
          <w:sz w:val="19"/>
          <w:szCs w:val="19"/>
        </w:rPr>
        <w:t xml:space="preserve"> </w:t>
      </w:r>
      <w:r w:rsidRPr="00B477E9">
        <w:rPr>
          <w:w w:val="105"/>
          <w:sz w:val="19"/>
          <w:szCs w:val="19"/>
        </w:rPr>
        <w:t>includes</w:t>
      </w:r>
      <w:r w:rsidRPr="00B477E9">
        <w:rPr>
          <w:spacing w:val="-4"/>
          <w:w w:val="105"/>
          <w:sz w:val="19"/>
          <w:szCs w:val="19"/>
        </w:rPr>
        <w:t xml:space="preserve"> </w:t>
      </w:r>
      <w:r w:rsidRPr="00B477E9">
        <w:rPr>
          <w:w w:val="105"/>
          <w:sz w:val="19"/>
          <w:szCs w:val="19"/>
        </w:rPr>
        <w:t>our</w:t>
      </w:r>
      <w:r w:rsidRPr="00B477E9">
        <w:rPr>
          <w:spacing w:val="-4"/>
          <w:w w:val="105"/>
          <w:sz w:val="19"/>
          <w:szCs w:val="19"/>
        </w:rPr>
        <w:t xml:space="preserve"> </w:t>
      </w:r>
      <w:r w:rsidRPr="00B477E9">
        <w:rPr>
          <w:w w:val="105"/>
          <w:sz w:val="19"/>
          <w:szCs w:val="19"/>
        </w:rPr>
        <w:t>opinion.</w:t>
      </w:r>
      <w:r w:rsidRPr="00B477E9">
        <w:rPr>
          <w:spacing w:val="-5"/>
          <w:w w:val="105"/>
          <w:sz w:val="19"/>
          <w:szCs w:val="19"/>
        </w:rPr>
        <w:t xml:space="preserve"> </w:t>
      </w:r>
      <w:r w:rsidRPr="00B477E9">
        <w:rPr>
          <w:w w:val="105"/>
          <w:sz w:val="19"/>
          <w:szCs w:val="19"/>
        </w:rPr>
        <w:t>Reasonable</w:t>
      </w:r>
      <w:r w:rsidRPr="00B477E9">
        <w:rPr>
          <w:spacing w:val="-3"/>
          <w:w w:val="105"/>
          <w:sz w:val="19"/>
          <w:szCs w:val="19"/>
        </w:rPr>
        <w:t xml:space="preserve"> </w:t>
      </w:r>
      <w:r w:rsidRPr="00B477E9">
        <w:rPr>
          <w:w w:val="105"/>
          <w:sz w:val="19"/>
          <w:szCs w:val="19"/>
        </w:rPr>
        <w:t>assurance</w:t>
      </w:r>
      <w:r w:rsidRPr="00B477E9">
        <w:rPr>
          <w:spacing w:val="-3"/>
          <w:w w:val="105"/>
          <w:sz w:val="19"/>
          <w:szCs w:val="19"/>
        </w:rPr>
        <w:t xml:space="preserve"> </w:t>
      </w:r>
      <w:r w:rsidRPr="00B477E9">
        <w:rPr>
          <w:w w:val="105"/>
          <w:sz w:val="19"/>
          <w:szCs w:val="19"/>
        </w:rPr>
        <w:t>is</w:t>
      </w:r>
      <w:r w:rsidRPr="00B477E9">
        <w:rPr>
          <w:spacing w:val="-4"/>
          <w:w w:val="105"/>
          <w:sz w:val="19"/>
          <w:szCs w:val="19"/>
        </w:rPr>
        <w:t xml:space="preserve"> </w:t>
      </w:r>
      <w:r w:rsidRPr="00B477E9">
        <w:rPr>
          <w:w w:val="105"/>
          <w:sz w:val="19"/>
          <w:szCs w:val="19"/>
        </w:rPr>
        <w:t>a</w:t>
      </w:r>
      <w:r w:rsidRPr="00B477E9">
        <w:rPr>
          <w:spacing w:val="-6"/>
          <w:w w:val="105"/>
          <w:sz w:val="19"/>
          <w:szCs w:val="19"/>
        </w:rPr>
        <w:t xml:space="preserve"> </w:t>
      </w:r>
      <w:r w:rsidRPr="00B477E9">
        <w:rPr>
          <w:w w:val="105"/>
          <w:sz w:val="19"/>
          <w:szCs w:val="19"/>
        </w:rPr>
        <w:t>high</w:t>
      </w:r>
      <w:r w:rsidRPr="00B477E9">
        <w:rPr>
          <w:spacing w:val="-4"/>
          <w:w w:val="105"/>
          <w:sz w:val="19"/>
          <w:szCs w:val="19"/>
        </w:rPr>
        <w:t xml:space="preserve"> </w:t>
      </w:r>
      <w:r w:rsidRPr="00B477E9">
        <w:rPr>
          <w:w w:val="105"/>
          <w:sz w:val="19"/>
          <w:szCs w:val="19"/>
        </w:rPr>
        <w:t>level</w:t>
      </w:r>
      <w:r w:rsidRPr="00B477E9">
        <w:rPr>
          <w:spacing w:val="-6"/>
          <w:w w:val="105"/>
          <w:sz w:val="19"/>
          <w:szCs w:val="19"/>
        </w:rPr>
        <w:t xml:space="preserve"> </w:t>
      </w:r>
      <w:r w:rsidRPr="00B477E9">
        <w:rPr>
          <w:w w:val="105"/>
          <w:sz w:val="19"/>
          <w:szCs w:val="19"/>
        </w:rPr>
        <w:t xml:space="preserve">of </w:t>
      </w:r>
      <w:proofErr w:type="gramStart"/>
      <w:r w:rsidRPr="00B477E9">
        <w:rPr>
          <w:sz w:val="19"/>
          <w:szCs w:val="19"/>
        </w:rPr>
        <w:t>assurance,</w:t>
      </w:r>
      <w:r w:rsidR="000030AE" w:rsidRPr="00B477E9">
        <w:rPr>
          <w:spacing w:val="40"/>
          <w:sz w:val="19"/>
          <w:szCs w:val="19"/>
        </w:rPr>
        <w:t> </w:t>
      </w:r>
      <w:r w:rsidRPr="00B477E9">
        <w:rPr>
          <w:sz w:val="19"/>
          <w:szCs w:val="19"/>
        </w:rPr>
        <w:t>but</w:t>
      </w:r>
      <w:proofErr w:type="gramEnd"/>
      <w:r w:rsidRPr="00B477E9">
        <w:rPr>
          <w:sz w:val="19"/>
          <w:szCs w:val="19"/>
        </w:rPr>
        <w:t xml:space="preserve"> is not a guarantee that an audit conducted in accordance with Australian Auditing </w:t>
      </w:r>
      <w:r w:rsidRPr="00B477E9">
        <w:rPr>
          <w:w w:val="105"/>
          <w:sz w:val="19"/>
          <w:szCs w:val="19"/>
        </w:rPr>
        <w:t>Standards</w:t>
      </w:r>
      <w:r w:rsidRPr="00B477E9">
        <w:rPr>
          <w:spacing w:val="-3"/>
          <w:w w:val="105"/>
          <w:sz w:val="19"/>
          <w:szCs w:val="19"/>
        </w:rPr>
        <w:t xml:space="preserve"> </w:t>
      </w:r>
      <w:r w:rsidRPr="00B477E9">
        <w:rPr>
          <w:w w:val="105"/>
          <w:sz w:val="19"/>
          <w:szCs w:val="19"/>
        </w:rPr>
        <w:t>will</w:t>
      </w:r>
      <w:r w:rsidRPr="00B477E9">
        <w:rPr>
          <w:spacing w:val="-4"/>
          <w:w w:val="105"/>
          <w:sz w:val="19"/>
          <w:szCs w:val="19"/>
        </w:rPr>
        <w:t xml:space="preserve"> </w:t>
      </w:r>
      <w:r w:rsidRPr="00B477E9">
        <w:rPr>
          <w:w w:val="105"/>
          <w:sz w:val="19"/>
          <w:szCs w:val="19"/>
        </w:rPr>
        <w:t>always</w:t>
      </w:r>
      <w:r w:rsidRPr="00B477E9">
        <w:rPr>
          <w:spacing w:val="-3"/>
          <w:w w:val="105"/>
          <w:sz w:val="19"/>
          <w:szCs w:val="19"/>
        </w:rPr>
        <w:t xml:space="preserve"> </w:t>
      </w:r>
      <w:r w:rsidRPr="00B477E9">
        <w:rPr>
          <w:w w:val="105"/>
          <w:sz w:val="19"/>
          <w:szCs w:val="19"/>
        </w:rPr>
        <w:t>detect</w:t>
      </w:r>
      <w:r w:rsidRPr="00B477E9">
        <w:rPr>
          <w:spacing w:val="-4"/>
          <w:w w:val="105"/>
          <w:sz w:val="19"/>
          <w:szCs w:val="19"/>
        </w:rPr>
        <w:t xml:space="preserve"> </w:t>
      </w:r>
      <w:r w:rsidRPr="00B477E9">
        <w:rPr>
          <w:w w:val="105"/>
          <w:sz w:val="19"/>
          <w:szCs w:val="19"/>
        </w:rPr>
        <w:t>a</w:t>
      </w:r>
      <w:r w:rsidRPr="00B477E9">
        <w:rPr>
          <w:spacing w:val="-4"/>
          <w:w w:val="105"/>
          <w:sz w:val="19"/>
          <w:szCs w:val="19"/>
        </w:rPr>
        <w:t xml:space="preserve"> </w:t>
      </w:r>
      <w:r w:rsidRPr="00B477E9">
        <w:rPr>
          <w:w w:val="105"/>
          <w:sz w:val="19"/>
          <w:szCs w:val="19"/>
        </w:rPr>
        <w:t>material</w:t>
      </w:r>
      <w:r w:rsidRPr="00B477E9">
        <w:rPr>
          <w:spacing w:val="-4"/>
          <w:w w:val="105"/>
          <w:sz w:val="19"/>
          <w:szCs w:val="19"/>
        </w:rPr>
        <w:t xml:space="preserve"> </w:t>
      </w:r>
      <w:r w:rsidRPr="00B477E9">
        <w:rPr>
          <w:w w:val="105"/>
          <w:sz w:val="19"/>
          <w:szCs w:val="19"/>
        </w:rPr>
        <w:t>misstatement</w:t>
      </w:r>
      <w:r w:rsidRPr="00B477E9">
        <w:rPr>
          <w:spacing w:val="-4"/>
          <w:w w:val="105"/>
          <w:sz w:val="19"/>
          <w:szCs w:val="19"/>
        </w:rPr>
        <w:t xml:space="preserve"> </w:t>
      </w:r>
      <w:r w:rsidRPr="00B477E9">
        <w:rPr>
          <w:w w:val="105"/>
          <w:sz w:val="19"/>
          <w:szCs w:val="19"/>
        </w:rPr>
        <w:t>when</w:t>
      </w:r>
      <w:r w:rsidRPr="00B477E9">
        <w:rPr>
          <w:spacing w:val="-3"/>
          <w:w w:val="105"/>
          <w:sz w:val="19"/>
          <w:szCs w:val="19"/>
        </w:rPr>
        <w:t xml:space="preserve"> </w:t>
      </w:r>
      <w:r w:rsidRPr="00B477E9">
        <w:rPr>
          <w:w w:val="105"/>
          <w:sz w:val="19"/>
          <w:szCs w:val="19"/>
        </w:rPr>
        <w:t>it</w:t>
      </w:r>
      <w:r w:rsidRPr="00B477E9">
        <w:rPr>
          <w:spacing w:val="-4"/>
          <w:w w:val="105"/>
          <w:sz w:val="19"/>
          <w:szCs w:val="19"/>
        </w:rPr>
        <w:t xml:space="preserve"> </w:t>
      </w:r>
      <w:r w:rsidRPr="00B477E9">
        <w:rPr>
          <w:w w:val="105"/>
          <w:sz w:val="19"/>
          <w:szCs w:val="19"/>
        </w:rPr>
        <w:t>exists.</w:t>
      </w:r>
      <w:r w:rsidRPr="00B477E9">
        <w:rPr>
          <w:spacing w:val="-3"/>
          <w:w w:val="105"/>
          <w:sz w:val="19"/>
          <w:szCs w:val="19"/>
        </w:rPr>
        <w:t xml:space="preserve"> </w:t>
      </w:r>
      <w:r w:rsidRPr="00B477E9">
        <w:rPr>
          <w:w w:val="105"/>
          <w:sz w:val="19"/>
          <w:szCs w:val="19"/>
        </w:rPr>
        <w:t>Misstatements</w:t>
      </w:r>
      <w:r w:rsidRPr="00B477E9">
        <w:rPr>
          <w:spacing w:val="-3"/>
          <w:w w:val="105"/>
          <w:sz w:val="19"/>
          <w:szCs w:val="19"/>
        </w:rPr>
        <w:t xml:space="preserve"> </w:t>
      </w:r>
      <w:r w:rsidRPr="00B477E9">
        <w:rPr>
          <w:w w:val="105"/>
          <w:sz w:val="19"/>
          <w:szCs w:val="19"/>
        </w:rPr>
        <w:t>can</w:t>
      </w:r>
      <w:r w:rsidRPr="00B477E9">
        <w:rPr>
          <w:spacing w:val="-3"/>
          <w:w w:val="105"/>
          <w:sz w:val="19"/>
          <w:szCs w:val="19"/>
        </w:rPr>
        <w:t xml:space="preserve"> </w:t>
      </w:r>
      <w:r w:rsidRPr="00B477E9">
        <w:rPr>
          <w:w w:val="105"/>
          <w:sz w:val="19"/>
          <w:szCs w:val="19"/>
        </w:rPr>
        <w:t>arise</w:t>
      </w:r>
      <w:r w:rsidRPr="00B477E9">
        <w:rPr>
          <w:spacing w:val="-3"/>
          <w:w w:val="105"/>
          <w:sz w:val="19"/>
          <w:szCs w:val="19"/>
        </w:rPr>
        <w:t xml:space="preserve"> </w:t>
      </w:r>
      <w:r w:rsidRPr="00B477E9">
        <w:rPr>
          <w:w w:val="105"/>
          <w:sz w:val="19"/>
          <w:szCs w:val="19"/>
        </w:rPr>
        <w:t xml:space="preserve">from </w:t>
      </w:r>
      <w:r w:rsidRPr="00B477E9">
        <w:rPr>
          <w:sz w:val="19"/>
          <w:szCs w:val="19"/>
        </w:rPr>
        <w:t>fraud</w:t>
      </w:r>
      <w:r w:rsidR="000030AE" w:rsidRPr="00B477E9">
        <w:rPr>
          <w:sz w:val="19"/>
          <w:szCs w:val="19"/>
        </w:rPr>
        <w:t> </w:t>
      </w:r>
      <w:r w:rsidRPr="00B477E9">
        <w:rPr>
          <w:sz w:val="19"/>
          <w:szCs w:val="19"/>
        </w:rPr>
        <w:t xml:space="preserve">or error and are considered material if, individually or in the aggregate, they could reasonably </w:t>
      </w:r>
      <w:r w:rsidRPr="00B477E9">
        <w:rPr>
          <w:w w:val="105"/>
          <w:sz w:val="19"/>
          <w:szCs w:val="19"/>
        </w:rPr>
        <w:t>be</w:t>
      </w:r>
      <w:r w:rsidR="000030AE" w:rsidRPr="00B477E9">
        <w:rPr>
          <w:spacing w:val="-8"/>
          <w:w w:val="105"/>
          <w:sz w:val="19"/>
          <w:szCs w:val="19"/>
        </w:rPr>
        <w:t> </w:t>
      </w:r>
      <w:r w:rsidRPr="00B477E9">
        <w:rPr>
          <w:w w:val="105"/>
          <w:sz w:val="19"/>
          <w:szCs w:val="19"/>
        </w:rPr>
        <w:t>expected</w:t>
      </w:r>
      <w:r w:rsidRPr="00B477E9">
        <w:rPr>
          <w:spacing w:val="-8"/>
          <w:w w:val="105"/>
          <w:sz w:val="19"/>
          <w:szCs w:val="19"/>
        </w:rPr>
        <w:t xml:space="preserve"> </w:t>
      </w:r>
      <w:r w:rsidRPr="00B477E9">
        <w:rPr>
          <w:w w:val="105"/>
          <w:sz w:val="19"/>
          <w:szCs w:val="19"/>
        </w:rPr>
        <w:t>to</w:t>
      </w:r>
      <w:r w:rsidRPr="00B477E9">
        <w:rPr>
          <w:spacing w:val="-8"/>
          <w:w w:val="105"/>
          <w:sz w:val="19"/>
          <w:szCs w:val="19"/>
        </w:rPr>
        <w:t xml:space="preserve"> </w:t>
      </w:r>
      <w:r w:rsidRPr="00B477E9">
        <w:rPr>
          <w:w w:val="105"/>
          <w:sz w:val="19"/>
          <w:szCs w:val="19"/>
        </w:rPr>
        <w:t>influence</w:t>
      </w:r>
      <w:r w:rsidRPr="00B477E9">
        <w:rPr>
          <w:spacing w:val="-8"/>
          <w:w w:val="105"/>
          <w:sz w:val="19"/>
          <w:szCs w:val="19"/>
        </w:rPr>
        <w:t xml:space="preserve"> </w:t>
      </w:r>
      <w:r w:rsidRPr="00B477E9">
        <w:rPr>
          <w:w w:val="105"/>
          <w:sz w:val="19"/>
          <w:szCs w:val="19"/>
        </w:rPr>
        <w:t>the</w:t>
      </w:r>
      <w:r w:rsidRPr="00B477E9">
        <w:rPr>
          <w:spacing w:val="-8"/>
          <w:w w:val="105"/>
          <w:sz w:val="19"/>
          <w:szCs w:val="19"/>
        </w:rPr>
        <w:t xml:space="preserve"> </w:t>
      </w:r>
      <w:r w:rsidRPr="00B477E9">
        <w:rPr>
          <w:w w:val="105"/>
          <w:sz w:val="19"/>
          <w:szCs w:val="19"/>
        </w:rPr>
        <w:t>economic</w:t>
      </w:r>
      <w:r w:rsidRPr="00B477E9">
        <w:rPr>
          <w:spacing w:val="-8"/>
          <w:w w:val="105"/>
          <w:sz w:val="19"/>
          <w:szCs w:val="19"/>
        </w:rPr>
        <w:t xml:space="preserve"> </w:t>
      </w:r>
      <w:r w:rsidRPr="00B477E9">
        <w:rPr>
          <w:w w:val="105"/>
          <w:sz w:val="19"/>
          <w:szCs w:val="19"/>
        </w:rPr>
        <w:t>decisions</w:t>
      </w:r>
      <w:r w:rsidRPr="00B477E9">
        <w:rPr>
          <w:spacing w:val="-8"/>
          <w:w w:val="105"/>
          <w:sz w:val="19"/>
          <w:szCs w:val="19"/>
        </w:rPr>
        <w:t xml:space="preserve"> </w:t>
      </w:r>
      <w:r w:rsidRPr="00B477E9">
        <w:rPr>
          <w:w w:val="105"/>
          <w:sz w:val="19"/>
          <w:szCs w:val="19"/>
        </w:rPr>
        <w:t>of</w:t>
      </w:r>
      <w:r w:rsidRPr="00B477E9">
        <w:rPr>
          <w:spacing w:val="-8"/>
          <w:w w:val="105"/>
          <w:sz w:val="19"/>
          <w:szCs w:val="19"/>
        </w:rPr>
        <w:t xml:space="preserve"> </w:t>
      </w:r>
      <w:r w:rsidRPr="00B477E9">
        <w:rPr>
          <w:w w:val="105"/>
          <w:sz w:val="19"/>
          <w:szCs w:val="19"/>
        </w:rPr>
        <w:t>users</w:t>
      </w:r>
      <w:r w:rsidRPr="00B477E9">
        <w:rPr>
          <w:spacing w:val="-8"/>
          <w:w w:val="105"/>
          <w:sz w:val="19"/>
          <w:szCs w:val="19"/>
        </w:rPr>
        <w:t xml:space="preserve"> </w:t>
      </w:r>
      <w:r w:rsidRPr="00B477E9">
        <w:rPr>
          <w:w w:val="105"/>
          <w:sz w:val="19"/>
          <w:szCs w:val="19"/>
        </w:rPr>
        <w:t>taken</w:t>
      </w:r>
      <w:r w:rsidRPr="00B477E9">
        <w:rPr>
          <w:spacing w:val="-8"/>
          <w:w w:val="105"/>
          <w:sz w:val="19"/>
          <w:szCs w:val="19"/>
        </w:rPr>
        <w:t xml:space="preserve"> </w:t>
      </w:r>
      <w:proofErr w:type="gramStart"/>
      <w:r w:rsidRPr="00B477E9">
        <w:rPr>
          <w:w w:val="105"/>
          <w:sz w:val="19"/>
          <w:szCs w:val="19"/>
        </w:rPr>
        <w:t>on</w:t>
      </w:r>
      <w:r w:rsidRPr="00B477E9">
        <w:rPr>
          <w:spacing w:val="-8"/>
          <w:w w:val="105"/>
          <w:sz w:val="19"/>
          <w:szCs w:val="19"/>
        </w:rPr>
        <w:t xml:space="preserve"> </w:t>
      </w:r>
      <w:r w:rsidRPr="00B477E9">
        <w:rPr>
          <w:w w:val="105"/>
          <w:sz w:val="19"/>
          <w:szCs w:val="19"/>
        </w:rPr>
        <w:t>the</w:t>
      </w:r>
      <w:r w:rsidRPr="00B477E9">
        <w:rPr>
          <w:spacing w:val="-8"/>
          <w:w w:val="105"/>
          <w:sz w:val="19"/>
          <w:szCs w:val="19"/>
        </w:rPr>
        <w:t xml:space="preserve"> </w:t>
      </w:r>
      <w:r w:rsidRPr="00B477E9">
        <w:rPr>
          <w:w w:val="105"/>
          <w:sz w:val="19"/>
          <w:szCs w:val="19"/>
        </w:rPr>
        <w:t>basis</w:t>
      </w:r>
      <w:r w:rsidRPr="00B477E9">
        <w:rPr>
          <w:spacing w:val="-8"/>
          <w:w w:val="105"/>
          <w:sz w:val="19"/>
          <w:szCs w:val="19"/>
        </w:rPr>
        <w:t xml:space="preserve"> </w:t>
      </w:r>
      <w:r w:rsidRPr="00B477E9">
        <w:rPr>
          <w:w w:val="105"/>
          <w:sz w:val="19"/>
          <w:szCs w:val="19"/>
        </w:rPr>
        <w:t>of</w:t>
      </w:r>
      <w:proofErr w:type="gramEnd"/>
      <w:r w:rsidRPr="00B477E9">
        <w:rPr>
          <w:spacing w:val="-8"/>
          <w:w w:val="105"/>
          <w:sz w:val="19"/>
          <w:szCs w:val="19"/>
        </w:rPr>
        <w:t xml:space="preserve"> </w:t>
      </w:r>
      <w:r w:rsidRPr="00B477E9">
        <w:rPr>
          <w:w w:val="105"/>
          <w:sz w:val="19"/>
          <w:szCs w:val="19"/>
        </w:rPr>
        <w:t>the</w:t>
      </w:r>
      <w:r w:rsidRPr="00B477E9">
        <w:rPr>
          <w:spacing w:val="-8"/>
          <w:w w:val="105"/>
          <w:sz w:val="19"/>
          <w:szCs w:val="19"/>
        </w:rPr>
        <w:t xml:space="preserve"> </w:t>
      </w:r>
      <w:r w:rsidRPr="00B477E9">
        <w:rPr>
          <w:w w:val="105"/>
          <w:sz w:val="19"/>
          <w:szCs w:val="19"/>
        </w:rPr>
        <w:t>Statement</w:t>
      </w:r>
      <w:r w:rsidRPr="00B477E9">
        <w:rPr>
          <w:spacing w:val="-8"/>
          <w:w w:val="105"/>
          <w:sz w:val="19"/>
          <w:szCs w:val="19"/>
        </w:rPr>
        <w:t xml:space="preserve"> </w:t>
      </w:r>
      <w:r w:rsidRPr="00B477E9">
        <w:rPr>
          <w:w w:val="105"/>
          <w:sz w:val="19"/>
          <w:szCs w:val="19"/>
        </w:rPr>
        <w:t>of Funding and Expenditure.</w:t>
      </w:r>
    </w:p>
    <w:p w14:paraId="5D0DC275" w14:textId="4FDF859E" w:rsidR="008A2FF2" w:rsidRPr="00B477E9" w:rsidRDefault="008A2FF2" w:rsidP="00455A8E">
      <w:pPr>
        <w:pStyle w:val="BodyText"/>
        <w:spacing w:before="33" w:line="346" w:lineRule="auto"/>
        <w:ind w:left="28" w:right="215"/>
        <w:rPr>
          <w:sz w:val="19"/>
          <w:szCs w:val="19"/>
        </w:rPr>
      </w:pPr>
      <w:r w:rsidRPr="00B477E9">
        <w:rPr>
          <w:sz w:val="19"/>
          <w:szCs w:val="19"/>
        </w:rPr>
        <w:t xml:space="preserve">As part of an audit in accordance with Australian Auditing Standards, we exercise professional </w:t>
      </w:r>
      <w:r w:rsidRPr="00B477E9">
        <w:rPr>
          <w:w w:val="105"/>
          <w:sz w:val="19"/>
          <w:szCs w:val="19"/>
        </w:rPr>
        <w:t>judgement</w:t>
      </w:r>
      <w:r w:rsidR="000030AE" w:rsidRPr="00B477E9">
        <w:rPr>
          <w:spacing w:val="-3"/>
          <w:w w:val="105"/>
          <w:sz w:val="19"/>
          <w:szCs w:val="19"/>
        </w:rPr>
        <w:t> </w:t>
      </w:r>
      <w:r w:rsidRPr="00B477E9">
        <w:rPr>
          <w:w w:val="105"/>
          <w:sz w:val="19"/>
          <w:szCs w:val="19"/>
        </w:rPr>
        <w:t>and</w:t>
      </w:r>
      <w:r w:rsidRPr="00B477E9">
        <w:rPr>
          <w:spacing w:val="-2"/>
          <w:w w:val="105"/>
          <w:sz w:val="19"/>
          <w:szCs w:val="19"/>
        </w:rPr>
        <w:t xml:space="preserve"> </w:t>
      </w:r>
      <w:r w:rsidRPr="00B477E9">
        <w:rPr>
          <w:w w:val="105"/>
          <w:sz w:val="19"/>
          <w:szCs w:val="19"/>
        </w:rPr>
        <w:t>maintain</w:t>
      </w:r>
      <w:r w:rsidRPr="00B477E9">
        <w:rPr>
          <w:spacing w:val="-2"/>
          <w:w w:val="105"/>
          <w:sz w:val="19"/>
          <w:szCs w:val="19"/>
        </w:rPr>
        <w:t xml:space="preserve"> </w:t>
      </w:r>
      <w:r w:rsidRPr="00B477E9">
        <w:rPr>
          <w:w w:val="105"/>
          <w:sz w:val="19"/>
          <w:szCs w:val="19"/>
        </w:rPr>
        <w:t>professional</w:t>
      </w:r>
      <w:r w:rsidRPr="00B477E9">
        <w:rPr>
          <w:spacing w:val="-4"/>
          <w:w w:val="105"/>
          <w:sz w:val="19"/>
          <w:szCs w:val="19"/>
        </w:rPr>
        <w:t xml:space="preserve"> </w:t>
      </w:r>
      <w:proofErr w:type="spellStart"/>
      <w:r w:rsidRPr="00B477E9">
        <w:rPr>
          <w:w w:val="105"/>
          <w:sz w:val="19"/>
          <w:szCs w:val="19"/>
        </w:rPr>
        <w:t>scepticism</w:t>
      </w:r>
      <w:proofErr w:type="spellEnd"/>
      <w:r w:rsidRPr="00B477E9">
        <w:rPr>
          <w:spacing w:val="-3"/>
          <w:w w:val="105"/>
          <w:sz w:val="19"/>
          <w:szCs w:val="19"/>
        </w:rPr>
        <w:t xml:space="preserve"> </w:t>
      </w:r>
      <w:r w:rsidRPr="00B477E9">
        <w:rPr>
          <w:w w:val="105"/>
          <w:sz w:val="19"/>
          <w:szCs w:val="19"/>
        </w:rPr>
        <w:t>throughout</w:t>
      </w:r>
      <w:r w:rsidRPr="00B477E9">
        <w:rPr>
          <w:spacing w:val="-3"/>
          <w:w w:val="105"/>
          <w:sz w:val="19"/>
          <w:szCs w:val="19"/>
        </w:rPr>
        <w:t xml:space="preserve"> </w:t>
      </w:r>
      <w:r w:rsidRPr="00B477E9">
        <w:rPr>
          <w:w w:val="105"/>
          <w:sz w:val="19"/>
          <w:szCs w:val="19"/>
        </w:rPr>
        <w:t>the</w:t>
      </w:r>
      <w:r w:rsidRPr="00B477E9">
        <w:rPr>
          <w:spacing w:val="-1"/>
          <w:w w:val="105"/>
          <w:sz w:val="19"/>
          <w:szCs w:val="19"/>
        </w:rPr>
        <w:t xml:space="preserve"> </w:t>
      </w:r>
      <w:r w:rsidRPr="00B477E9">
        <w:rPr>
          <w:w w:val="105"/>
          <w:sz w:val="19"/>
          <w:szCs w:val="19"/>
        </w:rPr>
        <w:t>audit.</w:t>
      </w:r>
      <w:r w:rsidRPr="00B477E9">
        <w:rPr>
          <w:spacing w:val="-2"/>
          <w:w w:val="105"/>
          <w:sz w:val="19"/>
          <w:szCs w:val="19"/>
        </w:rPr>
        <w:t xml:space="preserve"> </w:t>
      </w:r>
      <w:proofErr w:type="gramStart"/>
      <w:r w:rsidRPr="00B477E9">
        <w:rPr>
          <w:w w:val="105"/>
          <w:sz w:val="19"/>
          <w:szCs w:val="19"/>
        </w:rPr>
        <w:t>We</w:t>
      </w:r>
      <w:proofErr w:type="gramEnd"/>
      <w:r w:rsidRPr="00B477E9">
        <w:rPr>
          <w:spacing w:val="-2"/>
          <w:w w:val="105"/>
          <w:sz w:val="19"/>
          <w:szCs w:val="19"/>
        </w:rPr>
        <w:t xml:space="preserve"> </w:t>
      </w:r>
      <w:r w:rsidRPr="00B477E9">
        <w:rPr>
          <w:w w:val="105"/>
          <w:sz w:val="19"/>
          <w:szCs w:val="19"/>
        </w:rPr>
        <w:t>also:</w:t>
      </w:r>
    </w:p>
    <w:p w14:paraId="73E9F118" w14:textId="3F2F7ECD" w:rsidR="008A2FF2" w:rsidRPr="00B477E9" w:rsidRDefault="008A2FF2" w:rsidP="00455A8E">
      <w:pPr>
        <w:pStyle w:val="ListParagraph"/>
        <w:widowControl w:val="0"/>
        <w:numPr>
          <w:ilvl w:val="0"/>
          <w:numId w:val="11"/>
        </w:numPr>
        <w:tabs>
          <w:tab w:val="left" w:pos="547"/>
          <w:tab w:val="left" w:pos="550"/>
        </w:tabs>
        <w:autoSpaceDE w:val="0"/>
        <w:autoSpaceDN w:val="0"/>
        <w:spacing w:after="0" w:line="355" w:lineRule="auto"/>
        <w:ind w:left="414" w:right="193" w:hanging="357"/>
        <w:contextualSpacing w:val="0"/>
        <w:rPr>
          <w:rFonts w:ascii="Century Gothic" w:hAnsi="Century Gothic"/>
          <w:sz w:val="19"/>
          <w:szCs w:val="19"/>
        </w:rPr>
      </w:pPr>
      <w:r w:rsidRPr="00B477E9">
        <w:rPr>
          <w:rFonts w:ascii="Century Gothic" w:hAnsi="Century Gothic"/>
          <w:w w:val="105"/>
          <w:sz w:val="19"/>
          <w:szCs w:val="19"/>
        </w:rPr>
        <w:t>Identify and assess the risks of material misstatement of the Statement of Funding and Expenditure,</w:t>
      </w:r>
      <w:r w:rsidR="00DC24FD" w:rsidRPr="00B477E9">
        <w:rPr>
          <w:rFonts w:ascii="Century Gothic" w:hAnsi="Century Gothic"/>
          <w:spacing w:val="-8"/>
          <w:w w:val="105"/>
          <w:sz w:val="19"/>
          <w:szCs w:val="19"/>
        </w:rPr>
        <w:t> </w:t>
      </w:r>
      <w:r w:rsidRPr="00B477E9">
        <w:rPr>
          <w:rFonts w:ascii="Century Gothic" w:hAnsi="Century Gothic"/>
          <w:w w:val="105"/>
          <w:sz w:val="19"/>
          <w:szCs w:val="19"/>
        </w:rPr>
        <w:t>whether</w:t>
      </w:r>
      <w:r w:rsidRPr="00B477E9">
        <w:rPr>
          <w:rFonts w:ascii="Century Gothic" w:hAnsi="Century Gothic"/>
          <w:spacing w:val="-8"/>
          <w:w w:val="105"/>
          <w:sz w:val="19"/>
          <w:szCs w:val="19"/>
        </w:rPr>
        <w:t xml:space="preserve"> </w:t>
      </w:r>
      <w:r w:rsidRPr="00B477E9">
        <w:rPr>
          <w:rFonts w:ascii="Century Gothic" w:hAnsi="Century Gothic"/>
          <w:w w:val="105"/>
          <w:sz w:val="19"/>
          <w:szCs w:val="19"/>
        </w:rPr>
        <w:t>due</w:t>
      </w:r>
      <w:r w:rsidRPr="00B477E9">
        <w:rPr>
          <w:rFonts w:ascii="Century Gothic" w:hAnsi="Century Gothic"/>
          <w:spacing w:val="-6"/>
          <w:w w:val="105"/>
          <w:sz w:val="19"/>
          <w:szCs w:val="19"/>
        </w:rPr>
        <w:t xml:space="preserve"> </w:t>
      </w:r>
      <w:r w:rsidRPr="00B477E9">
        <w:rPr>
          <w:rFonts w:ascii="Century Gothic" w:hAnsi="Century Gothic"/>
          <w:w w:val="105"/>
          <w:sz w:val="19"/>
          <w:szCs w:val="19"/>
        </w:rPr>
        <w:t>to</w:t>
      </w:r>
      <w:r w:rsidRPr="00B477E9">
        <w:rPr>
          <w:rFonts w:ascii="Century Gothic" w:hAnsi="Century Gothic"/>
          <w:spacing w:val="-7"/>
          <w:w w:val="105"/>
          <w:sz w:val="19"/>
          <w:szCs w:val="19"/>
        </w:rPr>
        <w:t xml:space="preserve"> </w:t>
      </w:r>
      <w:r w:rsidRPr="00B477E9">
        <w:rPr>
          <w:rFonts w:ascii="Century Gothic" w:hAnsi="Century Gothic"/>
          <w:w w:val="105"/>
          <w:sz w:val="19"/>
          <w:szCs w:val="19"/>
        </w:rPr>
        <w:t>fraud</w:t>
      </w:r>
      <w:r w:rsidRPr="00B477E9">
        <w:rPr>
          <w:rFonts w:ascii="Century Gothic" w:hAnsi="Century Gothic"/>
          <w:spacing w:val="-7"/>
          <w:w w:val="105"/>
          <w:sz w:val="19"/>
          <w:szCs w:val="19"/>
        </w:rPr>
        <w:t xml:space="preserve"> </w:t>
      </w:r>
      <w:r w:rsidRPr="00B477E9">
        <w:rPr>
          <w:rFonts w:ascii="Century Gothic" w:hAnsi="Century Gothic"/>
          <w:w w:val="105"/>
          <w:sz w:val="19"/>
          <w:szCs w:val="19"/>
        </w:rPr>
        <w:t>or</w:t>
      </w:r>
      <w:r w:rsidRPr="00B477E9">
        <w:rPr>
          <w:rFonts w:ascii="Century Gothic" w:hAnsi="Century Gothic"/>
          <w:spacing w:val="-7"/>
          <w:w w:val="105"/>
          <w:sz w:val="19"/>
          <w:szCs w:val="19"/>
        </w:rPr>
        <w:t xml:space="preserve"> </w:t>
      </w:r>
      <w:r w:rsidRPr="00B477E9">
        <w:rPr>
          <w:rFonts w:ascii="Century Gothic" w:hAnsi="Century Gothic"/>
          <w:w w:val="105"/>
          <w:sz w:val="19"/>
          <w:szCs w:val="19"/>
        </w:rPr>
        <w:t>error,</w:t>
      </w:r>
      <w:r w:rsidRPr="00B477E9">
        <w:rPr>
          <w:rFonts w:ascii="Century Gothic" w:hAnsi="Century Gothic"/>
          <w:spacing w:val="-7"/>
          <w:w w:val="105"/>
          <w:sz w:val="19"/>
          <w:szCs w:val="19"/>
        </w:rPr>
        <w:t xml:space="preserve"> </w:t>
      </w:r>
      <w:r w:rsidRPr="00B477E9">
        <w:rPr>
          <w:rFonts w:ascii="Century Gothic" w:hAnsi="Century Gothic"/>
          <w:w w:val="105"/>
          <w:sz w:val="19"/>
          <w:szCs w:val="19"/>
        </w:rPr>
        <w:t>design</w:t>
      </w:r>
      <w:r w:rsidRPr="00B477E9">
        <w:rPr>
          <w:rFonts w:ascii="Century Gothic" w:hAnsi="Century Gothic"/>
          <w:spacing w:val="-7"/>
          <w:w w:val="105"/>
          <w:sz w:val="19"/>
          <w:szCs w:val="19"/>
        </w:rPr>
        <w:t xml:space="preserve"> </w:t>
      </w:r>
      <w:r w:rsidRPr="00B477E9">
        <w:rPr>
          <w:rFonts w:ascii="Century Gothic" w:hAnsi="Century Gothic"/>
          <w:w w:val="105"/>
          <w:sz w:val="19"/>
          <w:szCs w:val="19"/>
        </w:rPr>
        <w:t>and</w:t>
      </w:r>
      <w:r w:rsidRPr="00B477E9">
        <w:rPr>
          <w:rFonts w:ascii="Century Gothic" w:hAnsi="Century Gothic"/>
          <w:spacing w:val="-9"/>
          <w:w w:val="105"/>
          <w:sz w:val="19"/>
          <w:szCs w:val="19"/>
        </w:rPr>
        <w:t xml:space="preserve"> </w:t>
      </w:r>
      <w:r w:rsidRPr="00B477E9">
        <w:rPr>
          <w:rFonts w:ascii="Century Gothic" w:hAnsi="Century Gothic"/>
          <w:w w:val="105"/>
          <w:sz w:val="19"/>
          <w:szCs w:val="19"/>
        </w:rPr>
        <w:t>perform</w:t>
      </w:r>
      <w:r w:rsidRPr="00B477E9">
        <w:rPr>
          <w:rFonts w:ascii="Century Gothic" w:hAnsi="Century Gothic"/>
          <w:spacing w:val="-8"/>
          <w:w w:val="105"/>
          <w:sz w:val="19"/>
          <w:szCs w:val="19"/>
        </w:rPr>
        <w:t xml:space="preserve"> </w:t>
      </w:r>
      <w:r w:rsidRPr="00B477E9">
        <w:rPr>
          <w:rFonts w:ascii="Century Gothic" w:hAnsi="Century Gothic"/>
          <w:w w:val="105"/>
          <w:sz w:val="19"/>
          <w:szCs w:val="19"/>
        </w:rPr>
        <w:t>audit</w:t>
      </w:r>
      <w:r w:rsidRPr="00B477E9">
        <w:rPr>
          <w:rFonts w:ascii="Century Gothic" w:hAnsi="Century Gothic"/>
          <w:spacing w:val="-8"/>
          <w:w w:val="105"/>
          <w:sz w:val="19"/>
          <w:szCs w:val="19"/>
        </w:rPr>
        <w:t xml:space="preserve"> </w:t>
      </w:r>
      <w:r w:rsidRPr="00B477E9">
        <w:rPr>
          <w:rFonts w:ascii="Century Gothic" w:hAnsi="Century Gothic"/>
          <w:w w:val="105"/>
          <w:sz w:val="19"/>
          <w:szCs w:val="19"/>
        </w:rPr>
        <w:t>procedures</w:t>
      </w:r>
      <w:r w:rsidRPr="00B477E9">
        <w:rPr>
          <w:rFonts w:ascii="Century Gothic" w:hAnsi="Century Gothic"/>
          <w:spacing w:val="-7"/>
          <w:w w:val="105"/>
          <w:sz w:val="19"/>
          <w:szCs w:val="19"/>
        </w:rPr>
        <w:t xml:space="preserve"> </w:t>
      </w:r>
      <w:r w:rsidRPr="00B477E9">
        <w:rPr>
          <w:rFonts w:ascii="Century Gothic" w:hAnsi="Century Gothic"/>
          <w:w w:val="105"/>
          <w:sz w:val="19"/>
          <w:szCs w:val="19"/>
        </w:rPr>
        <w:t>responsive</w:t>
      </w:r>
      <w:r w:rsidRPr="00B477E9">
        <w:rPr>
          <w:rFonts w:ascii="Century Gothic" w:hAnsi="Century Gothic"/>
          <w:spacing w:val="-7"/>
          <w:w w:val="105"/>
          <w:sz w:val="19"/>
          <w:szCs w:val="19"/>
        </w:rPr>
        <w:t xml:space="preserve"> </w:t>
      </w:r>
      <w:r w:rsidRPr="00B477E9">
        <w:rPr>
          <w:rFonts w:ascii="Century Gothic" w:hAnsi="Century Gothic"/>
          <w:w w:val="105"/>
          <w:sz w:val="19"/>
          <w:szCs w:val="19"/>
        </w:rPr>
        <w:t>to those</w:t>
      </w:r>
      <w:r w:rsidR="00C35C30" w:rsidRPr="00B477E9">
        <w:rPr>
          <w:rFonts w:ascii="Century Gothic" w:hAnsi="Century Gothic"/>
          <w:spacing w:val="-6"/>
          <w:w w:val="105"/>
          <w:sz w:val="19"/>
          <w:szCs w:val="19"/>
        </w:rPr>
        <w:t> </w:t>
      </w:r>
      <w:r w:rsidRPr="00B477E9">
        <w:rPr>
          <w:rFonts w:ascii="Century Gothic" w:hAnsi="Century Gothic"/>
          <w:w w:val="105"/>
          <w:sz w:val="19"/>
          <w:szCs w:val="19"/>
        </w:rPr>
        <w:t>risks,</w:t>
      </w:r>
      <w:r w:rsidRPr="00B477E9">
        <w:rPr>
          <w:rFonts w:ascii="Century Gothic" w:hAnsi="Century Gothic"/>
          <w:spacing w:val="-6"/>
          <w:w w:val="105"/>
          <w:sz w:val="19"/>
          <w:szCs w:val="19"/>
        </w:rPr>
        <w:t xml:space="preserve"> </w:t>
      </w:r>
      <w:r w:rsidRPr="00B477E9">
        <w:rPr>
          <w:rFonts w:ascii="Century Gothic" w:hAnsi="Century Gothic"/>
          <w:w w:val="105"/>
          <w:sz w:val="19"/>
          <w:szCs w:val="19"/>
        </w:rPr>
        <w:t>and</w:t>
      </w:r>
      <w:r w:rsidRPr="00B477E9">
        <w:rPr>
          <w:rFonts w:ascii="Century Gothic" w:hAnsi="Century Gothic"/>
          <w:spacing w:val="-6"/>
          <w:w w:val="105"/>
          <w:sz w:val="19"/>
          <w:szCs w:val="19"/>
        </w:rPr>
        <w:t xml:space="preserve"> </w:t>
      </w:r>
      <w:r w:rsidRPr="00B477E9">
        <w:rPr>
          <w:rFonts w:ascii="Century Gothic" w:hAnsi="Century Gothic"/>
          <w:w w:val="105"/>
          <w:sz w:val="19"/>
          <w:szCs w:val="19"/>
        </w:rPr>
        <w:t>obtain</w:t>
      </w:r>
      <w:r w:rsidRPr="00B477E9">
        <w:rPr>
          <w:rFonts w:ascii="Century Gothic" w:hAnsi="Century Gothic"/>
          <w:spacing w:val="-6"/>
          <w:w w:val="105"/>
          <w:sz w:val="19"/>
          <w:szCs w:val="19"/>
        </w:rPr>
        <w:t xml:space="preserve"> </w:t>
      </w:r>
      <w:r w:rsidRPr="00B477E9">
        <w:rPr>
          <w:rFonts w:ascii="Century Gothic" w:hAnsi="Century Gothic"/>
          <w:w w:val="105"/>
          <w:sz w:val="19"/>
          <w:szCs w:val="19"/>
        </w:rPr>
        <w:t>audit</w:t>
      </w:r>
      <w:r w:rsidRPr="00B477E9">
        <w:rPr>
          <w:rFonts w:ascii="Century Gothic" w:hAnsi="Century Gothic"/>
          <w:spacing w:val="-7"/>
          <w:w w:val="105"/>
          <w:sz w:val="19"/>
          <w:szCs w:val="19"/>
        </w:rPr>
        <w:t xml:space="preserve"> </w:t>
      </w:r>
      <w:r w:rsidRPr="00B477E9">
        <w:rPr>
          <w:rFonts w:ascii="Century Gothic" w:hAnsi="Century Gothic"/>
          <w:w w:val="105"/>
          <w:sz w:val="19"/>
          <w:szCs w:val="19"/>
        </w:rPr>
        <w:t>evidence</w:t>
      </w:r>
      <w:r w:rsidRPr="00B477E9">
        <w:rPr>
          <w:rFonts w:ascii="Century Gothic" w:hAnsi="Century Gothic"/>
          <w:spacing w:val="-5"/>
          <w:w w:val="105"/>
          <w:sz w:val="19"/>
          <w:szCs w:val="19"/>
        </w:rPr>
        <w:t xml:space="preserve"> </w:t>
      </w:r>
      <w:r w:rsidRPr="00B477E9">
        <w:rPr>
          <w:rFonts w:ascii="Century Gothic" w:hAnsi="Century Gothic"/>
          <w:w w:val="105"/>
          <w:sz w:val="19"/>
          <w:szCs w:val="19"/>
        </w:rPr>
        <w:t>that</w:t>
      </w:r>
      <w:r w:rsidRPr="00B477E9">
        <w:rPr>
          <w:rFonts w:ascii="Century Gothic" w:hAnsi="Century Gothic"/>
          <w:spacing w:val="-7"/>
          <w:w w:val="105"/>
          <w:sz w:val="19"/>
          <w:szCs w:val="19"/>
        </w:rPr>
        <w:t xml:space="preserve"> </w:t>
      </w:r>
      <w:r w:rsidRPr="00B477E9">
        <w:rPr>
          <w:rFonts w:ascii="Century Gothic" w:hAnsi="Century Gothic"/>
          <w:w w:val="105"/>
          <w:sz w:val="19"/>
          <w:szCs w:val="19"/>
        </w:rPr>
        <w:t>is</w:t>
      </w:r>
      <w:r w:rsidRPr="00B477E9">
        <w:rPr>
          <w:rFonts w:ascii="Century Gothic" w:hAnsi="Century Gothic"/>
          <w:spacing w:val="-6"/>
          <w:w w:val="105"/>
          <w:sz w:val="19"/>
          <w:szCs w:val="19"/>
        </w:rPr>
        <w:t xml:space="preserve"> </w:t>
      </w:r>
      <w:r w:rsidRPr="00B477E9">
        <w:rPr>
          <w:rFonts w:ascii="Century Gothic" w:hAnsi="Century Gothic"/>
          <w:w w:val="105"/>
          <w:sz w:val="19"/>
          <w:szCs w:val="19"/>
        </w:rPr>
        <w:t>sufficient</w:t>
      </w:r>
      <w:r w:rsidRPr="00B477E9">
        <w:rPr>
          <w:rFonts w:ascii="Century Gothic" w:hAnsi="Century Gothic"/>
          <w:spacing w:val="-9"/>
          <w:w w:val="105"/>
          <w:sz w:val="19"/>
          <w:szCs w:val="19"/>
        </w:rPr>
        <w:t xml:space="preserve"> </w:t>
      </w:r>
      <w:r w:rsidRPr="00B477E9">
        <w:rPr>
          <w:rFonts w:ascii="Century Gothic" w:hAnsi="Century Gothic"/>
          <w:w w:val="105"/>
          <w:sz w:val="19"/>
          <w:szCs w:val="19"/>
        </w:rPr>
        <w:t>and</w:t>
      </w:r>
      <w:r w:rsidRPr="00B477E9">
        <w:rPr>
          <w:rFonts w:ascii="Century Gothic" w:hAnsi="Century Gothic"/>
          <w:spacing w:val="-6"/>
          <w:w w:val="105"/>
          <w:sz w:val="19"/>
          <w:szCs w:val="19"/>
        </w:rPr>
        <w:t xml:space="preserve"> </w:t>
      </w:r>
      <w:r w:rsidRPr="00B477E9">
        <w:rPr>
          <w:rFonts w:ascii="Century Gothic" w:hAnsi="Century Gothic"/>
          <w:w w:val="105"/>
          <w:sz w:val="19"/>
          <w:szCs w:val="19"/>
        </w:rPr>
        <w:t>appropriate</w:t>
      </w:r>
      <w:r w:rsidRPr="00B477E9">
        <w:rPr>
          <w:rFonts w:ascii="Century Gothic" w:hAnsi="Century Gothic"/>
          <w:spacing w:val="-5"/>
          <w:w w:val="105"/>
          <w:sz w:val="19"/>
          <w:szCs w:val="19"/>
        </w:rPr>
        <w:t xml:space="preserve"> </w:t>
      </w:r>
      <w:r w:rsidRPr="00B477E9">
        <w:rPr>
          <w:rFonts w:ascii="Century Gothic" w:hAnsi="Century Gothic"/>
          <w:w w:val="105"/>
          <w:sz w:val="19"/>
          <w:szCs w:val="19"/>
        </w:rPr>
        <w:t>to</w:t>
      </w:r>
      <w:r w:rsidRPr="00B477E9">
        <w:rPr>
          <w:rFonts w:ascii="Century Gothic" w:hAnsi="Century Gothic"/>
          <w:spacing w:val="-6"/>
          <w:w w:val="105"/>
          <w:sz w:val="19"/>
          <w:szCs w:val="19"/>
        </w:rPr>
        <w:t xml:space="preserve"> </w:t>
      </w:r>
      <w:r w:rsidRPr="00B477E9">
        <w:rPr>
          <w:rFonts w:ascii="Century Gothic" w:hAnsi="Century Gothic"/>
          <w:w w:val="105"/>
          <w:sz w:val="19"/>
          <w:szCs w:val="19"/>
        </w:rPr>
        <w:t>provide</w:t>
      </w:r>
      <w:r w:rsidRPr="00B477E9">
        <w:rPr>
          <w:rFonts w:ascii="Century Gothic" w:hAnsi="Century Gothic"/>
          <w:spacing w:val="-7"/>
          <w:w w:val="105"/>
          <w:sz w:val="19"/>
          <w:szCs w:val="19"/>
        </w:rPr>
        <w:t xml:space="preserve"> </w:t>
      </w:r>
      <w:r w:rsidRPr="00B477E9">
        <w:rPr>
          <w:rFonts w:ascii="Century Gothic" w:hAnsi="Century Gothic"/>
          <w:w w:val="105"/>
          <w:sz w:val="19"/>
          <w:szCs w:val="19"/>
        </w:rPr>
        <w:t>a</w:t>
      </w:r>
      <w:r w:rsidRPr="00B477E9">
        <w:rPr>
          <w:rFonts w:ascii="Century Gothic" w:hAnsi="Century Gothic"/>
          <w:spacing w:val="-7"/>
          <w:w w:val="105"/>
          <w:sz w:val="19"/>
          <w:szCs w:val="19"/>
        </w:rPr>
        <w:t xml:space="preserve"> </w:t>
      </w:r>
      <w:r w:rsidRPr="00B477E9">
        <w:rPr>
          <w:rFonts w:ascii="Century Gothic" w:hAnsi="Century Gothic"/>
          <w:w w:val="105"/>
          <w:sz w:val="19"/>
          <w:szCs w:val="19"/>
        </w:rPr>
        <w:t>basis</w:t>
      </w:r>
      <w:r w:rsidRPr="00B477E9">
        <w:rPr>
          <w:rFonts w:ascii="Century Gothic" w:hAnsi="Century Gothic"/>
          <w:spacing w:val="-6"/>
          <w:w w:val="105"/>
          <w:sz w:val="19"/>
          <w:szCs w:val="19"/>
        </w:rPr>
        <w:t xml:space="preserve"> </w:t>
      </w:r>
      <w:r w:rsidRPr="00B477E9">
        <w:rPr>
          <w:rFonts w:ascii="Century Gothic" w:hAnsi="Century Gothic"/>
          <w:w w:val="105"/>
          <w:sz w:val="19"/>
          <w:szCs w:val="19"/>
        </w:rPr>
        <w:t>for our</w:t>
      </w:r>
      <w:r w:rsidR="00C35C30" w:rsidRPr="00B477E9">
        <w:rPr>
          <w:rFonts w:ascii="Century Gothic" w:hAnsi="Century Gothic"/>
          <w:w w:val="105"/>
          <w:sz w:val="19"/>
          <w:szCs w:val="19"/>
        </w:rPr>
        <w:t> </w:t>
      </w:r>
      <w:r w:rsidRPr="00B477E9">
        <w:rPr>
          <w:rFonts w:ascii="Century Gothic" w:hAnsi="Century Gothic"/>
          <w:w w:val="105"/>
          <w:sz w:val="19"/>
          <w:szCs w:val="19"/>
        </w:rPr>
        <w:t>opinion.</w:t>
      </w:r>
      <w:r w:rsidRPr="00B477E9">
        <w:rPr>
          <w:rFonts w:ascii="Century Gothic" w:hAnsi="Century Gothic"/>
          <w:spacing w:val="-9"/>
          <w:w w:val="105"/>
          <w:sz w:val="19"/>
          <w:szCs w:val="19"/>
        </w:rPr>
        <w:t xml:space="preserve"> </w:t>
      </w:r>
      <w:r w:rsidRPr="00B477E9">
        <w:rPr>
          <w:rFonts w:ascii="Century Gothic" w:hAnsi="Century Gothic"/>
          <w:w w:val="105"/>
          <w:sz w:val="19"/>
          <w:szCs w:val="19"/>
        </w:rPr>
        <w:t>The</w:t>
      </w:r>
      <w:r w:rsidRPr="00B477E9">
        <w:rPr>
          <w:rFonts w:ascii="Century Gothic" w:hAnsi="Century Gothic"/>
          <w:spacing w:val="-6"/>
          <w:w w:val="105"/>
          <w:sz w:val="19"/>
          <w:szCs w:val="19"/>
        </w:rPr>
        <w:t xml:space="preserve"> </w:t>
      </w:r>
      <w:r w:rsidRPr="00B477E9">
        <w:rPr>
          <w:rFonts w:ascii="Century Gothic" w:hAnsi="Century Gothic"/>
          <w:w w:val="105"/>
          <w:sz w:val="19"/>
          <w:szCs w:val="19"/>
        </w:rPr>
        <w:t>risk</w:t>
      </w:r>
      <w:r w:rsidRPr="00B477E9">
        <w:rPr>
          <w:rFonts w:ascii="Century Gothic" w:hAnsi="Century Gothic"/>
          <w:spacing w:val="-7"/>
          <w:w w:val="105"/>
          <w:sz w:val="19"/>
          <w:szCs w:val="19"/>
        </w:rPr>
        <w:t xml:space="preserve"> </w:t>
      </w:r>
      <w:r w:rsidRPr="00B477E9">
        <w:rPr>
          <w:rFonts w:ascii="Century Gothic" w:hAnsi="Century Gothic"/>
          <w:w w:val="105"/>
          <w:sz w:val="19"/>
          <w:szCs w:val="19"/>
        </w:rPr>
        <w:t>of</w:t>
      </w:r>
      <w:r w:rsidRPr="00B477E9">
        <w:rPr>
          <w:rFonts w:ascii="Century Gothic" w:hAnsi="Century Gothic"/>
          <w:spacing w:val="-7"/>
          <w:w w:val="105"/>
          <w:sz w:val="19"/>
          <w:szCs w:val="19"/>
        </w:rPr>
        <w:t xml:space="preserve"> </w:t>
      </w:r>
      <w:r w:rsidRPr="00B477E9">
        <w:rPr>
          <w:rFonts w:ascii="Century Gothic" w:hAnsi="Century Gothic"/>
          <w:w w:val="105"/>
          <w:sz w:val="19"/>
          <w:szCs w:val="19"/>
        </w:rPr>
        <w:t>not</w:t>
      </w:r>
      <w:r w:rsidRPr="00B477E9">
        <w:rPr>
          <w:rFonts w:ascii="Century Gothic" w:hAnsi="Century Gothic"/>
          <w:spacing w:val="-11"/>
          <w:w w:val="105"/>
          <w:sz w:val="19"/>
          <w:szCs w:val="19"/>
        </w:rPr>
        <w:t xml:space="preserve"> </w:t>
      </w:r>
      <w:r w:rsidRPr="00B477E9">
        <w:rPr>
          <w:rFonts w:ascii="Century Gothic" w:hAnsi="Century Gothic"/>
          <w:w w:val="105"/>
          <w:sz w:val="19"/>
          <w:szCs w:val="19"/>
        </w:rPr>
        <w:t>detecting</w:t>
      </w:r>
      <w:r w:rsidRPr="00B477E9">
        <w:rPr>
          <w:rFonts w:ascii="Century Gothic" w:hAnsi="Century Gothic"/>
          <w:spacing w:val="-7"/>
          <w:w w:val="105"/>
          <w:sz w:val="19"/>
          <w:szCs w:val="19"/>
        </w:rPr>
        <w:t xml:space="preserve"> </w:t>
      </w:r>
      <w:r w:rsidRPr="00B477E9">
        <w:rPr>
          <w:rFonts w:ascii="Century Gothic" w:hAnsi="Century Gothic"/>
          <w:w w:val="105"/>
          <w:sz w:val="19"/>
          <w:szCs w:val="19"/>
        </w:rPr>
        <w:t>a</w:t>
      </w:r>
      <w:r w:rsidRPr="00B477E9">
        <w:rPr>
          <w:rFonts w:ascii="Century Gothic" w:hAnsi="Century Gothic"/>
          <w:spacing w:val="-8"/>
          <w:w w:val="105"/>
          <w:sz w:val="19"/>
          <w:szCs w:val="19"/>
        </w:rPr>
        <w:t xml:space="preserve"> </w:t>
      </w:r>
      <w:r w:rsidRPr="00B477E9">
        <w:rPr>
          <w:rFonts w:ascii="Century Gothic" w:hAnsi="Century Gothic"/>
          <w:w w:val="105"/>
          <w:sz w:val="19"/>
          <w:szCs w:val="19"/>
        </w:rPr>
        <w:t>material</w:t>
      </w:r>
      <w:r w:rsidRPr="00B477E9">
        <w:rPr>
          <w:rFonts w:ascii="Century Gothic" w:hAnsi="Century Gothic"/>
          <w:spacing w:val="-8"/>
          <w:w w:val="105"/>
          <w:sz w:val="19"/>
          <w:szCs w:val="19"/>
        </w:rPr>
        <w:t xml:space="preserve"> </w:t>
      </w:r>
      <w:r w:rsidRPr="00B477E9">
        <w:rPr>
          <w:rFonts w:ascii="Century Gothic" w:hAnsi="Century Gothic"/>
          <w:w w:val="105"/>
          <w:sz w:val="19"/>
          <w:szCs w:val="19"/>
        </w:rPr>
        <w:t>misstatement</w:t>
      </w:r>
      <w:r w:rsidRPr="00B477E9">
        <w:rPr>
          <w:rFonts w:ascii="Century Gothic" w:hAnsi="Century Gothic"/>
          <w:spacing w:val="-8"/>
          <w:w w:val="105"/>
          <w:sz w:val="19"/>
          <w:szCs w:val="19"/>
        </w:rPr>
        <w:t xml:space="preserve"> </w:t>
      </w:r>
      <w:r w:rsidRPr="00B477E9">
        <w:rPr>
          <w:rFonts w:ascii="Century Gothic" w:hAnsi="Century Gothic"/>
          <w:w w:val="105"/>
          <w:sz w:val="19"/>
          <w:szCs w:val="19"/>
        </w:rPr>
        <w:t>resulting</w:t>
      </w:r>
      <w:r w:rsidRPr="00B477E9">
        <w:rPr>
          <w:rFonts w:ascii="Century Gothic" w:hAnsi="Century Gothic"/>
          <w:spacing w:val="-7"/>
          <w:w w:val="105"/>
          <w:sz w:val="19"/>
          <w:szCs w:val="19"/>
        </w:rPr>
        <w:t xml:space="preserve"> </w:t>
      </w:r>
      <w:r w:rsidRPr="00B477E9">
        <w:rPr>
          <w:rFonts w:ascii="Century Gothic" w:hAnsi="Century Gothic"/>
          <w:w w:val="105"/>
          <w:sz w:val="19"/>
          <w:szCs w:val="19"/>
        </w:rPr>
        <w:t>from</w:t>
      </w:r>
      <w:r w:rsidRPr="00B477E9">
        <w:rPr>
          <w:rFonts w:ascii="Century Gothic" w:hAnsi="Century Gothic"/>
          <w:spacing w:val="-8"/>
          <w:w w:val="105"/>
          <w:sz w:val="19"/>
          <w:szCs w:val="19"/>
        </w:rPr>
        <w:t xml:space="preserve"> </w:t>
      </w:r>
      <w:r w:rsidRPr="00B477E9">
        <w:rPr>
          <w:rFonts w:ascii="Century Gothic" w:hAnsi="Century Gothic"/>
          <w:w w:val="105"/>
          <w:sz w:val="19"/>
          <w:szCs w:val="19"/>
        </w:rPr>
        <w:t>fraud</w:t>
      </w:r>
      <w:r w:rsidRPr="00B477E9">
        <w:rPr>
          <w:rFonts w:ascii="Century Gothic" w:hAnsi="Century Gothic"/>
          <w:spacing w:val="-7"/>
          <w:w w:val="105"/>
          <w:sz w:val="19"/>
          <w:szCs w:val="19"/>
        </w:rPr>
        <w:t xml:space="preserve"> </w:t>
      </w:r>
      <w:r w:rsidRPr="00B477E9">
        <w:rPr>
          <w:rFonts w:ascii="Century Gothic" w:hAnsi="Century Gothic"/>
          <w:w w:val="105"/>
          <w:sz w:val="19"/>
          <w:szCs w:val="19"/>
        </w:rPr>
        <w:t>is</w:t>
      </w:r>
      <w:r w:rsidRPr="00B477E9">
        <w:rPr>
          <w:rFonts w:ascii="Century Gothic" w:hAnsi="Century Gothic"/>
          <w:spacing w:val="-7"/>
          <w:w w:val="105"/>
          <w:sz w:val="19"/>
          <w:szCs w:val="19"/>
        </w:rPr>
        <w:t xml:space="preserve"> </w:t>
      </w:r>
      <w:r w:rsidRPr="00B477E9">
        <w:rPr>
          <w:rFonts w:ascii="Century Gothic" w:hAnsi="Century Gothic"/>
          <w:w w:val="105"/>
          <w:sz w:val="19"/>
          <w:szCs w:val="19"/>
        </w:rPr>
        <w:t>higher</w:t>
      </w:r>
      <w:r w:rsidRPr="00B477E9">
        <w:rPr>
          <w:rFonts w:ascii="Century Gothic" w:hAnsi="Century Gothic"/>
          <w:spacing w:val="-7"/>
          <w:w w:val="105"/>
          <w:sz w:val="19"/>
          <w:szCs w:val="19"/>
        </w:rPr>
        <w:t xml:space="preserve"> </w:t>
      </w:r>
      <w:r w:rsidRPr="00B477E9">
        <w:rPr>
          <w:rFonts w:ascii="Century Gothic" w:hAnsi="Century Gothic"/>
          <w:w w:val="105"/>
          <w:sz w:val="19"/>
          <w:szCs w:val="19"/>
        </w:rPr>
        <w:t>than for</w:t>
      </w:r>
      <w:r w:rsidR="00C35C30" w:rsidRPr="00B477E9">
        <w:rPr>
          <w:rFonts w:ascii="Century Gothic" w:hAnsi="Century Gothic"/>
          <w:w w:val="105"/>
          <w:sz w:val="19"/>
          <w:szCs w:val="19"/>
        </w:rPr>
        <w:t> </w:t>
      </w:r>
      <w:r w:rsidRPr="00B477E9">
        <w:rPr>
          <w:rFonts w:ascii="Century Gothic" w:hAnsi="Century Gothic"/>
          <w:w w:val="105"/>
          <w:sz w:val="19"/>
          <w:szCs w:val="19"/>
        </w:rPr>
        <w:t>one resulting from error, as fraud may involve collusion, forgery, intentional omissions, misrepresentations, or the override of internal control.</w:t>
      </w:r>
    </w:p>
    <w:p w14:paraId="70D329D1" w14:textId="41F68806" w:rsidR="008A2FF2" w:rsidRPr="00B477E9" w:rsidRDefault="008A2FF2" w:rsidP="00455A8E">
      <w:pPr>
        <w:pStyle w:val="ListParagraph"/>
        <w:widowControl w:val="0"/>
        <w:numPr>
          <w:ilvl w:val="0"/>
          <w:numId w:val="11"/>
        </w:numPr>
        <w:tabs>
          <w:tab w:val="left" w:pos="547"/>
        </w:tabs>
        <w:autoSpaceDE w:val="0"/>
        <w:autoSpaceDN w:val="0"/>
        <w:spacing w:after="0" w:line="346" w:lineRule="auto"/>
        <w:ind w:left="414" w:right="301" w:hanging="357"/>
        <w:contextualSpacing w:val="0"/>
        <w:rPr>
          <w:rFonts w:ascii="Century Gothic" w:hAnsi="Century Gothic"/>
          <w:sz w:val="19"/>
          <w:szCs w:val="19"/>
        </w:rPr>
      </w:pPr>
      <w:r w:rsidRPr="00B477E9">
        <w:rPr>
          <w:rFonts w:ascii="Century Gothic" w:hAnsi="Century Gothic"/>
          <w:w w:val="105"/>
          <w:sz w:val="19"/>
          <w:szCs w:val="19"/>
        </w:rPr>
        <w:t>Obtain</w:t>
      </w:r>
      <w:r w:rsidRPr="00B477E9">
        <w:rPr>
          <w:rFonts w:ascii="Century Gothic" w:hAnsi="Century Gothic"/>
          <w:spacing w:val="-8"/>
          <w:w w:val="105"/>
          <w:sz w:val="19"/>
          <w:szCs w:val="19"/>
        </w:rPr>
        <w:t xml:space="preserve"> </w:t>
      </w:r>
      <w:r w:rsidRPr="00B477E9">
        <w:rPr>
          <w:rFonts w:ascii="Century Gothic" w:hAnsi="Century Gothic"/>
          <w:w w:val="105"/>
          <w:sz w:val="19"/>
          <w:szCs w:val="19"/>
        </w:rPr>
        <w:t>an</w:t>
      </w:r>
      <w:r w:rsidRPr="00B477E9">
        <w:rPr>
          <w:rFonts w:ascii="Century Gothic" w:hAnsi="Century Gothic"/>
          <w:spacing w:val="-8"/>
          <w:w w:val="105"/>
          <w:sz w:val="19"/>
          <w:szCs w:val="19"/>
        </w:rPr>
        <w:t xml:space="preserve"> </w:t>
      </w:r>
      <w:r w:rsidRPr="00B477E9">
        <w:rPr>
          <w:rFonts w:ascii="Century Gothic" w:hAnsi="Century Gothic"/>
          <w:w w:val="105"/>
          <w:sz w:val="19"/>
          <w:szCs w:val="19"/>
        </w:rPr>
        <w:t>understanding</w:t>
      </w:r>
      <w:r w:rsidRPr="00B477E9">
        <w:rPr>
          <w:rFonts w:ascii="Century Gothic" w:hAnsi="Century Gothic"/>
          <w:spacing w:val="-8"/>
          <w:w w:val="105"/>
          <w:sz w:val="19"/>
          <w:szCs w:val="19"/>
        </w:rPr>
        <w:t xml:space="preserve"> </w:t>
      </w:r>
      <w:r w:rsidRPr="00B477E9">
        <w:rPr>
          <w:rFonts w:ascii="Century Gothic" w:hAnsi="Century Gothic"/>
          <w:w w:val="105"/>
          <w:sz w:val="19"/>
          <w:szCs w:val="19"/>
        </w:rPr>
        <w:t>of</w:t>
      </w:r>
      <w:r w:rsidRPr="00B477E9">
        <w:rPr>
          <w:rFonts w:ascii="Century Gothic" w:hAnsi="Century Gothic"/>
          <w:spacing w:val="-8"/>
          <w:w w:val="105"/>
          <w:sz w:val="19"/>
          <w:szCs w:val="19"/>
        </w:rPr>
        <w:t xml:space="preserve"> </w:t>
      </w:r>
      <w:r w:rsidRPr="00B477E9">
        <w:rPr>
          <w:rFonts w:ascii="Century Gothic" w:hAnsi="Century Gothic"/>
          <w:w w:val="105"/>
          <w:sz w:val="19"/>
          <w:szCs w:val="19"/>
        </w:rPr>
        <w:t>internal</w:t>
      </w:r>
      <w:r w:rsidRPr="00B477E9">
        <w:rPr>
          <w:rFonts w:ascii="Century Gothic" w:hAnsi="Century Gothic"/>
          <w:spacing w:val="-9"/>
          <w:w w:val="105"/>
          <w:sz w:val="19"/>
          <w:szCs w:val="19"/>
        </w:rPr>
        <w:t xml:space="preserve"> </w:t>
      </w:r>
      <w:r w:rsidRPr="00B477E9">
        <w:rPr>
          <w:rFonts w:ascii="Century Gothic" w:hAnsi="Century Gothic"/>
          <w:w w:val="105"/>
          <w:sz w:val="19"/>
          <w:szCs w:val="19"/>
        </w:rPr>
        <w:t>control</w:t>
      </w:r>
      <w:r w:rsidRPr="00B477E9">
        <w:rPr>
          <w:rFonts w:ascii="Century Gothic" w:hAnsi="Century Gothic"/>
          <w:spacing w:val="-9"/>
          <w:w w:val="105"/>
          <w:sz w:val="19"/>
          <w:szCs w:val="19"/>
        </w:rPr>
        <w:t xml:space="preserve"> </w:t>
      </w:r>
      <w:r w:rsidRPr="00B477E9">
        <w:rPr>
          <w:rFonts w:ascii="Century Gothic" w:hAnsi="Century Gothic"/>
          <w:w w:val="105"/>
          <w:sz w:val="19"/>
          <w:szCs w:val="19"/>
        </w:rPr>
        <w:t>relevant</w:t>
      </w:r>
      <w:r w:rsidRPr="00B477E9">
        <w:rPr>
          <w:rFonts w:ascii="Century Gothic" w:hAnsi="Century Gothic"/>
          <w:spacing w:val="-9"/>
          <w:w w:val="105"/>
          <w:sz w:val="19"/>
          <w:szCs w:val="19"/>
        </w:rPr>
        <w:t xml:space="preserve"> </w:t>
      </w:r>
      <w:r w:rsidRPr="00B477E9">
        <w:rPr>
          <w:rFonts w:ascii="Century Gothic" w:hAnsi="Century Gothic"/>
          <w:w w:val="105"/>
          <w:sz w:val="19"/>
          <w:szCs w:val="19"/>
        </w:rPr>
        <w:t>to</w:t>
      </w:r>
      <w:r w:rsidRPr="00B477E9">
        <w:rPr>
          <w:rFonts w:ascii="Century Gothic" w:hAnsi="Century Gothic"/>
          <w:spacing w:val="-8"/>
          <w:w w:val="105"/>
          <w:sz w:val="19"/>
          <w:szCs w:val="19"/>
        </w:rPr>
        <w:t xml:space="preserve"> </w:t>
      </w:r>
      <w:r w:rsidRPr="00B477E9">
        <w:rPr>
          <w:rFonts w:ascii="Century Gothic" w:hAnsi="Century Gothic"/>
          <w:w w:val="105"/>
          <w:sz w:val="19"/>
          <w:szCs w:val="19"/>
        </w:rPr>
        <w:t>the</w:t>
      </w:r>
      <w:r w:rsidRPr="00B477E9">
        <w:rPr>
          <w:rFonts w:ascii="Century Gothic" w:hAnsi="Century Gothic"/>
          <w:spacing w:val="-7"/>
          <w:w w:val="105"/>
          <w:sz w:val="19"/>
          <w:szCs w:val="19"/>
        </w:rPr>
        <w:t xml:space="preserve"> </w:t>
      </w:r>
      <w:r w:rsidRPr="00B477E9">
        <w:rPr>
          <w:rFonts w:ascii="Century Gothic" w:hAnsi="Century Gothic"/>
          <w:w w:val="105"/>
          <w:sz w:val="19"/>
          <w:szCs w:val="19"/>
        </w:rPr>
        <w:t>audit</w:t>
      </w:r>
      <w:r w:rsidRPr="00B477E9">
        <w:rPr>
          <w:rFonts w:ascii="Century Gothic" w:hAnsi="Century Gothic"/>
          <w:spacing w:val="-9"/>
          <w:w w:val="105"/>
          <w:sz w:val="19"/>
          <w:szCs w:val="19"/>
        </w:rPr>
        <w:t xml:space="preserve"> </w:t>
      </w:r>
      <w:proofErr w:type="gramStart"/>
      <w:r w:rsidRPr="00B477E9">
        <w:rPr>
          <w:rFonts w:ascii="Century Gothic" w:hAnsi="Century Gothic"/>
          <w:w w:val="105"/>
          <w:sz w:val="19"/>
          <w:szCs w:val="19"/>
        </w:rPr>
        <w:t>in</w:t>
      </w:r>
      <w:r w:rsidRPr="00B477E9">
        <w:rPr>
          <w:rFonts w:ascii="Century Gothic" w:hAnsi="Century Gothic"/>
          <w:spacing w:val="-8"/>
          <w:w w:val="105"/>
          <w:sz w:val="19"/>
          <w:szCs w:val="19"/>
        </w:rPr>
        <w:t xml:space="preserve"> </w:t>
      </w:r>
      <w:r w:rsidRPr="00B477E9">
        <w:rPr>
          <w:rFonts w:ascii="Century Gothic" w:hAnsi="Century Gothic"/>
          <w:w w:val="105"/>
          <w:sz w:val="19"/>
          <w:szCs w:val="19"/>
        </w:rPr>
        <w:t>order</w:t>
      </w:r>
      <w:r w:rsidRPr="00B477E9">
        <w:rPr>
          <w:rFonts w:ascii="Century Gothic" w:hAnsi="Century Gothic"/>
          <w:spacing w:val="-8"/>
          <w:w w:val="105"/>
          <w:sz w:val="19"/>
          <w:szCs w:val="19"/>
        </w:rPr>
        <w:t xml:space="preserve"> </w:t>
      </w:r>
      <w:r w:rsidRPr="00B477E9">
        <w:rPr>
          <w:rFonts w:ascii="Century Gothic" w:hAnsi="Century Gothic"/>
          <w:w w:val="105"/>
          <w:sz w:val="19"/>
          <w:szCs w:val="19"/>
        </w:rPr>
        <w:t>to</w:t>
      </w:r>
      <w:proofErr w:type="gramEnd"/>
      <w:r w:rsidRPr="00B477E9">
        <w:rPr>
          <w:rFonts w:ascii="Century Gothic" w:hAnsi="Century Gothic"/>
          <w:spacing w:val="-8"/>
          <w:w w:val="105"/>
          <w:sz w:val="19"/>
          <w:szCs w:val="19"/>
        </w:rPr>
        <w:t xml:space="preserve"> </w:t>
      </w:r>
      <w:r w:rsidRPr="00B477E9">
        <w:rPr>
          <w:rFonts w:ascii="Century Gothic" w:hAnsi="Century Gothic"/>
          <w:w w:val="105"/>
          <w:sz w:val="19"/>
          <w:szCs w:val="19"/>
        </w:rPr>
        <w:t>design</w:t>
      </w:r>
      <w:r w:rsidRPr="00B477E9">
        <w:rPr>
          <w:rFonts w:ascii="Century Gothic" w:hAnsi="Century Gothic"/>
          <w:spacing w:val="-8"/>
          <w:w w:val="105"/>
          <w:sz w:val="19"/>
          <w:szCs w:val="19"/>
        </w:rPr>
        <w:t xml:space="preserve"> </w:t>
      </w:r>
      <w:r w:rsidRPr="00B477E9">
        <w:rPr>
          <w:rFonts w:ascii="Century Gothic" w:hAnsi="Century Gothic"/>
          <w:w w:val="105"/>
          <w:sz w:val="19"/>
          <w:szCs w:val="19"/>
        </w:rPr>
        <w:t xml:space="preserve">audit </w:t>
      </w:r>
      <w:r w:rsidRPr="00B477E9">
        <w:rPr>
          <w:rFonts w:ascii="Century Gothic" w:hAnsi="Century Gothic"/>
          <w:spacing w:val="-2"/>
          <w:w w:val="105"/>
          <w:sz w:val="19"/>
          <w:szCs w:val="19"/>
        </w:rPr>
        <w:t>procedures</w:t>
      </w:r>
      <w:r w:rsidR="00C35C30" w:rsidRPr="00B477E9">
        <w:rPr>
          <w:rFonts w:ascii="Century Gothic" w:hAnsi="Century Gothic"/>
          <w:spacing w:val="-7"/>
          <w:w w:val="105"/>
          <w:sz w:val="19"/>
          <w:szCs w:val="19"/>
        </w:rPr>
        <w:t> </w:t>
      </w:r>
      <w:r w:rsidRPr="00B477E9">
        <w:rPr>
          <w:rFonts w:ascii="Century Gothic" w:hAnsi="Century Gothic"/>
          <w:spacing w:val="-2"/>
          <w:w w:val="105"/>
          <w:sz w:val="19"/>
          <w:szCs w:val="19"/>
        </w:rPr>
        <w:t>that</w:t>
      </w:r>
      <w:r w:rsidRPr="00B477E9">
        <w:rPr>
          <w:rFonts w:ascii="Century Gothic" w:hAnsi="Century Gothic"/>
          <w:spacing w:val="-8"/>
          <w:w w:val="105"/>
          <w:sz w:val="19"/>
          <w:szCs w:val="19"/>
        </w:rPr>
        <w:t xml:space="preserve"> </w:t>
      </w:r>
      <w:r w:rsidRPr="00B477E9">
        <w:rPr>
          <w:rFonts w:ascii="Century Gothic" w:hAnsi="Century Gothic"/>
          <w:spacing w:val="-2"/>
          <w:w w:val="105"/>
          <w:sz w:val="19"/>
          <w:szCs w:val="19"/>
        </w:rPr>
        <w:t>are</w:t>
      </w:r>
      <w:r w:rsidRPr="00B477E9">
        <w:rPr>
          <w:rFonts w:ascii="Century Gothic" w:hAnsi="Century Gothic"/>
          <w:spacing w:val="-6"/>
          <w:w w:val="105"/>
          <w:sz w:val="19"/>
          <w:szCs w:val="19"/>
        </w:rPr>
        <w:t xml:space="preserve"> </w:t>
      </w:r>
      <w:r w:rsidRPr="00B477E9">
        <w:rPr>
          <w:rFonts w:ascii="Century Gothic" w:hAnsi="Century Gothic"/>
          <w:spacing w:val="-2"/>
          <w:w w:val="105"/>
          <w:sz w:val="19"/>
          <w:szCs w:val="19"/>
        </w:rPr>
        <w:t>appropriate</w:t>
      </w:r>
      <w:r w:rsidRPr="00B477E9">
        <w:rPr>
          <w:rFonts w:ascii="Century Gothic" w:hAnsi="Century Gothic"/>
          <w:spacing w:val="-6"/>
          <w:w w:val="105"/>
          <w:sz w:val="19"/>
          <w:szCs w:val="19"/>
        </w:rPr>
        <w:t xml:space="preserve"> </w:t>
      </w:r>
      <w:r w:rsidRPr="00B477E9">
        <w:rPr>
          <w:rFonts w:ascii="Century Gothic" w:hAnsi="Century Gothic"/>
          <w:spacing w:val="-2"/>
          <w:w w:val="105"/>
          <w:sz w:val="19"/>
          <w:szCs w:val="19"/>
        </w:rPr>
        <w:t>in</w:t>
      </w:r>
      <w:r w:rsidRPr="00B477E9">
        <w:rPr>
          <w:rFonts w:ascii="Century Gothic" w:hAnsi="Century Gothic"/>
          <w:spacing w:val="-7"/>
          <w:w w:val="105"/>
          <w:sz w:val="19"/>
          <w:szCs w:val="19"/>
        </w:rPr>
        <w:t xml:space="preserve"> </w:t>
      </w:r>
      <w:r w:rsidRPr="00B477E9">
        <w:rPr>
          <w:rFonts w:ascii="Century Gothic" w:hAnsi="Century Gothic"/>
          <w:spacing w:val="-2"/>
          <w:w w:val="105"/>
          <w:sz w:val="19"/>
          <w:szCs w:val="19"/>
        </w:rPr>
        <w:t>the</w:t>
      </w:r>
      <w:r w:rsidRPr="00B477E9">
        <w:rPr>
          <w:rFonts w:ascii="Century Gothic" w:hAnsi="Century Gothic"/>
          <w:spacing w:val="-9"/>
          <w:w w:val="105"/>
          <w:sz w:val="19"/>
          <w:szCs w:val="19"/>
        </w:rPr>
        <w:t xml:space="preserve"> </w:t>
      </w:r>
      <w:r w:rsidRPr="00B477E9">
        <w:rPr>
          <w:rFonts w:ascii="Century Gothic" w:hAnsi="Century Gothic"/>
          <w:spacing w:val="-2"/>
          <w:w w:val="105"/>
          <w:sz w:val="19"/>
          <w:szCs w:val="19"/>
        </w:rPr>
        <w:t>circumstances,</w:t>
      </w:r>
      <w:r w:rsidRPr="00B477E9">
        <w:rPr>
          <w:rFonts w:ascii="Century Gothic" w:hAnsi="Century Gothic"/>
          <w:spacing w:val="-7"/>
          <w:w w:val="105"/>
          <w:sz w:val="19"/>
          <w:szCs w:val="19"/>
        </w:rPr>
        <w:t xml:space="preserve"> </w:t>
      </w:r>
      <w:r w:rsidRPr="00B477E9">
        <w:rPr>
          <w:rFonts w:ascii="Century Gothic" w:hAnsi="Century Gothic"/>
          <w:spacing w:val="-2"/>
          <w:w w:val="105"/>
          <w:sz w:val="19"/>
          <w:szCs w:val="19"/>
        </w:rPr>
        <w:t>but</w:t>
      </w:r>
      <w:r w:rsidRPr="00B477E9">
        <w:rPr>
          <w:rFonts w:ascii="Century Gothic" w:hAnsi="Century Gothic"/>
          <w:spacing w:val="-8"/>
          <w:w w:val="105"/>
          <w:sz w:val="19"/>
          <w:szCs w:val="19"/>
        </w:rPr>
        <w:t xml:space="preserve"> </w:t>
      </w:r>
      <w:r w:rsidRPr="00B477E9">
        <w:rPr>
          <w:rFonts w:ascii="Century Gothic" w:hAnsi="Century Gothic"/>
          <w:spacing w:val="-2"/>
          <w:w w:val="105"/>
          <w:sz w:val="19"/>
          <w:szCs w:val="19"/>
        </w:rPr>
        <w:t>not</w:t>
      </w:r>
      <w:r w:rsidRPr="00B477E9">
        <w:rPr>
          <w:rFonts w:ascii="Century Gothic" w:hAnsi="Century Gothic"/>
          <w:spacing w:val="-8"/>
          <w:w w:val="105"/>
          <w:sz w:val="19"/>
          <w:szCs w:val="19"/>
        </w:rPr>
        <w:t xml:space="preserve"> </w:t>
      </w:r>
      <w:r w:rsidRPr="00B477E9">
        <w:rPr>
          <w:rFonts w:ascii="Century Gothic" w:hAnsi="Century Gothic"/>
          <w:spacing w:val="-2"/>
          <w:w w:val="105"/>
          <w:sz w:val="19"/>
          <w:szCs w:val="19"/>
        </w:rPr>
        <w:t>for</w:t>
      </w:r>
      <w:r w:rsidRPr="00B477E9">
        <w:rPr>
          <w:rFonts w:ascii="Century Gothic" w:hAnsi="Century Gothic"/>
          <w:spacing w:val="-7"/>
          <w:w w:val="105"/>
          <w:sz w:val="19"/>
          <w:szCs w:val="19"/>
        </w:rPr>
        <w:t xml:space="preserve"> </w:t>
      </w:r>
      <w:r w:rsidRPr="00B477E9">
        <w:rPr>
          <w:rFonts w:ascii="Century Gothic" w:hAnsi="Century Gothic"/>
          <w:spacing w:val="-2"/>
          <w:w w:val="105"/>
          <w:sz w:val="19"/>
          <w:szCs w:val="19"/>
        </w:rPr>
        <w:t>the</w:t>
      </w:r>
      <w:r w:rsidRPr="00B477E9">
        <w:rPr>
          <w:rFonts w:ascii="Century Gothic" w:hAnsi="Century Gothic"/>
          <w:spacing w:val="-6"/>
          <w:w w:val="105"/>
          <w:sz w:val="19"/>
          <w:szCs w:val="19"/>
        </w:rPr>
        <w:t xml:space="preserve"> </w:t>
      </w:r>
      <w:r w:rsidRPr="00B477E9">
        <w:rPr>
          <w:rFonts w:ascii="Century Gothic" w:hAnsi="Century Gothic"/>
          <w:spacing w:val="-2"/>
          <w:w w:val="105"/>
          <w:sz w:val="19"/>
          <w:szCs w:val="19"/>
        </w:rPr>
        <w:t>purpose</w:t>
      </w:r>
      <w:r w:rsidRPr="00B477E9">
        <w:rPr>
          <w:rFonts w:ascii="Century Gothic" w:hAnsi="Century Gothic"/>
          <w:spacing w:val="-6"/>
          <w:w w:val="105"/>
          <w:sz w:val="19"/>
          <w:szCs w:val="19"/>
        </w:rPr>
        <w:t xml:space="preserve"> </w:t>
      </w:r>
      <w:r w:rsidRPr="00B477E9">
        <w:rPr>
          <w:rFonts w:ascii="Century Gothic" w:hAnsi="Century Gothic"/>
          <w:spacing w:val="-2"/>
          <w:w w:val="105"/>
          <w:sz w:val="19"/>
          <w:szCs w:val="19"/>
        </w:rPr>
        <w:t>of</w:t>
      </w:r>
      <w:r w:rsidRPr="00B477E9">
        <w:rPr>
          <w:rFonts w:ascii="Century Gothic" w:hAnsi="Century Gothic"/>
          <w:spacing w:val="-7"/>
          <w:w w:val="105"/>
          <w:sz w:val="19"/>
          <w:szCs w:val="19"/>
        </w:rPr>
        <w:t xml:space="preserve"> </w:t>
      </w:r>
      <w:r w:rsidRPr="00B477E9">
        <w:rPr>
          <w:rFonts w:ascii="Century Gothic" w:hAnsi="Century Gothic"/>
          <w:spacing w:val="-2"/>
          <w:w w:val="105"/>
          <w:sz w:val="19"/>
          <w:szCs w:val="19"/>
        </w:rPr>
        <w:t>expressing</w:t>
      </w:r>
      <w:r w:rsidRPr="00B477E9">
        <w:rPr>
          <w:rFonts w:ascii="Century Gothic" w:hAnsi="Century Gothic"/>
          <w:spacing w:val="-7"/>
          <w:w w:val="105"/>
          <w:sz w:val="19"/>
          <w:szCs w:val="19"/>
        </w:rPr>
        <w:t xml:space="preserve"> </w:t>
      </w:r>
      <w:r w:rsidRPr="00B477E9">
        <w:rPr>
          <w:rFonts w:ascii="Century Gothic" w:hAnsi="Century Gothic"/>
          <w:spacing w:val="-2"/>
          <w:w w:val="105"/>
          <w:sz w:val="19"/>
          <w:szCs w:val="19"/>
        </w:rPr>
        <w:t xml:space="preserve">an </w:t>
      </w:r>
      <w:r w:rsidRPr="00B477E9">
        <w:rPr>
          <w:rFonts w:ascii="Century Gothic" w:hAnsi="Century Gothic"/>
          <w:w w:val="105"/>
          <w:sz w:val="19"/>
          <w:szCs w:val="19"/>
        </w:rPr>
        <w:t>opinion on the effectiveness of internal control.</w:t>
      </w:r>
    </w:p>
    <w:p w14:paraId="6FF819C1" w14:textId="77777777" w:rsidR="008A2FF2" w:rsidRPr="00B477E9" w:rsidRDefault="008A2FF2" w:rsidP="00455A8E">
      <w:pPr>
        <w:pStyle w:val="ListParagraph"/>
        <w:widowControl w:val="0"/>
        <w:numPr>
          <w:ilvl w:val="0"/>
          <w:numId w:val="11"/>
        </w:numPr>
        <w:tabs>
          <w:tab w:val="left" w:pos="547"/>
        </w:tabs>
        <w:autoSpaceDE w:val="0"/>
        <w:autoSpaceDN w:val="0"/>
        <w:spacing w:after="0" w:line="346" w:lineRule="auto"/>
        <w:ind w:left="414" w:right="947" w:hanging="357"/>
        <w:contextualSpacing w:val="0"/>
        <w:rPr>
          <w:rFonts w:ascii="Century Gothic" w:hAnsi="Century Gothic"/>
          <w:sz w:val="19"/>
          <w:szCs w:val="19"/>
        </w:rPr>
      </w:pPr>
      <w:r w:rsidRPr="00B477E9">
        <w:rPr>
          <w:rFonts w:ascii="Century Gothic" w:hAnsi="Century Gothic"/>
          <w:w w:val="105"/>
          <w:sz w:val="19"/>
          <w:szCs w:val="19"/>
        </w:rPr>
        <w:t>Evaluate</w:t>
      </w:r>
      <w:r w:rsidRPr="00B477E9">
        <w:rPr>
          <w:rFonts w:ascii="Century Gothic" w:hAnsi="Century Gothic"/>
          <w:spacing w:val="-10"/>
          <w:w w:val="105"/>
          <w:sz w:val="19"/>
          <w:szCs w:val="19"/>
        </w:rPr>
        <w:t xml:space="preserve"> </w:t>
      </w:r>
      <w:r w:rsidRPr="00B477E9">
        <w:rPr>
          <w:rFonts w:ascii="Century Gothic" w:hAnsi="Century Gothic"/>
          <w:w w:val="105"/>
          <w:sz w:val="19"/>
          <w:szCs w:val="19"/>
        </w:rPr>
        <w:t>the</w:t>
      </w:r>
      <w:r w:rsidRPr="00B477E9">
        <w:rPr>
          <w:rFonts w:ascii="Century Gothic" w:hAnsi="Century Gothic"/>
          <w:spacing w:val="-10"/>
          <w:w w:val="105"/>
          <w:sz w:val="19"/>
          <w:szCs w:val="19"/>
        </w:rPr>
        <w:t xml:space="preserve"> </w:t>
      </w:r>
      <w:r w:rsidRPr="00B477E9">
        <w:rPr>
          <w:rFonts w:ascii="Century Gothic" w:hAnsi="Century Gothic"/>
          <w:w w:val="105"/>
          <w:sz w:val="19"/>
          <w:szCs w:val="19"/>
        </w:rPr>
        <w:t>appropriateness</w:t>
      </w:r>
      <w:r w:rsidRPr="00B477E9">
        <w:rPr>
          <w:rFonts w:ascii="Century Gothic" w:hAnsi="Century Gothic"/>
          <w:spacing w:val="-12"/>
          <w:w w:val="105"/>
          <w:sz w:val="19"/>
          <w:szCs w:val="19"/>
        </w:rPr>
        <w:t xml:space="preserve"> </w:t>
      </w:r>
      <w:r w:rsidRPr="00B477E9">
        <w:rPr>
          <w:rFonts w:ascii="Century Gothic" w:hAnsi="Century Gothic"/>
          <w:w w:val="105"/>
          <w:sz w:val="19"/>
          <w:szCs w:val="19"/>
        </w:rPr>
        <w:t>of</w:t>
      </w:r>
      <w:r w:rsidRPr="00B477E9">
        <w:rPr>
          <w:rFonts w:ascii="Century Gothic" w:hAnsi="Century Gothic"/>
          <w:spacing w:val="-11"/>
          <w:w w:val="105"/>
          <w:sz w:val="19"/>
          <w:szCs w:val="19"/>
        </w:rPr>
        <w:t xml:space="preserve"> </w:t>
      </w:r>
      <w:r w:rsidRPr="00B477E9">
        <w:rPr>
          <w:rFonts w:ascii="Century Gothic" w:hAnsi="Century Gothic"/>
          <w:w w:val="105"/>
          <w:sz w:val="19"/>
          <w:szCs w:val="19"/>
        </w:rPr>
        <w:t>accounting</w:t>
      </w:r>
      <w:r w:rsidRPr="00B477E9">
        <w:rPr>
          <w:rFonts w:ascii="Century Gothic" w:hAnsi="Century Gothic"/>
          <w:spacing w:val="-11"/>
          <w:w w:val="105"/>
          <w:sz w:val="19"/>
          <w:szCs w:val="19"/>
        </w:rPr>
        <w:t xml:space="preserve"> </w:t>
      </w:r>
      <w:r w:rsidRPr="00B477E9">
        <w:rPr>
          <w:rFonts w:ascii="Century Gothic" w:hAnsi="Century Gothic"/>
          <w:w w:val="105"/>
          <w:sz w:val="19"/>
          <w:szCs w:val="19"/>
        </w:rPr>
        <w:t>policies</w:t>
      </w:r>
      <w:r w:rsidRPr="00B477E9">
        <w:rPr>
          <w:rFonts w:ascii="Century Gothic" w:hAnsi="Century Gothic"/>
          <w:spacing w:val="-11"/>
          <w:w w:val="105"/>
          <w:sz w:val="19"/>
          <w:szCs w:val="19"/>
        </w:rPr>
        <w:t xml:space="preserve"> </w:t>
      </w:r>
      <w:r w:rsidRPr="00B477E9">
        <w:rPr>
          <w:rFonts w:ascii="Century Gothic" w:hAnsi="Century Gothic"/>
          <w:w w:val="105"/>
          <w:sz w:val="19"/>
          <w:szCs w:val="19"/>
        </w:rPr>
        <w:t>used</w:t>
      </w:r>
      <w:r w:rsidRPr="00B477E9">
        <w:rPr>
          <w:rFonts w:ascii="Century Gothic" w:hAnsi="Century Gothic"/>
          <w:spacing w:val="-11"/>
          <w:w w:val="105"/>
          <w:sz w:val="19"/>
          <w:szCs w:val="19"/>
        </w:rPr>
        <w:t xml:space="preserve"> </w:t>
      </w:r>
      <w:r w:rsidRPr="00B477E9">
        <w:rPr>
          <w:rFonts w:ascii="Century Gothic" w:hAnsi="Century Gothic"/>
          <w:w w:val="105"/>
          <w:sz w:val="19"/>
          <w:szCs w:val="19"/>
        </w:rPr>
        <w:t>and</w:t>
      </w:r>
      <w:r w:rsidRPr="00B477E9">
        <w:rPr>
          <w:rFonts w:ascii="Century Gothic" w:hAnsi="Century Gothic"/>
          <w:spacing w:val="-11"/>
          <w:w w:val="105"/>
          <w:sz w:val="19"/>
          <w:szCs w:val="19"/>
        </w:rPr>
        <w:t xml:space="preserve"> </w:t>
      </w:r>
      <w:r w:rsidRPr="00B477E9">
        <w:rPr>
          <w:rFonts w:ascii="Century Gothic" w:hAnsi="Century Gothic"/>
          <w:w w:val="105"/>
          <w:sz w:val="19"/>
          <w:szCs w:val="19"/>
        </w:rPr>
        <w:t>the</w:t>
      </w:r>
      <w:r w:rsidRPr="00B477E9">
        <w:rPr>
          <w:rFonts w:ascii="Century Gothic" w:hAnsi="Century Gothic"/>
          <w:spacing w:val="-10"/>
          <w:w w:val="105"/>
          <w:sz w:val="19"/>
          <w:szCs w:val="19"/>
        </w:rPr>
        <w:t xml:space="preserve"> </w:t>
      </w:r>
      <w:r w:rsidRPr="00B477E9">
        <w:rPr>
          <w:rFonts w:ascii="Century Gothic" w:hAnsi="Century Gothic"/>
          <w:w w:val="105"/>
          <w:sz w:val="19"/>
          <w:szCs w:val="19"/>
        </w:rPr>
        <w:t>reasonableness</w:t>
      </w:r>
      <w:r w:rsidRPr="00B477E9">
        <w:rPr>
          <w:rFonts w:ascii="Century Gothic" w:hAnsi="Century Gothic"/>
          <w:spacing w:val="-11"/>
          <w:w w:val="105"/>
          <w:sz w:val="19"/>
          <w:szCs w:val="19"/>
        </w:rPr>
        <w:t xml:space="preserve"> </w:t>
      </w:r>
      <w:r w:rsidRPr="00B477E9">
        <w:rPr>
          <w:rFonts w:ascii="Century Gothic" w:hAnsi="Century Gothic"/>
          <w:w w:val="105"/>
          <w:sz w:val="19"/>
          <w:szCs w:val="19"/>
        </w:rPr>
        <w:t xml:space="preserve">of </w:t>
      </w:r>
      <w:r w:rsidRPr="00B477E9">
        <w:rPr>
          <w:rFonts w:ascii="Century Gothic" w:hAnsi="Century Gothic"/>
          <w:sz w:val="19"/>
          <w:szCs w:val="19"/>
        </w:rPr>
        <w:t xml:space="preserve">accounting estimates and related disclosures made by the Education Services Australia </w:t>
      </w:r>
      <w:r w:rsidRPr="00B477E9">
        <w:rPr>
          <w:rFonts w:ascii="Century Gothic" w:hAnsi="Century Gothic"/>
          <w:spacing w:val="-2"/>
          <w:w w:val="105"/>
          <w:sz w:val="19"/>
          <w:szCs w:val="19"/>
        </w:rPr>
        <w:t>Management.</w:t>
      </w:r>
    </w:p>
    <w:p w14:paraId="1C00F16F" w14:textId="77777777" w:rsidR="008A2FF2" w:rsidRPr="00B477E9" w:rsidRDefault="008A2FF2" w:rsidP="00F81FA4">
      <w:pPr>
        <w:pStyle w:val="BodyText"/>
        <w:spacing w:before="85"/>
        <w:rPr>
          <w:sz w:val="19"/>
          <w:szCs w:val="19"/>
        </w:rPr>
      </w:pPr>
    </w:p>
    <w:p w14:paraId="6B3AED96" w14:textId="56AC13F7" w:rsidR="008A2FF2" w:rsidRPr="00B477E9" w:rsidRDefault="008A2FF2" w:rsidP="00F81FA4">
      <w:pPr>
        <w:pStyle w:val="BodyText"/>
        <w:spacing w:before="1" w:line="345" w:lineRule="auto"/>
        <w:ind w:right="310"/>
        <w:rPr>
          <w:sz w:val="19"/>
          <w:szCs w:val="19"/>
        </w:rPr>
      </w:pPr>
      <w:r w:rsidRPr="00B477E9">
        <w:rPr>
          <w:sz w:val="19"/>
          <w:szCs w:val="19"/>
        </w:rPr>
        <w:t>We communicate with the Education Services Australia Management regarding, among other matters,</w:t>
      </w:r>
      <w:r w:rsidR="00C35C30" w:rsidRPr="00B477E9">
        <w:rPr>
          <w:sz w:val="19"/>
          <w:szCs w:val="19"/>
        </w:rPr>
        <w:t> </w:t>
      </w:r>
      <w:r w:rsidRPr="00B477E9">
        <w:rPr>
          <w:sz w:val="19"/>
          <w:szCs w:val="19"/>
        </w:rPr>
        <w:t>the</w:t>
      </w:r>
      <w:r w:rsidR="00C35C30" w:rsidRPr="00B477E9">
        <w:rPr>
          <w:sz w:val="19"/>
          <w:szCs w:val="19"/>
        </w:rPr>
        <w:t> </w:t>
      </w:r>
      <w:r w:rsidRPr="00B477E9">
        <w:rPr>
          <w:sz w:val="19"/>
          <w:szCs w:val="19"/>
        </w:rPr>
        <w:t xml:space="preserve">planned scope and timing of the audit and significant audit findings, including any </w:t>
      </w:r>
      <w:r w:rsidRPr="00B477E9">
        <w:rPr>
          <w:w w:val="105"/>
          <w:sz w:val="19"/>
          <w:szCs w:val="19"/>
        </w:rPr>
        <w:t>significant</w:t>
      </w:r>
      <w:r w:rsidR="00C35C30" w:rsidRPr="00B477E9">
        <w:rPr>
          <w:spacing w:val="-2"/>
          <w:w w:val="105"/>
          <w:sz w:val="19"/>
          <w:szCs w:val="19"/>
        </w:rPr>
        <w:t> </w:t>
      </w:r>
      <w:r w:rsidRPr="00B477E9">
        <w:rPr>
          <w:w w:val="105"/>
          <w:sz w:val="19"/>
          <w:szCs w:val="19"/>
        </w:rPr>
        <w:t>deficiencies</w:t>
      </w:r>
      <w:r w:rsidRPr="00B477E9">
        <w:rPr>
          <w:spacing w:val="-1"/>
          <w:w w:val="105"/>
          <w:sz w:val="19"/>
          <w:szCs w:val="19"/>
        </w:rPr>
        <w:t xml:space="preserve"> </w:t>
      </w:r>
      <w:r w:rsidRPr="00B477E9">
        <w:rPr>
          <w:w w:val="105"/>
          <w:sz w:val="19"/>
          <w:szCs w:val="19"/>
        </w:rPr>
        <w:t>in</w:t>
      </w:r>
      <w:r w:rsidRPr="00B477E9">
        <w:rPr>
          <w:spacing w:val="-4"/>
          <w:w w:val="105"/>
          <w:sz w:val="19"/>
          <w:szCs w:val="19"/>
        </w:rPr>
        <w:t xml:space="preserve"> </w:t>
      </w:r>
      <w:r w:rsidRPr="00B477E9">
        <w:rPr>
          <w:w w:val="105"/>
          <w:sz w:val="19"/>
          <w:szCs w:val="19"/>
        </w:rPr>
        <w:t>internal</w:t>
      </w:r>
      <w:r w:rsidRPr="00B477E9">
        <w:rPr>
          <w:spacing w:val="-3"/>
          <w:w w:val="105"/>
          <w:sz w:val="19"/>
          <w:szCs w:val="19"/>
        </w:rPr>
        <w:t xml:space="preserve"> </w:t>
      </w:r>
      <w:r w:rsidRPr="00B477E9">
        <w:rPr>
          <w:w w:val="105"/>
          <w:sz w:val="19"/>
          <w:szCs w:val="19"/>
        </w:rPr>
        <w:t>control</w:t>
      </w:r>
      <w:r w:rsidRPr="00B477E9">
        <w:rPr>
          <w:spacing w:val="-2"/>
          <w:w w:val="105"/>
          <w:sz w:val="19"/>
          <w:szCs w:val="19"/>
        </w:rPr>
        <w:t xml:space="preserve"> </w:t>
      </w:r>
      <w:r w:rsidRPr="00B477E9">
        <w:rPr>
          <w:w w:val="105"/>
          <w:sz w:val="19"/>
          <w:szCs w:val="19"/>
        </w:rPr>
        <w:t>that</w:t>
      </w:r>
      <w:r w:rsidRPr="00B477E9">
        <w:rPr>
          <w:spacing w:val="-2"/>
          <w:w w:val="105"/>
          <w:sz w:val="19"/>
          <w:szCs w:val="19"/>
        </w:rPr>
        <w:t xml:space="preserve"> </w:t>
      </w:r>
      <w:r w:rsidRPr="00B477E9">
        <w:rPr>
          <w:w w:val="105"/>
          <w:sz w:val="19"/>
          <w:szCs w:val="19"/>
        </w:rPr>
        <w:t>we identify</w:t>
      </w:r>
      <w:r w:rsidRPr="00B477E9">
        <w:rPr>
          <w:spacing w:val="-2"/>
          <w:w w:val="105"/>
          <w:sz w:val="19"/>
          <w:szCs w:val="19"/>
        </w:rPr>
        <w:t xml:space="preserve"> </w:t>
      </w:r>
      <w:r w:rsidRPr="00B477E9">
        <w:rPr>
          <w:w w:val="105"/>
          <w:sz w:val="19"/>
          <w:szCs w:val="19"/>
        </w:rPr>
        <w:t>during</w:t>
      </w:r>
      <w:r w:rsidRPr="00B477E9">
        <w:rPr>
          <w:spacing w:val="-1"/>
          <w:w w:val="105"/>
          <w:sz w:val="19"/>
          <w:szCs w:val="19"/>
        </w:rPr>
        <w:t xml:space="preserve"> </w:t>
      </w:r>
      <w:r w:rsidRPr="00B477E9">
        <w:rPr>
          <w:w w:val="105"/>
          <w:sz w:val="19"/>
          <w:szCs w:val="19"/>
        </w:rPr>
        <w:t>our audit.</w:t>
      </w:r>
    </w:p>
    <w:p w14:paraId="4EB99185" w14:textId="77777777" w:rsidR="008A2FF2" w:rsidRPr="00B477E9" w:rsidRDefault="008A2FF2" w:rsidP="00F81FA4">
      <w:pPr>
        <w:pStyle w:val="BodyText"/>
        <w:spacing w:before="41"/>
        <w:rPr>
          <w:sz w:val="19"/>
          <w:szCs w:val="19"/>
        </w:rPr>
      </w:pPr>
    </w:p>
    <w:p w14:paraId="4010893D" w14:textId="1E69FDF5" w:rsidR="008A2FF2" w:rsidRDefault="008A2FF2" w:rsidP="00F81FA4">
      <w:pPr>
        <w:pStyle w:val="BodyText"/>
        <w:spacing w:line="345" w:lineRule="auto"/>
        <w:ind w:right="215"/>
      </w:pPr>
      <w:r w:rsidRPr="00B477E9">
        <w:rPr>
          <w:noProof/>
          <w:sz w:val="19"/>
          <w:szCs w:val="19"/>
        </w:rPr>
        <w:drawing>
          <wp:anchor distT="0" distB="0" distL="0" distR="0" simplePos="0" relativeHeight="251658243" behindDoc="0" locked="0" layoutInCell="1" allowOverlap="1" wp14:anchorId="249A9D9A" wp14:editId="566E81D5">
            <wp:simplePos x="0" y="0"/>
            <wp:positionH relativeFrom="page">
              <wp:posOffset>4406249</wp:posOffset>
            </wp:positionH>
            <wp:positionV relativeFrom="paragraph">
              <wp:posOffset>1101809</wp:posOffset>
            </wp:positionV>
            <wp:extent cx="1131477" cy="510120"/>
            <wp:effectExtent l="0" t="0" r="0"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84" cstate="print"/>
                    <a:stretch>
                      <a:fillRect/>
                    </a:stretch>
                  </pic:blipFill>
                  <pic:spPr>
                    <a:xfrm>
                      <a:off x="0" y="0"/>
                      <a:ext cx="1131477" cy="510120"/>
                    </a:xfrm>
                    <a:prstGeom prst="rect">
                      <a:avLst/>
                    </a:prstGeom>
                  </pic:spPr>
                </pic:pic>
              </a:graphicData>
            </a:graphic>
          </wp:anchor>
        </w:drawing>
      </w:r>
      <w:r w:rsidRPr="00B477E9">
        <w:rPr>
          <w:noProof/>
          <w:sz w:val="19"/>
          <w:szCs w:val="19"/>
        </w:rPr>
        <w:drawing>
          <wp:anchor distT="0" distB="0" distL="0" distR="0" simplePos="0" relativeHeight="251658244" behindDoc="0" locked="0" layoutInCell="1" allowOverlap="1" wp14:anchorId="51964B8F" wp14:editId="6877BF23">
            <wp:simplePos x="0" y="0"/>
            <wp:positionH relativeFrom="page">
              <wp:posOffset>759383</wp:posOffset>
            </wp:positionH>
            <wp:positionV relativeFrom="paragraph">
              <wp:posOffset>1022252</wp:posOffset>
            </wp:positionV>
            <wp:extent cx="826557" cy="583552"/>
            <wp:effectExtent l="0" t="0" r="0"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85" cstate="print"/>
                    <a:stretch>
                      <a:fillRect/>
                    </a:stretch>
                  </pic:blipFill>
                  <pic:spPr>
                    <a:xfrm>
                      <a:off x="0" y="0"/>
                      <a:ext cx="826557" cy="583552"/>
                    </a:xfrm>
                    <a:prstGeom prst="rect">
                      <a:avLst/>
                    </a:prstGeom>
                  </pic:spPr>
                </pic:pic>
              </a:graphicData>
            </a:graphic>
          </wp:anchor>
        </w:drawing>
      </w:r>
      <w:r w:rsidRPr="00B477E9">
        <w:rPr>
          <w:sz w:val="19"/>
          <w:szCs w:val="19"/>
        </w:rPr>
        <w:t>We also provide the directors with a statement that we have complied with relevant ethical requirements</w:t>
      </w:r>
      <w:r w:rsidR="002840D2" w:rsidRPr="00B477E9">
        <w:rPr>
          <w:sz w:val="19"/>
          <w:szCs w:val="19"/>
        </w:rPr>
        <w:t> </w:t>
      </w:r>
      <w:r w:rsidRPr="00B477E9">
        <w:rPr>
          <w:sz w:val="19"/>
          <w:szCs w:val="19"/>
        </w:rPr>
        <w:t>regarding independence, and to communicate with them all relationships and other matters</w:t>
      </w:r>
      <w:r w:rsidR="00EA2056" w:rsidRPr="00B477E9">
        <w:rPr>
          <w:sz w:val="19"/>
          <w:szCs w:val="19"/>
        </w:rPr>
        <w:t> </w:t>
      </w:r>
      <w:r w:rsidRPr="00B477E9">
        <w:rPr>
          <w:sz w:val="19"/>
          <w:szCs w:val="19"/>
        </w:rPr>
        <w:t>that</w:t>
      </w:r>
      <w:r w:rsidRPr="00B477E9">
        <w:rPr>
          <w:spacing w:val="-2"/>
          <w:sz w:val="19"/>
          <w:szCs w:val="19"/>
        </w:rPr>
        <w:t xml:space="preserve"> </w:t>
      </w:r>
      <w:r w:rsidRPr="00B477E9">
        <w:rPr>
          <w:sz w:val="19"/>
          <w:szCs w:val="19"/>
        </w:rPr>
        <w:t>may</w:t>
      </w:r>
      <w:r w:rsidRPr="00B477E9">
        <w:rPr>
          <w:spacing w:val="-2"/>
          <w:sz w:val="19"/>
          <w:szCs w:val="19"/>
        </w:rPr>
        <w:t xml:space="preserve"> </w:t>
      </w:r>
      <w:r w:rsidRPr="00B477E9">
        <w:rPr>
          <w:sz w:val="19"/>
          <w:szCs w:val="19"/>
        </w:rPr>
        <w:t>reasonably</w:t>
      </w:r>
      <w:r w:rsidRPr="00B477E9">
        <w:rPr>
          <w:spacing w:val="-2"/>
          <w:sz w:val="19"/>
          <w:szCs w:val="19"/>
        </w:rPr>
        <w:t xml:space="preserve"> </w:t>
      </w:r>
      <w:r w:rsidRPr="00B477E9">
        <w:rPr>
          <w:sz w:val="19"/>
          <w:szCs w:val="19"/>
        </w:rPr>
        <w:t>be thought</w:t>
      </w:r>
      <w:r w:rsidRPr="00B477E9">
        <w:rPr>
          <w:spacing w:val="-2"/>
          <w:sz w:val="19"/>
          <w:szCs w:val="19"/>
        </w:rPr>
        <w:t xml:space="preserve"> </w:t>
      </w:r>
      <w:r w:rsidRPr="00B477E9">
        <w:rPr>
          <w:sz w:val="19"/>
          <w:szCs w:val="19"/>
        </w:rPr>
        <w:t>to</w:t>
      </w:r>
      <w:r w:rsidRPr="00B477E9">
        <w:rPr>
          <w:spacing w:val="-1"/>
          <w:sz w:val="19"/>
          <w:szCs w:val="19"/>
        </w:rPr>
        <w:t xml:space="preserve"> </w:t>
      </w:r>
      <w:r w:rsidRPr="00B477E9">
        <w:rPr>
          <w:sz w:val="19"/>
          <w:szCs w:val="19"/>
        </w:rPr>
        <w:t>bear</w:t>
      </w:r>
      <w:r w:rsidRPr="00B477E9">
        <w:rPr>
          <w:spacing w:val="-1"/>
          <w:sz w:val="19"/>
          <w:szCs w:val="19"/>
        </w:rPr>
        <w:t xml:space="preserve"> </w:t>
      </w:r>
      <w:r w:rsidRPr="00B477E9">
        <w:rPr>
          <w:sz w:val="19"/>
          <w:szCs w:val="19"/>
        </w:rPr>
        <w:t>on</w:t>
      </w:r>
      <w:r w:rsidRPr="00B477E9">
        <w:rPr>
          <w:spacing w:val="-1"/>
          <w:sz w:val="19"/>
          <w:szCs w:val="19"/>
        </w:rPr>
        <w:t xml:space="preserve"> </w:t>
      </w:r>
      <w:r w:rsidRPr="00B477E9">
        <w:rPr>
          <w:sz w:val="19"/>
          <w:szCs w:val="19"/>
        </w:rPr>
        <w:t>our</w:t>
      </w:r>
      <w:r w:rsidRPr="00B477E9">
        <w:rPr>
          <w:spacing w:val="-1"/>
          <w:sz w:val="19"/>
          <w:szCs w:val="19"/>
        </w:rPr>
        <w:t xml:space="preserve"> </w:t>
      </w:r>
      <w:r w:rsidRPr="00B477E9">
        <w:rPr>
          <w:sz w:val="19"/>
          <w:szCs w:val="19"/>
        </w:rPr>
        <w:t>independence,</w:t>
      </w:r>
      <w:r w:rsidRPr="00B477E9">
        <w:rPr>
          <w:spacing w:val="-1"/>
          <w:sz w:val="19"/>
          <w:szCs w:val="19"/>
        </w:rPr>
        <w:t xml:space="preserve"> </w:t>
      </w:r>
      <w:r w:rsidRPr="00B477E9">
        <w:rPr>
          <w:sz w:val="19"/>
          <w:szCs w:val="19"/>
        </w:rPr>
        <w:t>and where applicable,</w:t>
      </w:r>
      <w:r w:rsidRPr="00B477E9">
        <w:rPr>
          <w:spacing w:val="-1"/>
          <w:sz w:val="19"/>
          <w:szCs w:val="19"/>
        </w:rPr>
        <w:t xml:space="preserve"> </w:t>
      </w:r>
      <w:r w:rsidRPr="00B477E9">
        <w:rPr>
          <w:sz w:val="19"/>
          <w:szCs w:val="19"/>
        </w:rPr>
        <w:t>action taken</w:t>
      </w:r>
      <w:r w:rsidR="00EA2056" w:rsidRPr="00B477E9">
        <w:rPr>
          <w:sz w:val="19"/>
          <w:szCs w:val="19"/>
        </w:rPr>
        <w:t> </w:t>
      </w:r>
      <w:r w:rsidRPr="00B477E9">
        <w:rPr>
          <w:sz w:val="19"/>
          <w:szCs w:val="19"/>
        </w:rPr>
        <w:t>to eliminate threats or safeguards applied.</w:t>
      </w:r>
    </w:p>
    <w:p w14:paraId="556DAE8B" w14:textId="77777777" w:rsidR="008A2FF2" w:rsidRDefault="008A2FF2" w:rsidP="008A2FF2">
      <w:pPr>
        <w:pStyle w:val="BodyText"/>
      </w:pPr>
    </w:p>
    <w:p w14:paraId="6BCDEBFA" w14:textId="77777777" w:rsidR="008A2FF2" w:rsidRDefault="008A2FF2" w:rsidP="008A2FF2">
      <w:pPr>
        <w:pStyle w:val="BodyText"/>
      </w:pPr>
    </w:p>
    <w:p w14:paraId="55E2BBB9" w14:textId="77777777" w:rsidR="008A2FF2" w:rsidRDefault="008A2FF2" w:rsidP="008A2FF2">
      <w:pPr>
        <w:pStyle w:val="BodyText"/>
      </w:pPr>
    </w:p>
    <w:p w14:paraId="7648833E" w14:textId="77777777" w:rsidR="008A2FF2" w:rsidRDefault="008A2FF2" w:rsidP="008A2FF2">
      <w:pPr>
        <w:pStyle w:val="BodyText"/>
      </w:pPr>
    </w:p>
    <w:p w14:paraId="56DFD5F6" w14:textId="77777777" w:rsidR="008A2FF2" w:rsidRDefault="008A2FF2" w:rsidP="008A2FF2">
      <w:pPr>
        <w:pStyle w:val="BodyText"/>
        <w:spacing w:before="165"/>
      </w:pPr>
    </w:p>
    <w:p w14:paraId="642022B2" w14:textId="77777777" w:rsidR="008A2FF2" w:rsidRPr="002840D2" w:rsidRDefault="008A2FF2" w:rsidP="008A2FF2">
      <w:pPr>
        <w:pStyle w:val="BodyText"/>
        <w:tabs>
          <w:tab w:val="left" w:pos="5881"/>
        </w:tabs>
        <w:ind w:left="120"/>
        <w:rPr>
          <w:b/>
          <w:bCs/>
        </w:rPr>
      </w:pPr>
      <w:r w:rsidRPr="002840D2">
        <w:rPr>
          <w:b/>
          <w:bCs/>
          <w:spacing w:val="-5"/>
        </w:rPr>
        <w:t>PKF</w:t>
      </w:r>
      <w:r w:rsidRPr="002840D2">
        <w:rPr>
          <w:b/>
          <w:bCs/>
        </w:rPr>
        <w:tab/>
        <w:t>Kenneth</w:t>
      </w:r>
      <w:r w:rsidRPr="002840D2">
        <w:rPr>
          <w:b/>
          <w:bCs/>
          <w:spacing w:val="6"/>
        </w:rPr>
        <w:t xml:space="preserve"> </w:t>
      </w:r>
      <w:r w:rsidRPr="002840D2">
        <w:rPr>
          <w:b/>
          <w:bCs/>
          <w:spacing w:val="-2"/>
        </w:rPr>
        <w:t>Weldin</w:t>
      </w:r>
    </w:p>
    <w:p w14:paraId="3FDFE8D2" w14:textId="77777777" w:rsidR="008A2FF2" w:rsidRPr="002840D2" w:rsidRDefault="008A2FF2" w:rsidP="008A2FF2">
      <w:pPr>
        <w:pStyle w:val="BodyText"/>
        <w:tabs>
          <w:tab w:val="left" w:pos="5881"/>
        </w:tabs>
        <w:spacing w:before="96"/>
        <w:ind w:left="120"/>
        <w:rPr>
          <w:b/>
          <w:bCs/>
        </w:rPr>
      </w:pPr>
      <w:r w:rsidRPr="002840D2">
        <w:rPr>
          <w:b/>
          <w:bCs/>
        </w:rPr>
        <w:t>Melbourne,</w:t>
      </w:r>
      <w:r w:rsidRPr="002840D2">
        <w:rPr>
          <w:b/>
          <w:bCs/>
          <w:spacing w:val="35"/>
        </w:rPr>
        <w:t xml:space="preserve"> </w:t>
      </w:r>
      <w:r w:rsidRPr="002840D2">
        <w:rPr>
          <w:b/>
          <w:bCs/>
        </w:rPr>
        <w:t>31</w:t>
      </w:r>
      <w:r w:rsidRPr="002840D2">
        <w:rPr>
          <w:b/>
          <w:bCs/>
          <w:spacing w:val="-7"/>
        </w:rPr>
        <w:t xml:space="preserve"> </w:t>
      </w:r>
      <w:r w:rsidRPr="002840D2">
        <w:rPr>
          <w:b/>
          <w:bCs/>
        </w:rPr>
        <w:t>August</w:t>
      </w:r>
      <w:r w:rsidRPr="002840D2">
        <w:rPr>
          <w:b/>
          <w:bCs/>
          <w:spacing w:val="-8"/>
        </w:rPr>
        <w:t xml:space="preserve"> </w:t>
      </w:r>
      <w:r w:rsidRPr="002840D2">
        <w:rPr>
          <w:b/>
          <w:bCs/>
          <w:spacing w:val="-4"/>
        </w:rPr>
        <w:t>2023</w:t>
      </w:r>
      <w:r w:rsidRPr="002840D2">
        <w:rPr>
          <w:b/>
          <w:bCs/>
        </w:rPr>
        <w:tab/>
      </w:r>
      <w:r w:rsidRPr="002840D2">
        <w:rPr>
          <w:b/>
          <w:bCs/>
          <w:spacing w:val="-2"/>
        </w:rPr>
        <w:t>Partner</w:t>
      </w:r>
    </w:p>
    <w:p w14:paraId="29786C8D" w14:textId="77777777" w:rsidR="008A2FF2" w:rsidRDefault="008A2FF2" w:rsidP="002D0C52">
      <w:pPr>
        <w:rPr>
          <w:rFonts w:eastAsia="Calibri" w:cs="Calibri"/>
          <w:color w:val="4F81BD" w:themeColor="accent1"/>
          <w:lang w:val="en-US"/>
        </w:rPr>
      </w:pPr>
    </w:p>
    <w:p w14:paraId="6F1B40ED" w14:textId="77777777" w:rsidR="002840D2" w:rsidRDefault="002840D2" w:rsidP="002D0C52">
      <w:pPr>
        <w:rPr>
          <w:rFonts w:eastAsia="Calibri" w:cs="Calibri"/>
          <w:color w:val="4F81BD" w:themeColor="accent1"/>
          <w:lang w:val="en-US"/>
        </w:rPr>
        <w:sectPr w:rsidR="002840D2" w:rsidSect="00512E04">
          <w:headerReference w:type="even" r:id="rId86"/>
          <w:headerReference w:type="default" r:id="rId87"/>
          <w:headerReference w:type="first" r:id="rId88"/>
          <w:footerReference w:type="first" r:id="rId89"/>
          <w:pgSz w:w="11907" w:h="16840" w:code="9"/>
          <w:pgMar w:top="1440" w:right="1080" w:bottom="1440" w:left="1080" w:header="709" w:footer="709" w:gutter="0"/>
          <w:cols w:space="708"/>
          <w:titlePg/>
          <w:docGrid w:linePitch="360"/>
        </w:sectPr>
      </w:pPr>
    </w:p>
    <w:p w14:paraId="48CD73B4" w14:textId="604B9497" w:rsidR="001862C7" w:rsidRPr="000E2CB9" w:rsidRDefault="001862C7" w:rsidP="000E2CB9">
      <w:pPr>
        <w:pStyle w:val="Heading2"/>
        <w:rPr>
          <w:sz w:val="28"/>
          <w:szCs w:val="28"/>
          <w:lang w:val="en-US"/>
        </w:rPr>
      </w:pPr>
      <w:bookmarkStart w:id="46" w:name="_Toc160544972"/>
      <w:r w:rsidRPr="000E2CB9">
        <w:rPr>
          <w:sz w:val="32"/>
          <w:szCs w:val="32"/>
          <w:lang w:val="en-US"/>
        </w:rPr>
        <w:t>ACECQA and Regulatory Authorities’ Freedom of Information Data Summary</w:t>
      </w:r>
      <w:bookmarkEnd w:id="46"/>
    </w:p>
    <w:p w14:paraId="7195A454" w14:textId="234CFE9E" w:rsidR="001B3BE8" w:rsidRPr="001862C7" w:rsidRDefault="001862C7" w:rsidP="001862C7">
      <w:pPr>
        <w:pStyle w:val="Heading2"/>
      </w:pPr>
      <w:bookmarkStart w:id="47" w:name="_Freedom_of_Information"/>
      <w:bookmarkEnd w:id="47"/>
      <w:r>
        <w:br/>
      </w:r>
      <w:bookmarkStart w:id="48" w:name="_Toc160544973"/>
      <w:r w:rsidR="001B3BE8" w:rsidRPr="001862C7">
        <w:t>Freedom of Information Statistical Data 1 July 2022 to 30 June 2023</w:t>
      </w:r>
      <w:bookmarkEnd w:id="48"/>
    </w:p>
    <w:p w14:paraId="3C1CC938" w14:textId="77777777" w:rsidR="00A10427" w:rsidRDefault="00A10427" w:rsidP="00225388"/>
    <w:p w14:paraId="14CE1F8E" w14:textId="02381225" w:rsidR="001B3BE8" w:rsidRDefault="001B3BE8" w:rsidP="00225388">
      <w:r w:rsidRPr="00E7015F">
        <w:t xml:space="preserve">Table 1 provides details of </w:t>
      </w:r>
      <w:r>
        <w:t>requests</w:t>
      </w:r>
      <w:r w:rsidRPr="00E7015F">
        <w:t xml:space="preserve"> for access to </w:t>
      </w:r>
      <w:r w:rsidR="0085255E">
        <w:t>documents</w:t>
      </w:r>
      <w:r w:rsidR="0085255E" w:rsidRPr="00E7015F">
        <w:t xml:space="preserve"> </w:t>
      </w:r>
      <w:r w:rsidRPr="00E7015F">
        <w:t xml:space="preserve">and </w:t>
      </w:r>
      <w:r w:rsidR="00310156">
        <w:t xml:space="preserve">applications </w:t>
      </w:r>
      <w:r w:rsidR="0085255E">
        <w:t xml:space="preserve">for </w:t>
      </w:r>
      <w:r w:rsidRPr="00E7015F">
        <w:t>amendment</w:t>
      </w:r>
      <w:r w:rsidR="00310156">
        <w:t xml:space="preserve"> or annotation</w:t>
      </w:r>
      <w:r w:rsidRPr="00E7015F">
        <w:t xml:space="preserve"> to personal information made </w:t>
      </w:r>
      <w:r w:rsidR="00A25037">
        <w:t xml:space="preserve">under the FOI Act </w:t>
      </w:r>
      <w:r w:rsidRPr="00E7015F">
        <w:t xml:space="preserve">to </w:t>
      </w:r>
      <w:r w:rsidR="007A0AF6">
        <w:t xml:space="preserve">ACECQA and </w:t>
      </w:r>
      <w:r w:rsidRPr="00E7015F">
        <w:t xml:space="preserve">each of the </w:t>
      </w:r>
      <w:r>
        <w:t>s</w:t>
      </w:r>
      <w:r w:rsidRPr="00E7015F">
        <w:t xml:space="preserve">tate and </w:t>
      </w:r>
      <w:r>
        <w:t>t</w:t>
      </w:r>
      <w:r w:rsidRPr="00E7015F">
        <w:t xml:space="preserve">erritory Regulatory Authorities for the period 1 July </w:t>
      </w:r>
      <w:r w:rsidR="00C07C78">
        <w:t>2022</w:t>
      </w:r>
      <w:r>
        <w:t xml:space="preserve"> </w:t>
      </w:r>
      <w:r w:rsidR="004B40A3">
        <w:t>to</w:t>
      </w:r>
      <w:r>
        <w:t xml:space="preserve"> </w:t>
      </w:r>
      <w:r w:rsidRPr="00E7015F">
        <w:t xml:space="preserve">30 June </w:t>
      </w:r>
      <w:r w:rsidR="00C07C78">
        <w:t>2023</w:t>
      </w:r>
      <w:r>
        <w:t>.</w:t>
      </w:r>
    </w:p>
    <w:p w14:paraId="7CF89581" w14:textId="77777777" w:rsidR="00602D45" w:rsidRPr="00D96F40" w:rsidRDefault="00602D45" w:rsidP="001B3BE8">
      <w:pPr>
        <w:spacing w:after="0" w:line="240" w:lineRule="auto"/>
        <w:rPr>
          <w:rFonts w:cstheme="minorHAnsi"/>
          <w:sz w:val="20"/>
          <w:szCs w:val="20"/>
        </w:rPr>
      </w:pPr>
    </w:p>
    <w:p w14:paraId="2DD07D58" w14:textId="28008818" w:rsidR="001B3BE8" w:rsidRPr="00B84027" w:rsidRDefault="001B3BE8" w:rsidP="00B84027">
      <w:pPr>
        <w:jc w:val="center"/>
        <w:rPr>
          <w:b/>
          <w:bCs/>
          <w:lang w:val="en-US"/>
        </w:rPr>
      </w:pPr>
      <w:r w:rsidRPr="00B84027">
        <w:rPr>
          <w:b/>
          <w:bCs/>
          <w:lang w:val="en-US"/>
        </w:rPr>
        <w:t xml:space="preserve">Table 1 </w:t>
      </w:r>
      <w:r w:rsidR="009A618D">
        <w:rPr>
          <w:b/>
          <w:bCs/>
          <w:lang w:val="en-US"/>
        </w:rPr>
        <w:t>–</w:t>
      </w:r>
      <w:r w:rsidR="000E2CB9" w:rsidRPr="00B84027">
        <w:rPr>
          <w:b/>
          <w:bCs/>
          <w:lang w:val="en-US"/>
        </w:rPr>
        <w:t xml:space="preserve"> Freedom of Information access requests and outcomes</w:t>
      </w:r>
      <w:r w:rsidRPr="00B84027">
        <w:rPr>
          <w:b/>
          <w:bCs/>
          <w:lang w:val="en-US"/>
        </w:rPr>
        <w:t xml:space="preserve">: 1 July </w:t>
      </w:r>
      <w:r w:rsidR="00DA538B">
        <w:rPr>
          <w:b/>
          <w:bCs/>
          <w:lang w:val="en-US"/>
        </w:rPr>
        <w:t>2022</w:t>
      </w:r>
      <w:r w:rsidRPr="00B84027">
        <w:rPr>
          <w:b/>
          <w:bCs/>
          <w:lang w:val="en-US"/>
        </w:rPr>
        <w:t xml:space="preserve"> </w:t>
      </w:r>
      <w:r w:rsidR="00DA538B">
        <w:rPr>
          <w:b/>
          <w:bCs/>
          <w:lang w:val="en-US"/>
        </w:rPr>
        <w:t>–</w:t>
      </w:r>
      <w:r w:rsidRPr="00B84027">
        <w:rPr>
          <w:b/>
          <w:bCs/>
          <w:lang w:val="en-US"/>
        </w:rPr>
        <w:t xml:space="preserve"> 30 June </w:t>
      </w:r>
      <w:r w:rsidR="00DA538B">
        <w:rPr>
          <w:b/>
          <w:bCs/>
          <w:lang w:val="en-US"/>
        </w:rPr>
        <w:t>2023</w:t>
      </w:r>
    </w:p>
    <w:tbl>
      <w:tblPr>
        <w:tblStyle w:val="GridTable4-Accent1"/>
        <w:tblW w:w="5000" w:type="pct"/>
        <w:tblLayout w:type="fixed"/>
        <w:tblLook w:val="04A0" w:firstRow="1" w:lastRow="0" w:firstColumn="1" w:lastColumn="0" w:noHBand="0" w:noVBand="1"/>
      </w:tblPr>
      <w:tblGrid>
        <w:gridCol w:w="1272"/>
        <w:gridCol w:w="1168"/>
        <w:gridCol w:w="1168"/>
        <w:gridCol w:w="1168"/>
        <w:gridCol w:w="1168"/>
        <w:gridCol w:w="1168"/>
        <w:gridCol w:w="1168"/>
        <w:gridCol w:w="1168"/>
        <w:gridCol w:w="1174"/>
        <w:gridCol w:w="1497"/>
        <w:gridCol w:w="1821"/>
      </w:tblGrid>
      <w:tr w:rsidR="00440346" w:rsidRPr="0082117D" w14:paraId="279CDA46" w14:textId="77777777" w:rsidTr="006A46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vMerge w:val="restar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34321645" w14:textId="1DA7050C" w:rsidR="00440346" w:rsidRPr="00431034" w:rsidRDefault="00440346" w:rsidP="00E33274">
            <w:pPr>
              <w:spacing w:after="80"/>
              <w:rPr>
                <w:rFonts w:cstheme="minorHAnsi"/>
                <w:color w:val="auto"/>
                <w:sz w:val="20"/>
                <w:szCs w:val="20"/>
              </w:rPr>
            </w:pPr>
            <w:r w:rsidRPr="00431034">
              <w:rPr>
                <w:rFonts w:cstheme="minorHAnsi"/>
                <w:color w:val="auto"/>
                <w:sz w:val="20"/>
                <w:szCs w:val="20"/>
              </w:rPr>
              <w:t>Jurisdiction</w:t>
            </w:r>
          </w:p>
        </w:tc>
        <w:tc>
          <w:tcPr>
            <w:tcW w:w="3354" w:type="pct"/>
            <w:gridSpan w:val="8"/>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620DAC3E" w14:textId="35B5A7F9" w:rsidR="00440346" w:rsidRPr="00431034" w:rsidRDefault="00440346" w:rsidP="00E33274">
            <w:pPr>
              <w:spacing w:after="8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431034">
              <w:rPr>
                <w:rFonts w:cstheme="minorHAnsi"/>
                <w:color w:val="auto"/>
                <w:sz w:val="20"/>
                <w:szCs w:val="20"/>
              </w:rPr>
              <w:t>FOI requests</w:t>
            </w:r>
          </w:p>
        </w:tc>
        <w:tc>
          <w:tcPr>
            <w:tcW w:w="537" w:type="pct"/>
            <w:vMerge w:val="restar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0F22D51F" w14:textId="43E0D263" w:rsidR="00440346" w:rsidRPr="00431034" w:rsidRDefault="00440346" w:rsidP="00E33274">
            <w:pPr>
              <w:spacing w:after="8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431034">
              <w:rPr>
                <w:rFonts w:cstheme="minorHAnsi"/>
                <w:color w:val="auto"/>
                <w:sz w:val="20"/>
                <w:szCs w:val="20"/>
              </w:rPr>
              <w:t>No. of internal review applications received</w:t>
            </w:r>
          </w:p>
        </w:tc>
        <w:tc>
          <w:tcPr>
            <w:tcW w:w="653" w:type="pct"/>
            <w:vMerge w:val="restar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4195B711" w14:textId="678B041F" w:rsidR="00440346" w:rsidRPr="00431034" w:rsidRDefault="00440346" w:rsidP="00E33274">
            <w:pPr>
              <w:spacing w:after="8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431034">
              <w:rPr>
                <w:rFonts w:cstheme="minorHAnsi"/>
                <w:color w:val="auto"/>
                <w:sz w:val="20"/>
                <w:szCs w:val="20"/>
              </w:rPr>
              <w:t>No. of applications to amend or annotate personal information received</w:t>
            </w:r>
          </w:p>
        </w:tc>
      </w:tr>
      <w:tr w:rsidR="00440346" w:rsidRPr="0082117D" w14:paraId="1356230B" w14:textId="77777777" w:rsidTr="006A4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vMerge/>
            <w:tcBorders>
              <w:top w:val="single" w:sz="8" w:space="0" w:color="auto"/>
              <w:left w:val="single" w:sz="8" w:space="0" w:color="auto"/>
              <w:bottom w:val="single" w:sz="8" w:space="0" w:color="auto"/>
              <w:right w:val="single" w:sz="8" w:space="0" w:color="auto"/>
            </w:tcBorders>
            <w:shd w:val="clear" w:color="auto" w:fill="4F81BD" w:themeFill="accent1"/>
          </w:tcPr>
          <w:p w14:paraId="32655F07" w14:textId="6C324750" w:rsidR="00440346" w:rsidRPr="0082117D" w:rsidRDefault="00440346" w:rsidP="00E33274">
            <w:pPr>
              <w:spacing w:after="80"/>
              <w:rPr>
                <w:rFonts w:cstheme="minorHAnsi"/>
                <w:sz w:val="20"/>
                <w:szCs w:val="20"/>
              </w:rPr>
            </w:pPr>
          </w:p>
        </w:tc>
        <w:tc>
          <w:tcPr>
            <w:tcW w:w="419" w:type="pct"/>
            <w:tcBorders>
              <w:top w:val="single" w:sz="8" w:space="0" w:color="auto"/>
              <w:left w:val="single" w:sz="8" w:space="0" w:color="auto"/>
              <w:bottom w:val="single" w:sz="8" w:space="0" w:color="auto"/>
              <w:right w:val="single" w:sz="8" w:space="0" w:color="auto"/>
            </w:tcBorders>
          </w:tcPr>
          <w:p w14:paraId="75FB6303" w14:textId="62FB4110" w:rsidR="00440346" w:rsidRPr="0082117D" w:rsidRDefault="00440346" w:rsidP="00E33274">
            <w:pPr>
              <w:spacing w:after="80"/>
              <w:jc w:val="center"/>
              <w:cnfStyle w:val="000000100000" w:firstRow="0" w:lastRow="0" w:firstColumn="0" w:lastColumn="0" w:oddVBand="0" w:evenVBand="0" w:oddHBand="1" w:evenHBand="0" w:firstRowFirstColumn="0" w:firstRowLastColumn="0" w:lastRowFirstColumn="0" w:lastRowLastColumn="0"/>
              <w:rPr>
                <w:rFonts w:cstheme="minorBidi"/>
                <w:sz w:val="20"/>
                <w:szCs w:val="20"/>
              </w:rPr>
            </w:pPr>
            <w:r>
              <w:rPr>
                <w:rFonts w:cstheme="minorBidi"/>
                <w:sz w:val="20"/>
                <w:szCs w:val="20"/>
              </w:rPr>
              <w:t>No. o</w:t>
            </w:r>
            <w:r w:rsidRPr="411602C8">
              <w:rPr>
                <w:rFonts w:cstheme="minorBidi"/>
                <w:sz w:val="20"/>
                <w:szCs w:val="20"/>
              </w:rPr>
              <w:t xml:space="preserve">n hand </w:t>
            </w:r>
            <w:r>
              <w:rPr>
                <w:rFonts w:cstheme="minorBidi"/>
                <w:sz w:val="20"/>
                <w:szCs w:val="20"/>
              </w:rPr>
              <w:t>f</w:t>
            </w:r>
            <w:r w:rsidRPr="411602C8">
              <w:rPr>
                <w:rFonts w:cstheme="minorBidi"/>
                <w:sz w:val="20"/>
                <w:szCs w:val="20"/>
              </w:rPr>
              <w:t>rom 2021–202</w:t>
            </w:r>
            <w:r>
              <w:rPr>
                <w:rFonts w:cstheme="minorBidi"/>
                <w:sz w:val="20"/>
                <w:szCs w:val="20"/>
              </w:rPr>
              <w:t>2</w:t>
            </w:r>
          </w:p>
        </w:tc>
        <w:tc>
          <w:tcPr>
            <w:tcW w:w="419" w:type="pct"/>
            <w:tcBorders>
              <w:top w:val="single" w:sz="8" w:space="0" w:color="auto"/>
              <w:left w:val="single" w:sz="8" w:space="0" w:color="auto"/>
              <w:bottom w:val="single" w:sz="8" w:space="0" w:color="auto"/>
              <w:right w:val="single" w:sz="8" w:space="0" w:color="auto"/>
            </w:tcBorders>
          </w:tcPr>
          <w:p w14:paraId="01C47C31" w14:textId="7B9BB314" w:rsidR="00440346" w:rsidRPr="0082117D" w:rsidRDefault="00440346" w:rsidP="00D62C50">
            <w:pPr>
              <w:spacing w:after="8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2117D">
              <w:rPr>
                <w:rFonts w:cstheme="minorHAnsi"/>
                <w:sz w:val="20"/>
                <w:szCs w:val="20"/>
              </w:rPr>
              <w:t>No.</w:t>
            </w:r>
            <w:r>
              <w:rPr>
                <w:rFonts w:cstheme="minorHAnsi"/>
                <w:sz w:val="20"/>
                <w:szCs w:val="20"/>
              </w:rPr>
              <w:t xml:space="preserve"> </w:t>
            </w:r>
            <w:r w:rsidRPr="0082117D">
              <w:rPr>
                <w:rFonts w:cstheme="minorHAnsi"/>
                <w:sz w:val="20"/>
                <w:szCs w:val="20"/>
              </w:rPr>
              <w:t>received</w:t>
            </w:r>
          </w:p>
        </w:tc>
        <w:tc>
          <w:tcPr>
            <w:tcW w:w="419" w:type="pct"/>
            <w:tcBorders>
              <w:top w:val="single" w:sz="8" w:space="0" w:color="auto"/>
              <w:left w:val="single" w:sz="8" w:space="0" w:color="auto"/>
              <w:bottom w:val="single" w:sz="8" w:space="0" w:color="auto"/>
              <w:right w:val="single" w:sz="8" w:space="0" w:color="auto"/>
            </w:tcBorders>
          </w:tcPr>
          <w:p w14:paraId="621AAD3B" w14:textId="432A9F73" w:rsidR="00440346" w:rsidRPr="0082117D" w:rsidRDefault="00440346" w:rsidP="00D62C50">
            <w:pPr>
              <w:spacing w:after="8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2117D">
              <w:rPr>
                <w:rFonts w:cstheme="minorHAnsi"/>
                <w:sz w:val="20"/>
                <w:szCs w:val="20"/>
              </w:rPr>
              <w:t>No.</w:t>
            </w:r>
            <w:r>
              <w:rPr>
                <w:rFonts w:cstheme="minorHAnsi"/>
                <w:sz w:val="20"/>
                <w:szCs w:val="20"/>
              </w:rPr>
              <w:t xml:space="preserve"> f</w:t>
            </w:r>
            <w:r w:rsidRPr="0082117D">
              <w:rPr>
                <w:rFonts w:cstheme="minorHAnsi"/>
                <w:sz w:val="20"/>
                <w:szCs w:val="20"/>
              </w:rPr>
              <w:t>inalised*</w:t>
            </w:r>
          </w:p>
        </w:tc>
        <w:tc>
          <w:tcPr>
            <w:tcW w:w="419" w:type="pct"/>
            <w:tcBorders>
              <w:top w:val="single" w:sz="8" w:space="0" w:color="auto"/>
              <w:left w:val="single" w:sz="8" w:space="0" w:color="auto"/>
              <w:bottom w:val="single" w:sz="8" w:space="0" w:color="auto"/>
              <w:right w:val="single" w:sz="8" w:space="0" w:color="auto"/>
            </w:tcBorders>
          </w:tcPr>
          <w:p w14:paraId="7B19755A" w14:textId="2EF8AE7B" w:rsidR="00440346" w:rsidRPr="007E510D" w:rsidRDefault="00440346" w:rsidP="007E510D">
            <w:pPr>
              <w:spacing w:after="8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sz w:val="20"/>
                <w:szCs w:val="20"/>
              </w:rPr>
              <w:t>No. a</w:t>
            </w:r>
            <w:r w:rsidRPr="0082117D">
              <w:rPr>
                <w:rFonts w:cstheme="minorHAnsi"/>
                <w:sz w:val="20"/>
                <w:szCs w:val="20"/>
              </w:rPr>
              <w:t>ccess granted</w:t>
            </w:r>
            <w:r>
              <w:rPr>
                <w:rFonts w:cstheme="minorHAnsi"/>
                <w:sz w:val="20"/>
                <w:szCs w:val="20"/>
              </w:rPr>
              <w:t xml:space="preserve"> </w:t>
            </w:r>
            <w:r w:rsidRPr="0082117D">
              <w:rPr>
                <w:rFonts w:cstheme="minorHAnsi"/>
                <w:sz w:val="20"/>
                <w:szCs w:val="20"/>
              </w:rPr>
              <w:t>(full)</w:t>
            </w:r>
          </w:p>
        </w:tc>
        <w:tc>
          <w:tcPr>
            <w:tcW w:w="419" w:type="pct"/>
            <w:tcBorders>
              <w:top w:val="single" w:sz="8" w:space="0" w:color="auto"/>
              <w:left w:val="single" w:sz="8" w:space="0" w:color="auto"/>
              <w:bottom w:val="single" w:sz="8" w:space="0" w:color="auto"/>
              <w:right w:val="single" w:sz="8" w:space="0" w:color="auto"/>
            </w:tcBorders>
          </w:tcPr>
          <w:p w14:paraId="1BE55CB9" w14:textId="106DCFD0" w:rsidR="00440346" w:rsidRPr="0082117D" w:rsidRDefault="00440346" w:rsidP="007E510D">
            <w:pPr>
              <w:spacing w:after="8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No. a</w:t>
            </w:r>
            <w:r w:rsidRPr="0082117D">
              <w:rPr>
                <w:rFonts w:cstheme="minorHAnsi"/>
                <w:sz w:val="20"/>
                <w:szCs w:val="20"/>
              </w:rPr>
              <w:t>ccess granted</w:t>
            </w:r>
            <w:r>
              <w:rPr>
                <w:rFonts w:cstheme="minorHAnsi"/>
                <w:sz w:val="20"/>
                <w:szCs w:val="20"/>
              </w:rPr>
              <w:t xml:space="preserve"> </w:t>
            </w:r>
            <w:r w:rsidRPr="0082117D">
              <w:rPr>
                <w:rFonts w:cstheme="minorHAnsi"/>
                <w:sz w:val="20"/>
                <w:szCs w:val="20"/>
              </w:rPr>
              <w:t>(partial)</w:t>
            </w:r>
          </w:p>
        </w:tc>
        <w:tc>
          <w:tcPr>
            <w:tcW w:w="419" w:type="pct"/>
            <w:tcBorders>
              <w:top w:val="single" w:sz="8" w:space="0" w:color="auto"/>
              <w:left w:val="single" w:sz="8" w:space="0" w:color="auto"/>
              <w:bottom w:val="single" w:sz="8" w:space="0" w:color="auto"/>
              <w:right w:val="single" w:sz="8" w:space="0" w:color="auto"/>
            </w:tcBorders>
          </w:tcPr>
          <w:p w14:paraId="4922E831" w14:textId="374F62E3" w:rsidR="00440346" w:rsidRPr="0082117D" w:rsidRDefault="00440346" w:rsidP="00E33274">
            <w:pPr>
              <w:spacing w:after="8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No. a</w:t>
            </w:r>
            <w:r w:rsidRPr="0082117D">
              <w:rPr>
                <w:rFonts w:cstheme="minorHAnsi"/>
                <w:sz w:val="20"/>
                <w:szCs w:val="20"/>
              </w:rPr>
              <w:t>ccess refused in full</w:t>
            </w:r>
          </w:p>
        </w:tc>
        <w:tc>
          <w:tcPr>
            <w:tcW w:w="419" w:type="pct"/>
            <w:tcBorders>
              <w:top w:val="single" w:sz="8" w:space="0" w:color="auto"/>
              <w:left w:val="single" w:sz="8" w:space="0" w:color="auto"/>
              <w:bottom w:val="single" w:sz="8" w:space="0" w:color="auto"/>
              <w:right w:val="single" w:sz="8" w:space="0" w:color="auto"/>
            </w:tcBorders>
          </w:tcPr>
          <w:p w14:paraId="5B328879" w14:textId="673C691C" w:rsidR="00440346" w:rsidRPr="0082117D" w:rsidRDefault="00440346" w:rsidP="00E33274">
            <w:pPr>
              <w:spacing w:after="8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No. r</w:t>
            </w:r>
            <w:r w:rsidRPr="0082117D">
              <w:rPr>
                <w:rFonts w:cstheme="minorHAnsi"/>
                <w:sz w:val="20"/>
                <w:szCs w:val="20"/>
              </w:rPr>
              <w:t>equests withdrawn</w:t>
            </w:r>
            <w:r>
              <w:rPr>
                <w:rFonts w:cstheme="minorHAnsi"/>
                <w:sz w:val="20"/>
                <w:szCs w:val="20"/>
              </w:rPr>
              <w:t xml:space="preserve"> by applicant</w:t>
            </w:r>
          </w:p>
        </w:tc>
        <w:tc>
          <w:tcPr>
            <w:tcW w:w="421" w:type="pct"/>
            <w:tcBorders>
              <w:top w:val="single" w:sz="8" w:space="0" w:color="auto"/>
              <w:left w:val="single" w:sz="8" w:space="0" w:color="auto"/>
              <w:bottom w:val="single" w:sz="8" w:space="0" w:color="auto"/>
              <w:right w:val="single" w:sz="8" w:space="0" w:color="auto"/>
            </w:tcBorders>
          </w:tcPr>
          <w:p w14:paraId="2D00810D" w14:textId="0F897993" w:rsidR="00440346" w:rsidRPr="0082117D" w:rsidRDefault="00440346" w:rsidP="00E33274">
            <w:pPr>
              <w:spacing w:after="8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Charges c</w:t>
            </w:r>
            <w:r w:rsidRPr="0082117D">
              <w:rPr>
                <w:rFonts w:cstheme="minorHAnsi"/>
                <w:sz w:val="20"/>
                <w:szCs w:val="20"/>
              </w:rPr>
              <w:t>ollected</w:t>
            </w:r>
            <w:r>
              <w:rPr>
                <w:rFonts w:cstheme="minorHAnsi"/>
                <w:sz w:val="20"/>
                <w:szCs w:val="20"/>
              </w:rPr>
              <w:t xml:space="preserve"> </w:t>
            </w:r>
            <w:r w:rsidRPr="0082117D">
              <w:rPr>
                <w:rFonts w:cstheme="minorHAnsi"/>
                <w:sz w:val="20"/>
                <w:szCs w:val="20"/>
              </w:rPr>
              <w:t>$</w:t>
            </w:r>
          </w:p>
        </w:tc>
        <w:tc>
          <w:tcPr>
            <w:tcW w:w="537" w:type="pct"/>
            <w:vMerge/>
            <w:tcBorders>
              <w:top w:val="single" w:sz="8" w:space="0" w:color="auto"/>
              <w:left w:val="single" w:sz="8" w:space="0" w:color="auto"/>
              <w:bottom w:val="single" w:sz="8" w:space="0" w:color="auto"/>
              <w:right w:val="single" w:sz="8" w:space="0" w:color="auto"/>
            </w:tcBorders>
          </w:tcPr>
          <w:p w14:paraId="5B4FD3AA" w14:textId="77777777" w:rsidR="00440346" w:rsidRPr="0082117D" w:rsidRDefault="00440346" w:rsidP="00E33274">
            <w:pPr>
              <w:spacing w:after="8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53" w:type="pct"/>
            <w:vMerge/>
            <w:tcBorders>
              <w:top w:val="single" w:sz="8" w:space="0" w:color="auto"/>
              <w:left w:val="single" w:sz="8" w:space="0" w:color="auto"/>
              <w:bottom w:val="single" w:sz="8" w:space="0" w:color="auto"/>
              <w:right w:val="single" w:sz="8" w:space="0" w:color="auto"/>
            </w:tcBorders>
          </w:tcPr>
          <w:p w14:paraId="07639BA1" w14:textId="26FA950D" w:rsidR="00440346" w:rsidRPr="0082117D" w:rsidRDefault="00440346" w:rsidP="00E33274">
            <w:pPr>
              <w:spacing w:after="8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BE3349" w:rsidRPr="0082117D" w14:paraId="396C3D72" w14:textId="77777777" w:rsidTr="00935CFE">
        <w:trPr>
          <w:trHeight w:val="283"/>
        </w:trPr>
        <w:tc>
          <w:tcPr>
            <w:cnfStyle w:val="001000000000" w:firstRow="0" w:lastRow="0" w:firstColumn="1" w:lastColumn="0" w:oddVBand="0" w:evenVBand="0" w:oddHBand="0" w:evenHBand="0" w:firstRowFirstColumn="0" w:firstRowLastColumn="0" w:lastRowFirstColumn="0" w:lastRowLastColumn="0"/>
            <w:tcW w:w="456" w:type="pct"/>
            <w:tcBorders>
              <w:top w:val="single" w:sz="8" w:space="0" w:color="auto"/>
              <w:left w:val="single" w:sz="4" w:space="0" w:color="auto"/>
            </w:tcBorders>
          </w:tcPr>
          <w:p w14:paraId="6A8B0F45" w14:textId="77777777" w:rsidR="00BE3349" w:rsidRPr="00642090" w:rsidRDefault="00BE3349" w:rsidP="0018008F">
            <w:pPr>
              <w:rPr>
                <w:rFonts w:cstheme="minorHAnsi"/>
                <w:sz w:val="20"/>
                <w:szCs w:val="20"/>
              </w:rPr>
            </w:pPr>
            <w:r w:rsidRPr="00642090">
              <w:rPr>
                <w:rFonts w:cstheme="minorHAnsi"/>
                <w:sz w:val="20"/>
                <w:szCs w:val="20"/>
              </w:rPr>
              <w:t>ACECQA</w:t>
            </w:r>
          </w:p>
        </w:tc>
        <w:tc>
          <w:tcPr>
            <w:tcW w:w="419" w:type="pct"/>
            <w:tcBorders>
              <w:top w:val="single" w:sz="8" w:space="0" w:color="auto"/>
            </w:tcBorders>
          </w:tcPr>
          <w:p w14:paraId="73D5C5B2" w14:textId="77777777" w:rsidR="00BE3349" w:rsidRPr="006866C0"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419" w:type="pct"/>
            <w:tcBorders>
              <w:top w:val="single" w:sz="8" w:space="0" w:color="auto"/>
            </w:tcBorders>
          </w:tcPr>
          <w:p w14:paraId="6B0E32A0" w14:textId="77777777" w:rsidR="00BE3349" w:rsidRPr="006866C0"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1</w:t>
            </w:r>
          </w:p>
        </w:tc>
        <w:tc>
          <w:tcPr>
            <w:tcW w:w="419" w:type="pct"/>
            <w:tcBorders>
              <w:top w:val="single" w:sz="8" w:space="0" w:color="auto"/>
            </w:tcBorders>
          </w:tcPr>
          <w:p w14:paraId="1AB912CC" w14:textId="77777777" w:rsidR="00BE3349" w:rsidRPr="006866C0"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1</w:t>
            </w:r>
          </w:p>
        </w:tc>
        <w:tc>
          <w:tcPr>
            <w:tcW w:w="419" w:type="pct"/>
            <w:tcBorders>
              <w:top w:val="single" w:sz="8" w:space="0" w:color="auto"/>
            </w:tcBorders>
          </w:tcPr>
          <w:p w14:paraId="4912DA86" w14:textId="77777777" w:rsidR="00BE3349" w:rsidRPr="006866C0"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419" w:type="pct"/>
            <w:tcBorders>
              <w:top w:val="single" w:sz="8" w:space="0" w:color="auto"/>
            </w:tcBorders>
          </w:tcPr>
          <w:p w14:paraId="73562C48" w14:textId="77777777" w:rsidR="00BE3349" w:rsidRPr="006866C0"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0</w:t>
            </w:r>
          </w:p>
        </w:tc>
        <w:tc>
          <w:tcPr>
            <w:tcW w:w="419" w:type="pct"/>
            <w:tcBorders>
              <w:top w:val="single" w:sz="8" w:space="0" w:color="auto"/>
            </w:tcBorders>
          </w:tcPr>
          <w:p w14:paraId="4BEDABAF" w14:textId="77777777" w:rsidR="00BE3349" w:rsidRPr="006866C0"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419" w:type="pct"/>
            <w:tcBorders>
              <w:top w:val="single" w:sz="8" w:space="0" w:color="auto"/>
            </w:tcBorders>
          </w:tcPr>
          <w:p w14:paraId="77E03735" w14:textId="77777777" w:rsidR="00BE3349" w:rsidRPr="006866C0"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1</w:t>
            </w:r>
          </w:p>
        </w:tc>
        <w:tc>
          <w:tcPr>
            <w:tcW w:w="421" w:type="pct"/>
            <w:tcBorders>
              <w:top w:val="single" w:sz="8" w:space="0" w:color="auto"/>
            </w:tcBorders>
          </w:tcPr>
          <w:p w14:paraId="2D68D477" w14:textId="77777777" w:rsidR="00BE3349" w:rsidRPr="006866C0"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537" w:type="pct"/>
            <w:tcBorders>
              <w:top w:val="single" w:sz="8" w:space="0" w:color="auto"/>
            </w:tcBorders>
          </w:tcPr>
          <w:p w14:paraId="7AD95936" w14:textId="12AD0A7D" w:rsidR="00BE3349"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653" w:type="pct"/>
            <w:tcBorders>
              <w:top w:val="single" w:sz="8" w:space="0" w:color="auto"/>
              <w:right w:val="single" w:sz="4" w:space="0" w:color="auto"/>
            </w:tcBorders>
          </w:tcPr>
          <w:p w14:paraId="29ABA882" w14:textId="2FC02F0A" w:rsidR="00BE3349" w:rsidRPr="006866C0"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r>
      <w:tr w:rsidR="00BE3349" w:rsidRPr="00B85F14" w14:paraId="08F44135" w14:textId="77777777" w:rsidTr="000A089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6" w:type="pct"/>
            <w:tcBorders>
              <w:left w:val="single" w:sz="4" w:space="0" w:color="auto"/>
            </w:tcBorders>
          </w:tcPr>
          <w:p w14:paraId="087E1D6D" w14:textId="77777777" w:rsidR="00BE3349" w:rsidRPr="00642090" w:rsidRDefault="00BE3349" w:rsidP="0018008F">
            <w:pPr>
              <w:rPr>
                <w:rFonts w:cstheme="minorHAnsi"/>
                <w:sz w:val="20"/>
                <w:szCs w:val="20"/>
              </w:rPr>
            </w:pPr>
            <w:r w:rsidRPr="00642090">
              <w:rPr>
                <w:rFonts w:cstheme="minorHAnsi"/>
                <w:sz w:val="20"/>
                <w:szCs w:val="20"/>
              </w:rPr>
              <w:t>ACT</w:t>
            </w:r>
          </w:p>
        </w:tc>
        <w:tc>
          <w:tcPr>
            <w:tcW w:w="419" w:type="pct"/>
          </w:tcPr>
          <w:p w14:paraId="693B9E5C" w14:textId="77777777" w:rsidR="00BE3349" w:rsidRPr="00B85F14"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w:t>
            </w:r>
          </w:p>
        </w:tc>
        <w:tc>
          <w:tcPr>
            <w:tcW w:w="419" w:type="pct"/>
          </w:tcPr>
          <w:p w14:paraId="2F371F5E" w14:textId="77777777" w:rsidR="00BE3349" w:rsidRPr="00B85F14"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w:t>
            </w:r>
          </w:p>
        </w:tc>
        <w:tc>
          <w:tcPr>
            <w:tcW w:w="419" w:type="pct"/>
          </w:tcPr>
          <w:p w14:paraId="70BB1ADC" w14:textId="77777777" w:rsidR="00BE3349" w:rsidRPr="00B85F14" w:rsidRDefault="00BE3349" w:rsidP="0018008F">
            <w:pPr>
              <w:jc w:val="right"/>
              <w:cnfStyle w:val="000000100000" w:firstRow="0" w:lastRow="0" w:firstColumn="0" w:lastColumn="0" w:oddVBand="0" w:evenVBand="0" w:oddHBand="1" w:evenHBand="0" w:firstRowFirstColumn="0" w:firstRowLastColumn="0" w:lastRowFirstColumn="0" w:lastRowLastColumn="0"/>
              <w:rPr>
                <w:sz w:val="20"/>
                <w:szCs w:val="20"/>
              </w:rPr>
            </w:pPr>
            <w:r w:rsidRPr="5DEDDF53">
              <w:rPr>
                <w:rFonts w:cstheme="minorBidi"/>
                <w:sz w:val="20"/>
                <w:szCs w:val="20"/>
              </w:rPr>
              <w:t>2</w:t>
            </w:r>
          </w:p>
        </w:tc>
        <w:tc>
          <w:tcPr>
            <w:tcW w:w="419" w:type="pct"/>
          </w:tcPr>
          <w:p w14:paraId="55024F39" w14:textId="77777777" w:rsidR="00BE3349" w:rsidRPr="00B85F14" w:rsidRDefault="00BE3349" w:rsidP="0018008F">
            <w:pPr>
              <w:jc w:val="right"/>
              <w:cnfStyle w:val="000000100000" w:firstRow="0" w:lastRow="0" w:firstColumn="0" w:lastColumn="0" w:oddVBand="0" w:evenVBand="0" w:oddHBand="1" w:evenHBand="0" w:firstRowFirstColumn="0" w:firstRowLastColumn="0" w:lastRowFirstColumn="0" w:lastRowLastColumn="0"/>
              <w:rPr>
                <w:sz w:val="20"/>
                <w:szCs w:val="20"/>
              </w:rPr>
            </w:pPr>
            <w:r w:rsidRPr="5DEDDF53">
              <w:rPr>
                <w:rFonts w:cstheme="minorBidi"/>
                <w:sz w:val="20"/>
                <w:szCs w:val="20"/>
              </w:rPr>
              <w:t>0</w:t>
            </w:r>
          </w:p>
        </w:tc>
        <w:tc>
          <w:tcPr>
            <w:tcW w:w="419" w:type="pct"/>
          </w:tcPr>
          <w:p w14:paraId="54A62DB9" w14:textId="77777777" w:rsidR="00BE3349" w:rsidRPr="00B85F14" w:rsidRDefault="00BE3349" w:rsidP="0018008F">
            <w:pPr>
              <w:jc w:val="right"/>
              <w:cnfStyle w:val="000000100000" w:firstRow="0" w:lastRow="0" w:firstColumn="0" w:lastColumn="0" w:oddVBand="0" w:evenVBand="0" w:oddHBand="1" w:evenHBand="0" w:firstRowFirstColumn="0" w:firstRowLastColumn="0" w:lastRowFirstColumn="0" w:lastRowLastColumn="0"/>
              <w:rPr>
                <w:sz w:val="20"/>
                <w:szCs w:val="20"/>
              </w:rPr>
            </w:pPr>
            <w:r w:rsidRPr="5DEDDF53">
              <w:rPr>
                <w:rFonts w:cstheme="minorBidi"/>
                <w:sz w:val="20"/>
                <w:szCs w:val="20"/>
              </w:rPr>
              <w:t>2</w:t>
            </w:r>
          </w:p>
        </w:tc>
        <w:tc>
          <w:tcPr>
            <w:tcW w:w="419" w:type="pct"/>
          </w:tcPr>
          <w:p w14:paraId="06350141" w14:textId="77777777" w:rsidR="00BE3349" w:rsidRPr="00B85F14"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419" w:type="pct"/>
          </w:tcPr>
          <w:p w14:paraId="3A7DD56F" w14:textId="77777777" w:rsidR="00BE3349" w:rsidRPr="00B85F14" w:rsidRDefault="00BE3349" w:rsidP="0018008F">
            <w:pPr>
              <w:jc w:val="right"/>
              <w:cnfStyle w:val="000000100000" w:firstRow="0" w:lastRow="0" w:firstColumn="0" w:lastColumn="0" w:oddVBand="0" w:evenVBand="0" w:oddHBand="1" w:evenHBand="0" w:firstRowFirstColumn="0" w:firstRowLastColumn="0" w:lastRowFirstColumn="0" w:lastRowLastColumn="0"/>
              <w:rPr>
                <w:sz w:val="20"/>
                <w:szCs w:val="20"/>
              </w:rPr>
            </w:pPr>
            <w:r w:rsidRPr="5DEDDF53">
              <w:rPr>
                <w:rFonts w:cstheme="minorBidi"/>
                <w:sz w:val="20"/>
                <w:szCs w:val="20"/>
              </w:rPr>
              <w:t>0</w:t>
            </w:r>
          </w:p>
        </w:tc>
        <w:tc>
          <w:tcPr>
            <w:tcW w:w="421" w:type="pct"/>
          </w:tcPr>
          <w:p w14:paraId="77CFEDEB" w14:textId="77777777" w:rsidR="00BE3349" w:rsidRPr="00B85F14"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537" w:type="pct"/>
          </w:tcPr>
          <w:p w14:paraId="3AC49D55" w14:textId="13782A97" w:rsidR="00BE3349"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245C5">
              <w:rPr>
                <w:rFonts w:cstheme="minorHAnsi"/>
                <w:sz w:val="20"/>
                <w:szCs w:val="20"/>
              </w:rPr>
              <w:t>0</w:t>
            </w:r>
          </w:p>
        </w:tc>
        <w:tc>
          <w:tcPr>
            <w:tcW w:w="653" w:type="pct"/>
            <w:tcBorders>
              <w:right w:val="single" w:sz="4" w:space="0" w:color="auto"/>
            </w:tcBorders>
          </w:tcPr>
          <w:p w14:paraId="7EE742A2" w14:textId="39A6457D" w:rsidR="00BE3349" w:rsidRPr="00B85F14"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r>
      <w:tr w:rsidR="00BE3349" w:rsidRPr="0082117D" w14:paraId="18CCB438" w14:textId="77777777" w:rsidTr="000A089C">
        <w:trPr>
          <w:trHeight w:val="283"/>
        </w:trPr>
        <w:tc>
          <w:tcPr>
            <w:cnfStyle w:val="001000000000" w:firstRow="0" w:lastRow="0" w:firstColumn="1" w:lastColumn="0" w:oddVBand="0" w:evenVBand="0" w:oddHBand="0" w:evenHBand="0" w:firstRowFirstColumn="0" w:firstRowLastColumn="0" w:lastRowFirstColumn="0" w:lastRowLastColumn="0"/>
            <w:tcW w:w="456" w:type="pct"/>
            <w:tcBorders>
              <w:left w:val="single" w:sz="4" w:space="0" w:color="auto"/>
            </w:tcBorders>
          </w:tcPr>
          <w:p w14:paraId="1D764794" w14:textId="77777777" w:rsidR="00BE3349" w:rsidRPr="00642090" w:rsidRDefault="00BE3349" w:rsidP="0018008F">
            <w:pPr>
              <w:rPr>
                <w:rFonts w:cstheme="minorHAnsi"/>
                <w:sz w:val="20"/>
                <w:szCs w:val="20"/>
              </w:rPr>
            </w:pPr>
            <w:r w:rsidRPr="00642090">
              <w:rPr>
                <w:rFonts w:cstheme="minorHAnsi"/>
                <w:sz w:val="20"/>
                <w:szCs w:val="20"/>
              </w:rPr>
              <w:t>NSW</w:t>
            </w:r>
          </w:p>
        </w:tc>
        <w:tc>
          <w:tcPr>
            <w:tcW w:w="419" w:type="pct"/>
          </w:tcPr>
          <w:p w14:paraId="5DA4AA84" w14:textId="77777777" w:rsidR="00BE3349" w:rsidRPr="001C112B"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3</w:t>
            </w:r>
          </w:p>
        </w:tc>
        <w:tc>
          <w:tcPr>
            <w:tcW w:w="419" w:type="pct"/>
          </w:tcPr>
          <w:p w14:paraId="112E7B2C" w14:textId="77777777" w:rsidR="00BE3349" w:rsidRPr="001C112B"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43</w:t>
            </w:r>
          </w:p>
        </w:tc>
        <w:tc>
          <w:tcPr>
            <w:tcW w:w="419" w:type="pct"/>
          </w:tcPr>
          <w:p w14:paraId="3F380C12" w14:textId="77777777" w:rsidR="00BE3349" w:rsidRPr="001C112B"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37</w:t>
            </w:r>
          </w:p>
        </w:tc>
        <w:tc>
          <w:tcPr>
            <w:tcW w:w="419" w:type="pct"/>
          </w:tcPr>
          <w:p w14:paraId="6433D425" w14:textId="77777777" w:rsidR="00BE3349" w:rsidRPr="001C112B"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4</w:t>
            </w:r>
          </w:p>
        </w:tc>
        <w:tc>
          <w:tcPr>
            <w:tcW w:w="419" w:type="pct"/>
          </w:tcPr>
          <w:p w14:paraId="335E85D4" w14:textId="77777777" w:rsidR="00BE3349" w:rsidRPr="001C112B"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23</w:t>
            </w:r>
          </w:p>
        </w:tc>
        <w:tc>
          <w:tcPr>
            <w:tcW w:w="419" w:type="pct"/>
          </w:tcPr>
          <w:p w14:paraId="4C40EF8E" w14:textId="77777777" w:rsidR="00BE3349" w:rsidRPr="001C112B"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3</w:t>
            </w:r>
          </w:p>
        </w:tc>
        <w:tc>
          <w:tcPr>
            <w:tcW w:w="419" w:type="pct"/>
          </w:tcPr>
          <w:p w14:paraId="7232F6BF" w14:textId="77777777" w:rsidR="00BE3349" w:rsidRPr="001C112B"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7</w:t>
            </w:r>
          </w:p>
        </w:tc>
        <w:tc>
          <w:tcPr>
            <w:tcW w:w="421" w:type="pct"/>
          </w:tcPr>
          <w:p w14:paraId="5838BFE2" w14:textId="77777777" w:rsidR="00BE3349" w:rsidRPr="001C112B"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225</w:t>
            </w:r>
          </w:p>
        </w:tc>
        <w:tc>
          <w:tcPr>
            <w:tcW w:w="537" w:type="pct"/>
          </w:tcPr>
          <w:p w14:paraId="0CFFAC0A" w14:textId="040699C8" w:rsidR="00BE3349"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B167F">
              <w:rPr>
                <w:rFonts w:cstheme="minorHAnsi"/>
                <w:color w:val="000000" w:themeColor="text1"/>
                <w:sz w:val="20"/>
                <w:szCs w:val="20"/>
              </w:rPr>
              <w:t>1</w:t>
            </w:r>
          </w:p>
        </w:tc>
        <w:tc>
          <w:tcPr>
            <w:tcW w:w="653" w:type="pct"/>
            <w:tcBorders>
              <w:right w:val="single" w:sz="4" w:space="0" w:color="auto"/>
            </w:tcBorders>
          </w:tcPr>
          <w:p w14:paraId="14263505" w14:textId="1C2D32B9" w:rsidR="00BE3349" w:rsidRPr="001C112B"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r>
      <w:tr w:rsidR="00BE3349" w:rsidRPr="0082117D" w14:paraId="56451E8E" w14:textId="77777777" w:rsidTr="000A089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6" w:type="pct"/>
            <w:tcBorders>
              <w:left w:val="single" w:sz="4" w:space="0" w:color="auto"/>
            </w:tcBorders>
          </w:tcPr>
          <w:p w14:paraId="002A930D" w14:textId="77777777" w:rsidR="00BE3349" w:rsidRPr="00642090" w:rsidRDefault="00BE3349" w:rsidP="0018008F">
            <w:pPr>
              <w:rPr>
                <w:rFonts w:cstheme="minorHAnsi"/>
                <w:sz w:val="20"/>
                <w:szCs w:val="20"/>
              </w:rPr>
            </w:pPr>
            <w:r w:rsidRPr="00642090">
              <w:rPr>
                <w:rFonts w:cstheme="minorHAnsi"/>
                <w:sz w:val="20"/>
                <w:szCs w:val="20"/>
              </w:rPr>
              <w:t>NT</w:t>
            </w:r>
          </w:p>
        </w:tc>
        <w:tc>
          <w:tcPr>
            <w:tcW w:w="419" w:type="pct"/>
          </w:tcPr>
          <w:p w14:paraId="7C5810DE" w14:textId="77777777" w:rsidR="00BE3349" w:rsidRPr="00E030DB"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419" w:type="pct"/>
          </w:tcPr>
          <w:p w14:paraId="598C08DD" w14:textId="77777777" w:rsidR="00BE3349" w:rsidRPr="00E030DB"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419" w:type="pct"/>
          </w:tcPr>
          <w:p w14:paraId="6C3CE405" w14:textId="77777777" w:rsidR="00BE3349" w:rsidRPr="00E030DB"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419" w:type="pct"/>
          </w:tcPr>
          <w:p w14:paraId="77047692" w14:textId="77777777" w:rsidR="00BE3349" w:rsidRPr="00E030DB"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419" w:type="pct"/>
          </w:tcPr>
          <w:p w14:paraId="0145A878" w14:textId="77777777" w:rsidR="00BE3349" w:rsidRPr="00E030DB"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419" w:type="pct"/>
          </w:tcPr>
          <w:p w14:paraId="685CA695" w14:textId="77777777" w:rsidR="00BE3349" w:rsidRPr="00E030DB"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419" w:type="pct"/>
          </w:tcPr>
          <w:p w14:paraId="456F9BAA" w14:textId="77777777" w:rsidR="00BE3349" w:rsidRPr="00E030DB"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0 </w:t>
            </w:r>
          </w:p>
        </w:tc>
        <w:tc>
          <w:tcPr>
            <w:tcW w:w="421" w:type="pct"/>
          </w:tcPr>
          <w:p w14:paraId="72CA367C" w14:textId="77777777" w:rsidR="00BE3349" w:rsidRPr="00E030DB"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537" w:type="pct"/>
          </w:tcPr>
          <w:p w14:paraId="090E80BD" w14:textId="0C46469B" w:rsidR="00BE3349"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653" w:type="pct"/>
            <w:tcBorders>
              <w:right w:val="single" w:sz="4" w:space="0" w:color="auto"/>
            </w:tcBorders>
          </w:tcPr>
          <w:p w14:paraId="52991846" w14:textId="57162ECE" w:rsidR="00BE3349" w:rsidRPr="00E030DB"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r>
      <w:tr w:rsidR="00BE3349" w:rsidRPr="0082117D" w14:paraId="20267B73" w14:textId="77777777" w:rsidTr="000A089C">
        <w:trPr>
          <w:trHeight w:val="283"/>
        </w:trPr>
        <w:tc>
          <w:tcPr>
            <w:cnfStyle w:val="001000000000" w:firstRow="0" w:lastRow="0" w:firstColumn="1" w:lastColumn="0" w:oddVBand="0" w:evenVBand="0" w:oddHBand="0" w:evenHBand="0" w:firstRowFirstColumn="0" w:firstRowLastColumn="0" w:lastRowFirstColumn="0" w:lastRowLastColumn="0"/>
            <w:tcW w:w="456" w:type="pct"/>
            <w:tcBorders>
              <w:left w:val="single" w:sz="4" w:space="0" w:color="auto"/>
            </w:tcBorders>
          </w:tcPr>
          <w:p w14:paraId="34B2015B" w14:textId="77777777" w:rsidR="00BE3349" w:rsidRPr="00642090" w:rsidRDefault="00BE3349" w:rsidP="0018008F">
            <w:pPr>
              <w:rPr>
                <w:rFonts w:cstheme="minorHAnsi"/>
                <w:sz w:val="20"/>
                <w:szCs w:val="20"/>
              </w:rPr>
            </w:pPr>
            <w:r w:rsidRPr="00642090">
              <w:rPr>
                <w:rFonts w:cstheme="minorHAnsi"/>
                <w:sz w:val="20"/>
                <w:szCs w:val="20"/>
              </w:rPr>
              <w:t>QLD</w:t>
            </w:r>
          </w:p>
        </w:tc>
        <w:tc>
          <w:tcPr>
            <w:tcW w:w="419" w:type="pct"/>
          </w:tcPr>
          <w:p w14:paraId="2BEADCBF" w14:textId="77777777" w:rsidR="00BE3349" w:rsidRPr="0008096F" w:rsidRDefault="00BE3349" w:rsidP="0018008F">
            <w:pPr>
              <w:spacing w:after="80"/>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6</w:t>
            </w:r>
          </w:p>
        </w:tc>
        <w:tc>
          <w:tcPr>
            <w:tcW w:w="419" w:type="pct"/>
          </w:tcPr>
          <w:p w14:paraId="6C23594F" w14:textId="77777777" w:rsidR="00BE3349" w:rsidRPr="0008096F" w:rsidRDefault="00BE3349" w:rsidP="0018008F">
            <w:pPr>
              <w:spacing w:after="80"/>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10</w:t>
            </w:r>
          </w:p>
        </w:tc>
        <w:tc>
          <w:tcPr>
            <w:tcW w:w="419" w:type="pct"/>
          </w:tcPr>
          <w:p w14:paraId="2326284F" w14:textId="77777777" w:rsidR="00BE3349" w:rsidRPr="0008096F"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14</w:t>
            </w:r>
          </w:p>
        </w:tc>
        <w:tc>
          <w:tcPr>
            <w:tcW w:w="419" w:type="pct"/>
          </w:tcPr>
          <w:p w14:paraId="09E514E0" w14:textId="77777777" w:rsidR="00BE3349" w:rsidRPr="0008096F"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1</w:t>
            </w:r>
          </w:p>
        </w:tc>
        <w:tc>
          <w:tcPr>
            <w:tcW w:w="419" w:type="pct"/>
          </w:tcPr>
          <w:p w14:paraId="345E955D" w14:textId="77777777" w:rsidR="00BE3349" w:rsidRPr="0008096F"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10</w:t>
            </w:r>
          </w:p>
        </w:tc>
        <w:tc>
          <w:tcPr>
            <w:tcW w:w="419" w:type="pct"/>
          </w:tcPr>
          <w:p w14:paraId="2B94EF45" w14:textId="77777777" w:rsidR="00BE3349" w:rsidRPr="0008096F"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419" w:type="pct"/>
          </w:tcPr>
          <w:p w14:paraId="0BAC05C8" w14:textId="77777777" w:rsidR="00BE3349" w:rsidRPr="0008096F"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 xml:space="preserve"> 2   </w:t>
            </w:r>
          </w:p>
        </w:tc>
        <w:tc>
          <w:tcPr>
            <w:tcW w:w="421" w:type="pct"/>
          </w:tcPr>
          <w:p w14:paraId="5E426433" w14:textId="4804DD92" w:rsidR="00BE3349" w:rsidRPr="0008096F"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67.92</w:t>
            </w:r>
          </w:p>
        </w:tc>
        <w:tc>
          <w:tcPr>
            <w:tcW w:w="537" w:type="pct"/>
          </w:tcPr>
          <w:p w14:paraId="752F04DC" w14:textId="7F0F5D94" w:rsidR="00BE3349"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653" w:type="pct"/>
            <w:tcBorders>
              <w:right w:val="single" w:sz="4" w:space="0" w:color="auto"/>
            </w:tcBorders>
          </w:tcPr>
          <w:p w14:paraId="340ADF54" w14:textId="395B0DD9" w:rsidR="00BE3349" w:rsidRPr="0008096F"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r>
      <w:tr w:rsidR="00BE3349" w:rsidRPr="0082117D" w14:paraId="113BEE3C" w14:textId="77777777" w:rsidTr="000A089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6" w:type="pct"/>
            <w:tcBorders>
              <w:left w:val="single" w:sz="4" w:space="0" w:color="auto"/>
            </w:tcBorders>
          </w:tcPr>
          <w:p w14:paraId="7F5AADC2" w14:textId="77777777" w:rsidR="00BE3349" w:rsidRPr="00642090" w:rsidRDefault="00BE3349" w:rsidP="0018008F">
            <w:pPr>
              <w:spacing w:after="80"/>
              <w:rPr>
                <w:rFonts w:cstheme="minorHAnsi"/>
                <w:sz w:val="20"/>
                <w:szCs w:val="20"/>
              </w:rPr>
            </w:pPr>
            <w:r w:rsidRPr="00642090">
              <w:rPr>
                <w:rFonts w:cstheme="minorHAnsi"/>
                <w:sz w:val="20"/>
                <w:szCs w:val="20"/>
              </w:rPr>
              <w:t>SA</w:t>
            </w:r>
          </w:p>
        </w:tc>
        <w:tc>
          <w:tcPr>
            <w:tcW w:w="419" w:type="pct"/>
          </w:tcPr>
          <w:p w14:paraId="54C8FA84" w14:textId="77777777" w:rsidR="00BE3349" w:rsidRPr="00FC34E9"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419" w:type="pct"/>
          </w:tcPr>
          <w:p w14:paraId="3D3F6A5A" w14:textId="77777777" w:rsidR="00BE3349" w:rsidRPr="00FC34E9" w:rsidRDefault="00BE3349" w:rsidP="0018008F">
            <w:pPr>
              <w:jc w:val="right"/>
              <w:cnfStyle w:val="000000100000" w:firstRow="0" w:lastRow="0" w:firstColumn="0" w:lastColumn="0" w:oddVBand="0" w:evenVBand="0" w:oddHBand="1" w:evenHBand="0" w:firstRowFirstColumn="0" w:firstRowLastColumn="0" w:lastRowFirstColumn="0" w:lastRowLastColumn="0"/>
              <w:rPr>
                <w:sz w:val="20"/>
                <w:szCs w:val="20"/>
              </w:rPr>
            </w:pPr>
            <w:r w:rsidRPr="5DEDDF53">
              <w:rPr>
                <w:rFonts w:cstheme="minorBidi"/>
                <w:sz w:val="20"/>
                <w:szCs w:val="20"/>
              </w:rPr>
              <w:t>3</w:t>
            </w:r>
          </w:p>
        </w:tc>
        <w:tc>
          <w:tcPr>
            <w:tcW w:w="419" w:type="pct"/>
          </w:tcPr>
          <w:p w14:paraId="44DFD4B7" w14:textId="77777777" w:rsidR="00BE3349" w:rsidRPr="00FC34E9" w:rsidRDefault="00BE3349" w:rsidP="0018008F">
            <w:pPr>
              <w:jc w:val="right"/>
              <w:cnfStyle w:val="000000100000" w:firstRow="0" w:lastRow="0" w:firstColumn="0" w:lastColumn="0" w:oddVBand="0" w:evenVBand="0" w:oddHBand="1" w:evenHBand="0" w:firstRowFirstColumn="0" w:firstRowLastColumn="0" w:lastRowFirstColumn="0" w:lastRowLastColumn="0"/>
              <w:rPr>
                <w:sz w:val="20"/>
                <w:szCs w:val="20"/>
              </w:rPr>
            </w:pPr>
            <w:r w:rsidRPr="5DEDDF53">
              <w:rPr>
                <w:rFonts w:cstheme="minorBidi"/>
                <w:sz w:val="20"/>
                <w:szCs w:val="20"/>
              </w:rPr>
              <w:t>2</w:t>
            </w:r>
          </w:p>
        </w:tc>
        <w:tc>
          <w:tcPr>
            <w:tcW w:w="419" w:type="pct"/>
          </w:tcPr>
          <w:p w14:paraId="59F03809" w14:textId="77777777" w:rsidR="00BE3349" w:rsidRPr="00FC34E9"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419" w:type="pct"/>
          </w:tcPr>
          <w:p w14:paraId="6FA29D04" w14:textId="77777777" w:rsidR="00BE3349" w:rsidRPr="00FC34E9" w:rsidRDefault="00BE3349" w:rsidP="0018008F">
            <w:pPr>
              <w:jc w:val="right"/>
              <w:cnfStyle w:val="000000100000" w:firstRow="0" w:lastRow="0" w:firstColumn="0" w:lastColumn="0" w:oddVBand="0" w:evenVBand="0" w:oddHBand="1" w:evenHBand="0" w:firstRowFirstColumn="0" w:firstRowLastColumn="0" w:lastRowFirstColumn="0" w:lastRowLastColumn="0"/>
              <w:rPr>
                <w:sz w:val="20"/>
                <w:szCs w:val="20"/>
              </w:rPr>
            </w:pPr>
            <w:r w:rsidRPr="5DEDDF53">
              <w:rPr>
                <w:rFonts w:cstheme="minorBidi"/>
                <w:sz w:val="20"/>
                <w:szCs w:val="20"/>
              </w:rPr>
              <w:t>2</w:t>
            </w:r>
          </w:p>
        </w:tc>
        <w:tc>
          <w:tcPr>
            <w:tcW w:w="419" w:type="pct"/>
          </w:tcPr>
          <w:p w14:paraId="4C6E83EF" w14:textId="77777777" w:rsidR="00BE3349" w:rsidRPr="00FC34E9"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419" w:type="pct"/>
          </w:tcPr>
          <w:p w14:paraId="46C84DCD" w14:textId="77777777" w:rsidR="00BE3349" w:rsidRPr="00FC34E9"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421" w:type="pct"/>
          </w:tcPr>
          <w:p w14:paraId="58CC14C4" w14:textId="77777777" w:rsidR="00BE3349" w:rsidRPr="00FC34E9"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537" w:type="pct"/>
          </w:tcPr>
          <w:p w14:paraId="18601666" w14:textId="0B85FC97" w:rsidR="00BE3349"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653" w:type="pct"/>
            <w:tcBorders>
              <w:right w:val="single" w:sz="4" w:space="0" w:color="auto"/>
            </w:tcBorders>
          </w:tcPr>
          <w:p w14:paraId="28459A44" w14:textId="418B4EF0" w:rsidR="00BE3349" w:rsidRPr="00FC34E9"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r>
      <w:tr w:rsidR="00BE3349" w:rsidRPr="0082117D" w14:paraId="00FD2177" w14:textId="77777777" w:rsidTr="000A089C">
        <w:trPr>
          <w:trHeight w:val="283"/>
        </w:trPr>
        <w:tc>
          <w:tcPr>
            <w:cnfStyle w:val="001000000000" w:firstRow="0" w:lastRow="0" w:firstColumn="1" w:lastColumn="0" w:oddVBand="0" w:evenVBand="0" w:oddHBand="0" w:evenHBand="0" w:firstRowFirstColumn="0" w:firstRowLastColumn="0" w:lastRowFirstColumn="0" w:lastRowLastColumn="0"/>
            <w:tcW w:w="456" w:type="pct"/>
            <w:tcBorders>
              <w:left w:val="single" w:sz="4" w:space="0" w:color="auto"/>
            </w:tcBorders>
          </w:tcPr>
          <w:p w14:paraId="432F2ADF" w14:textId="77777777" w:rsidR="00BE3349" w:rsidRPr="00642090" w:rsidRDefault="00BE3349" w:rsidP="0018008F">
            <w:pPr>
              <w:spacing w:after="80"/>
              <w:rPr>
                <w:rFonts w:cstheme="minorHAnsi"/>
                <w:sz w:val="20"/>
                <w:szCs w:val="20"/>
              </w:rPr>
            </w:pPr>
            <w:r w:rsidRPr="00642090">
              <w:rPr>
                <w:rFonts w:cstheme="minorHAnsi"/>
                <w:sz w:val="20"/>
                <w:szCs w:val="20"/>
              </w:rPr>
              <w:t>TAS</w:t>
            </w:r>
          </w:p>
        </w:tc>
        <w:tc>
          <w:tcPr>
            <w:tcW w:w="419" w:type="pct"/>
          </w:tcPr>
          <w:p w14:paraId="038C73E6" w14:textId="77777777" w:rsidR="00BE3349" w:rsidRPr="00A81DEC"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419" w:type="pct"/>
          </w:tcPr>
          <w:p w14:paraId="3E46EB96" w14:textId="77777777" w:rsidR="00BE3349" w:rsidRPr="00A81DEC"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1</w:t>
            </w:r>
          </w:p>
        </w:tc>
        <w:tc>
          <w:tcPr>
            <w:tcW w:w="419" w:type="pct"/>
          </w:tcPr>
          <w:p w14:paraId="41C8B9B3" w14:textId="77777777" w:rsidR="00BE3349" w:rsidRPr="00A81DEC"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1</w:t>
            </w:r>
          </w:p>
        </w:tc>
        <w:tc>
          <w:tcPr>
            <w:tcW w:w="419" w:type="pct"/>
          </w:tcPr>
          <w:p w14:paraId="4C88EA8F" w14:textId="77777777" w:rsidR="00BE3349" w:rsidRPr="00A81DEC" w:rsidRDefault="00BE3349" w:rsidP="0018008F">
            <w:pPr>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1</w:t>
            </w:r>
          </w:p>
        </w:tc>
        <w:tc>
          <w:tcPr>
            <w:tcW w:w="419" w:type="pct"/>
          </w:tcPr>
          <w:p w14:paraId="3B9B4452" w14:textId="77777777" w:rsidR="00BE3349" w:rsidRPr="00A81DEC"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419" w:type="pct"/>
          </w:tcPr>
          <w:p w14:paraId="4E98C57F" w14:textId="77777777" w:rsidR="00BE3349" w:rsidRPr="00A81DEC"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419" w:type="pct"/>
          </w:tcPr>
          <w:p w14:paraId="55DD6C75" w14:textId="77777777" w:rsidR="00BE3349" w:rsidRPr="00A81DEC"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421" w:type="pct"/>
          </w:tcPr>
          <w:p w14:paraId="627288D7" w14:textId="77777777" w:rsidR="00BE3349" w:rsidRPr="00A81DEC"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537" w:type="pct"/>
          </w:tcPr>
          <w:p w14:paraId="77F166BE" w14:textId="2E37F038" w:rsidR="00BE3349"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653" w:type="pct"/>
            <w:tcBorders>
              <w:right w:val="single" w:sz="4" w:space="0" w:color="auto"/>
            </w:tcBorders>
          </w:tcPr>
          <w:p w14:paraId="5EF891C5" w14:textId="4F93E628" w:rsidR="00BE3349" w:rsidRPr="00A81DEC" w:rsidRDefault="00BE3349" w:rsidP="0018008F">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r>
      <w:tr w:rsidR="00BE3349" w:rsidRPr="0082117D" w14:paraId="74DCD0FC" w14:textId="77777777" w:rsidTr="000A089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6" w:type="pct"/>
            <w:tcBorders>
              <w:left w:val="single" w:sz="4" w:space="0" w:color="auto"/>
            </w:tcBorders>
          </w:tcPr>
          <w:p w14:paraId="09F97F1E" w14:textId="77777777" w:rsidR="00BE3349" w:rsidRPr="0082117D" w:rsidRDefault="00BE3349" w:rsidP="0018008F">
            <w:pPr>
              <w:rPr>
                <w:rFonts w:cstheme="minorHAnsi"/>
                <w:sz w:val="20"/>
                <w:szCs w:val="20"/>
              </w:rPr>
            </w:pPr>
            <w:r w:rsidRPr="00064D11">
              <w:rPr>
                <w:rFonts w:cstheme="minorHAnsi"/>
                <w:sz w:val="20"/>
                <w:szCs w:val="20"/>
              </w:rPr>
              <w:t xml:space="preserve">VIC </w:t>
            </w:r>
          </w:p>
        </w:tc>
        <w:tc>
          <w:tcPr>
            <w:tcW w:w="419" w:type="pct"/>
          </w:tcPr>
          <w:p w14:paraId="438E4DCF" w14:textId="77777777" w:rsidR="00BE3349" w:rsidRPr="0082117D" w:rsidRDefault="00BE3349" w:rsidP="0018008F">
            <w:pPr>
              <w:jc w:val="right"/>
              <w:cnfStyle w:val="000000100000" w:firstRow="0" w:lastRow="0" w:firstColumn="0" w:lastColumn="0" w:oddVBand="0" w:evenVBand="0" w:oddHBand="1" w:evenHBand="0" w:firstRowFirstColumn="0" w:firstRowLastColumn="0" w:lastRowFirstColumn="0" w:lastRowLastColumn="0"/>
              <w:rPr>
                <w:sz w:val="20"/>
                <w:szCs w:val="20"/>
              </w:rPr>
            </w:pPr>
            <w:r w:rsidRPr="5DEDDF53">
              <w:rPr>
                <w:rFonts w:cstheme="minorBidi"/>
                <w:sz w:val="20"/>
                <w:szCs w:val="20"/>
              </w:rPr>
              <w:t>2</w:t>
            </w:r>
          </w:p>
        </w:tc>
        <w:tc>
          <w:tcPr>
            <w:tcW w:w="419" w:type="pct"/>
          </w:tcPr>
          <w:p w14:paraId="454BCE1C" w14:textId="77777777" w:rsidR="00BE3349" w:rsidRPr="0082117D" w:rsidRDefault="00BE3349" w:rsidP="0018008F">
            <w:pPr>
              <w:jc w:val="right"/>
              <w:cnfStyle w:val="000000100000" w:firstRow="0" w:lastRow="0" w:firstColumn="0" w:lastColumn="0" w:oddVBand="0" w:evenVBand="0" w:oddHBand="1" w:evenHBand="0" w:firstRowFirstColumn="0" w:firstRowLastColumn="0" w:lastRowFirstColumn="0" w:lastRowLastColumn="0"/>
              <w:rPr>
                <w:sz w:val="20"/>
                <w:szCs w:val="20"/>
              </w:rPr>
            </w:pPr>
            <w:r w:rsidRPr="5DEDDF53">
              <w:rPr>
                <w:rFonts w:cstheme="minorBidi"/>
                <w:sz w:val="20"/>
                <w:szCs w:val="20"/>
              </w:rPr>
              <w:t>8</w:t>
            </w:r>
          </w:p>
        </w:tc>
        <w:tc>
          <w:tcPr>
            <w:tcW w:w="419" w:type="pct"/>
          </w:tcPr>
          <w:p w14:paraId="082EEA7B" w14:textId="77777777" w:rsidR="00BE3349" w:rsidRPr="0082117D" w:rsidRDefault="00BE3349" w:rsidP="0018008F">
            <w:pPr>
              <w:jc w:val="right"/>
              <w:cnfStyle w:val="000000100000" w:firstRow="0" w:lastRow="0" w:firstColumn="0" w:lastColumn="0" w:oddVBand="0" w:evenVBand="0" w:oddHBand="1" w:evenHBand="0" w:firstRowFirstColumn="0" w:firstRowLastColumn="0" w:lastRowFirstColumn="0" w:lastRowLastColumn="0"/>
              <w:rPr>
                <w:sz w:val="20"/>
                <w:szCs w:val="20"/>
              </w:rPr>
            </w:pPr>
            <w:r w:rsidRPr="5DEDDF53">
              <w:rPr>
                <w:rFonts w:cstheme="minorBidi"/>
                <w:sz w:val="20"/>
                <w:szCs w:val="20"/>
              </w:rPr>
              <w:t xml:space="preserve">10                               </w:t>
            </w:r>
          </w:p>
        </w:tc>
        <w:tc>
          <w:tcPr>
            <w:tcW w:w="419" w:type="pct"/>
          </w:tcPr>
          <w:p w14:paraId="0AE63027" w14:textId="77777777" w:rsidR="00BE3349" w:rsidRPr="0082117D" w:rsidRDefault="00BE3349" w:rsidP="0018008F">
            <w:pPr>
              <w:jc w:val="right"/>
              <w:cnfStyle w:val="000000100000" w:firstRow="0" w:lastRow="0" w:firstColumn="0" w:lastColumn="0" w:oddVBand="0" w:evenVBand="0" w:oddHBand="1" w:evenHBand="0" w:firstRowFirstColumn="0" w:firstRowLastColumn="0" w:lastRowFirstColumn="0" w:lastRowLastColumn="0"/>
              <w:rPr>
                <w:sz w:val="20"/>
                <w:szCs w:val="20"/>
              </w:rPr>
            </w:pPr>
            <w:r w:rsidRPr="5DEDDF53">
              <w:rPr>
                <w:rFonts w:cstheme="minorBidi"/>
                <w:sz w:val="20"/>
                <w:szCs w:val="20"/>
              </w:rPr>
              <w:t>2</w:t>
            </w:r>
          </w:p>
        </w:tc>
        <w:tc>
          <w:tcPr>
            <w:tcW w:w="419" w:type="pct"/>
          </w:tcPr>
          <w:p w14:paraId="3BD1F5E0" w14:textId="77777777" w:rsidR="00BE3349" w:rsidRPr="0082117D" w:rsidRDefault="00BE3349" w:rsidP="0018008F">
            <w:pPr>
              <w:jc w:val="right"/>
              <w:cnfStyle w:val="000000100000" w:firstRow="0" w:lastRow="0" w:firstColumn="0" w:lastColumn="0" w:oddVBand="0" w:evenVBand="0" w:oddHBand="1" w:evenHBand="0" w:firstRowFirstColumn="0" w:firstRowLastColumn="0" w:lastRowFirstColumn="0" w:lastRowLastColumn="0"/>
              <w:rPr>
                <w:sz w:val="20"/>
                <w:szCs w:val="20"/>
              </w:rPr>
            </w:pPr>
            <w:r w:rsidRPr="5DEDDF53">
              <w:rPr>
                <w:rFonts w:cstheme="minorBidi"/>
                <w:sz w:val="20"/>
                <w:szCs w:val="20"/>
              </w:rPr>
              <w:t>6</w:t>
            </w:r>
          </w:p>
        </w:tc>
        <w:tc>
          <w:tcPr>
            <w:tcW w:w="419" w:type="pct"/>
          </w:tcPr>
          <w:p w14:paraId="00D26493" w14:textId="77777777" w:rsidR="00BE3349" w:rsidRPr="0082117D"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w:t>
            </w:r>
          </w:p>
        </w:tc>
        <w:tc>
          <w:tcPr>
            <w:tcW w:w="419" w:type="pct"/>
          </w:tcPr>
          <w:p w14:paraId="226918D8" w14:textId="77777777" w:rsidR="00BE3349" w:rsidRPr="0082117D"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w:t>
            </w:r>
          </w:p>
        </w:tc>
        <w:tc>
          <w:tcPr>
            <w:tcW w:w="421" w:type="pct"/>
          </w:tcPr>
          <w:p w14:paraId="1DAC351D" w14:textId="77777777" w:rsidR="00BE3349" w:rsidRPr="0082117D"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537" w:type="pct"/>
          </w:tcPr>
          <w:p w14:paraId="1F63D0FF" w14:textId="33075323" w:rsidR="00BE3349"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5DEDDF53">
              <w:rPr>
                <w:rFonts w:cstheme="minorBidi"/>
                <w:sz w:val="20"/>
                <w:szCs w:val="20"/>
              </w:rPr>
              <w:t>1</w:t>
            </w:r>
          </w:p>
        </w:tc>
        <w:tc>
          <w:tcPr>
            <w:tcW w:w="653" w:type="pct"/>
            <w:tcBorders>
              <w:right w:val="single" w:sz="4" w:space="0" w:color="auto"/>
            </w:tcBorders>
          </w:tcPr>
          <w:p w14:paraId="727E5DAE" w14:textId="2AABE458" w:rsidR="00BE3349" w:rsidRPr="0082117D" w:rsidRDefault="00BE3349" w:rsidP="0018008F">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r>
      <w:tr w:rsidR="00BE3349" w:rsidRPr="0082117D" w14:paraId="35371273" w14:textId="77777777" w:rsidTr="005B234F">
        <w:trPr>
          <w:trHeight w:val="283"/>
        </w:trPr>
        <w:tc>
          <w:tcPr>
            <w:cnfStyle w:val="001000000000" w:firstRow="0" w:lastRow="0" w:firstColumn="1" w:lastColumn="0" w:oddVBand="0" w:evenVBand="0" w:oddHBand="0" w:evenHBand="0" w:firstRowFirstColumn="0" w:firstRowLastColumn="0" w:lastRowFirstColumn="0" w:lastRowLastColumn="0"/>
            <w:tcW w:w="456" w:type="pct"/>
            <w:tcBorders>
              <w:left w:val="single" w:sz="4" w:space="0" w:color="auto"/>
              <w:bottom w:val="single" w:sz="4" w:space="0" w:color="95B3D7" w:themeColor="accent1" w:themeTint="99"/>
            </w:tcBorders>
          </w:tcPr>
          <w:p w14:paraId="564A4403" w14:textId="77777777" w:rsidR="00BE3349" w:rsidRPr="00642090" w:rsidRDefault="00BE3349" w:rsidP="0018008F">
            <w:pPr>
              <w:spacing w:after="80"/>
              <w:rPr>
                <w:rFonts w:cstheme="minorHAnsi"/>
                <w:color w:val="000000" w:themeColor="text1"/>
                <w:sz w:val="20"/>
                <w:szCs w:val="20"/>
              </w:rPr>
            </w:pPr>
            <w:r w:rsidRPr="00642090">
              <w:rPr>
                <w:rFonts w:cstheme="minorHAnsi"/>
                <w:color w:val="000000" w:themeColor="text1"/>
                <w:sz w:val="20"/>
                <w:szCs w:val="20"/>
              </w:rPr>
              <w:t>WA</w:t>
            </w:r>
          </w:p>
        </w:tc>
        <w:tc>
          <w:tcPr>
            <w:tcW w:w="419" w:type="pct"/>
            <w:tcBorders>
              <w:bottom w:val="single" w:sz="4" w:space="0" w:color="95B3D7" w:themeColor="accent1" w:themeTint="99"/>
            </w:tcBorders>
          </w:tcPr>
          <w:p w14:paraId="7A2019A7" w14:textId="77777777" w:rsidR="00BE3349" w:rsidRPr="00642090" w:rsidRDefault="00BE3349" w:rsidP="0018008F">
            <w:pPr>
              <w:spacing w:after="80"/>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5DEDDF53">
              <w:rPr>
                <w:rFonts w:cstheme="minorBidi"/>
                <w:color w:val="000000" w:themeColor="text1"/>
                <w:sz w:val="20"/>
                <w:szCs w:val="20"/>
              </w:rPr>
              <w:t>1</w:t>
            </w:r>
          </w:p>
        </w:tc>
        <w:tc>
          <w:tcPr>
            <w:tcW w:w="419" w:type="pct"/>
            <w:tcBorders>
              <w:bottom w:val="single" w:sz="4" w:space="0" w:color="95B3D7" w:themeColor="accent1" w:themeTint="99"/>
            </w:tcBorders>
          </w:tcPr>
          <w:p w14:paraId="3C851175" w14:textId="77777777" w:rsidR="00BE3349" w:rsidRPr="00A81DEC" w:rsidRDefault="00BE3349" w:rsidP="0018008F">
            <w:pPr>
              <w:spacing w:after="80"/>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4</w:t>
            </w:r>
          </w:p>
        </w:tc>
        <w:tc>
          <w:tcPr>
            <w:tcW w:w="419" w:type="pct"/>
            <w:tcBorders>
              <w:bottom w:val="single" w:sz="4" w:space="0" w:color="95B3D7" w:themeColor="accent1" w:themeTint="99"/>
            </w:tcBorders>
          </w:tcPr>
          <w:p w14:paraId="57FB7DA9" w14:textId="77777777" w:rsidR="00BE3349" w:rsidRPr="00A81DEC" w:rsidRDefault="00BE3349" w:rsidP="0018008F">
            <w:pPr>
              <w:spacing w:after="80"/>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5</w:t>
            </w:r>
          </w:p>
        </w:tc>
        <w:tc>
          <w:tcPr>
            <w:tcW w:w="419" w:type="pct"/>
            <w:tcBorders>
              <w:bottom w:val="single" w:sz="4" w:space="0" w:color="95B3D7" w:themeColor="accent1" w:themeTint="99"/>
            </w:tcBorders>
          </w:tcPr>
          <w:p w14:paraId="66109329" w14:textId="77777777" w:rsidR="00BE3349" w:rsidRPr="00A81DEC" w:rsidRDefault="00BE3349" w:rsidP="0018008F">
            <w:pPr>
              <w:spacing w:after="80"/>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419" w:type="pct"/>
            <w:tcBorders>
              <w:bottom w:val="single" w:sz="4" w:space="0" w:color="95B3D7" w:themeColor="accent1" w:themeTint="99"/>
            </w:tcBorders>
          </w:tcPr>
          <w:p w14:paraId="24EA72C6" w14:textId="77777777" w:rsidR="00BE3349" w:rsidRPr="00A81DEC" w:rsidRDefault="00BE3349" w:rsidP="0018008F">
            <w:pPr>
              <w:spacing w:after="80"/>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5</w:t>
            </w:r>
          </w:p>
        </w:tc>
        <w:tc>
          <w:tcPr>
            <w:tcW w:w="419" w:type="pct"/>
            <w:tcBorders>
              <w:bottom w:val="single" w:sz="4" w:space="0" w:color="95B3D7" w:themeColor="accent1" w:themeTint="99"/>
            </w:tcBorders>
          </w:tcPr>
          <w:p w14:paraId="5141D877" w14:textId="77777777" w:rsidR="00BE3349" w:rsidRPr="00A81DEC" w:rsidRDefault="00BE3349" w:rsidP="0018008F">
            <w:pPr>
              <w:spacing w:after="80"/>
              <w:jc w:val="right"/>
              <w:cnfStyle w:val="000000000000" w:firstRow="0" w:lastRow="0" w:firstColumn="0" w:lastColumn="0" w:oddVBand="0" w:evenVBand="0" w:oddHBand="0" w:evenHBand="0" w:firstRowFirstColumn="0" w:firstRowLastColumn="0" w:lastRowFirstColumn="0" w:lastRowLastColumn="0"/>
              <w:rPr>
                <w:sz w:val="20"/>
                <w:szCs w:val="20"/>
              </w:rPr>
            </w:pPr>
            <w:r w:rsidRPr="5DEDDF53">
              <w:rPr>
                <w:rFonts w:cstheme="minorBidi"/>
                <w:sz w:val="20"/>
                <w:szCs w:val="20"/>
              </w:rPr>
              <w:t>0</w:t>
            </w:r>
          </w:p>
        </w:tc>
        <w:tc>
          <w:tcPr>
            <w:tcW w:w="419" w:type="pct"/>
            <w:tcBorders>
              <w:bottom w:val="single" w:sz="4" w:space="0" w:color="95B3D7" w:themeColor="accent1" w:themeTint="99"/>
            </w:tcBorders>
          </w:tcPr>
          <w:p w14:paraId="661A3275" w14:textId="77777777" w:rsidR="00BE3349" w:rsidRPr="00A81DEC" w:rsidRDefault="00BE3349" w:rsidP="0018008F">
            <w:pPr>
              <w:spacing w:after="80"/>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421" w:type="pct"/>
            <w:tcBorders>
              <w:bottom w:val="single" w:sz="4" w:space="0" w:color="95B3D7" w:themeColor="accent1" w:themeTint="99"/>
            </w:tcBorders>
          </w:tcPr>
          <w:p w14:paraId="445BADC6" w14:textId="77777777" w:rsidR="00BE3349" w:rsidRPr="00A81DEC" w:rsidRDefault="00BE3349" w:rsidP="0018008F">
            <w:pPr>
              <w:spacing w:after="80"/>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c>
          <w:tcPr>
            <w:tcW w:w="537" w:type="pct"/>
            <w:tcBorders>
              <w:bottom w:val="single" w:sz="4" w:space="0" w:color="95B3D7" w:themeColor="accent1" w:themeTint="99"/>
            </w:tcBorders>
          </w:tcPr>
          <w:p w14:paraId="0B0AD199" w14:textId="3B0D216F" w:rsidR="00BE3349" w:rsidRDefault="00BE3349" w:rsidP="0018008F">
            <w:pPr>
              <w:spacing w:after="80"/>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5DEDDF53">
              <w:rPr>
                <w:rFonts w:cstheme="minorBidi"/>
                <w:sz w:val="20"/>
                <w:szCs w:val="20"/>
              </w:rPr>
              <w:t>0</w:t>
            </w:r>
          </w:p>
        </w:tc>
        <w:tc>
          <w:tcPr>
            <w:tcW w:w="653" w:type="pct"/>
            <w:tcBorders>
              <w:bottom w:val="single" w:sz="4" w:space="0" w:color="95B3D7" w:themeColor="accent1" w:themeTint="99"/>
              <w:right w:val="single" w:sz="4" w:space="0" w:color="auto"/>
            </w:tcBorders>
          </w:tcPr>
          <w:p w14:paraId="0C26527C" w14:textId="4A0DB5F8" w:rsidR="00BE3349" w:rsidRPr="00A81DEC" w:rsidRDefault="00BE3349" w:rsidP="0018008F">
            <w:pPr>
              <w:spacing w:after="80"/>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w:t>
            </w:r>
          </w:p>
        </w:tc>
      </w:tr>
      <w:tr w:rsidR="00BE3349" w:rsidRPr="0082117D" w14:paraId="37579C4A" w14:textId="77777777" w:rsidTr="005B234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6" w:type="pct"/>
            <w:tcBorders>
              <w:left w:val="single" w:sz="4" w:space="0" w:color="auto"/>
              <w:bottom w:val="single" w:sz="8" w:space="0" w:color="auto"/>
            </w:tcBorders>
          </w:tcPr>
          <w:p w14:paraId="1CCB907C" w14:textId="77777777" w:rsidR="00BE3349" w:rsidRPr="0082117D" w:rsidRDefault="00BE3349" w:rsidP="0018008F">
            <w:pPr>
              <w:spacing w:after="80"/>
              <w:rPr>
                <w:rFonts w:cstheme="minorHAnsi"/>
                <w:sz w:val="20"/>
                <w:szCs w:val="20"/>
              </w:rPr>
            </w:pPr>
            <w:r w:rsidRPr="0082117D">
              <w:rPr>
                <w:rFonts w:cstheme="minorHAnsi"/>
                <w:sz w:val="20"/>
                <w:szCs w:val="20"/>
              </w:rPr>
              <w:t>TOTAL</w:t>
            </w:r>
          </w:p>
        </w:tc>
        <w:tc>
          <w:tcPr>
            <w:tcW w:w="419" w:type="pct"/>
            <w:tcBorders>
              <w:bottom w:val="single" w:sz="8" w:space="0" w:color="auto"/>
            </w:tcBorders>
          </w:tcPr>
          <w:p w14:paraId="48729C32" w14:textId="77777777" w:rsidR="00BE3349" w:rsidRPr="0080151D" w:rsidRDefault="00BE3349" w:rsidP="0018008F">
            <w:pPr>
              <w:spacing w:after="8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80151D">
              <w:rPr>
                <w:rFonts w:cstheme="minorBidi"/>
                <w:b/>
                <w:bCs/>
                <w:sz w:val="20"/>
                <w:szCs w:val="20"/>
              </w:rPr>
              <w:t>13</w:t>
            </w:r>
          </w:p>
        </w:tc>
        <w:tc>
          <w:tcPr>
            <w:tcW w:w="419" w:type="pct"/>
            <w:tcBorders>
              <w:bottom w:val="single" w:sz="8" w:space="0" w:color="auto"/>
            </w:tcBorders>
          </w:tcPr>
          <w:p w14:paraId="6FDEF803" w14:textId="77777777" w:rsidR="00BE3349" w:rsidRPr="0080151D" w:rsidRDefault="00BE3349" w:rsidP="0018008F">
            <w:pPr>
              <w:spacing w:after="8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80151D">
              <w:rPr>
                <w:rFonts w:cstheme="minorBidi"/>
                <w:b/>
                <w:bCs/>
                <w:sz w:val="20"/>
                <w:szCs w:val="20"/>
              </w:rPr>
              <w:t>73</w:t>
            </w:r>
          </w:p>
        </w:tc>
        <w:tc>
          <w:tcPr>
            <w:tcW w:w="419" w:type="pct"/>
            <w:tcBorders>
              <w:bottom w:val="single" w:sz="8" w:space="0" w:color="auto"/>
            </w:tcBorders>
          </w:tcPr>
          <w:p w14:paraId="57DD80BA" w14:textId="77777777" w:rsidR="00BE3349" w:rsidRPr="0080151D" w:rsidRDefault="00BE3349" w:rsidP="0018008F">
            <w:pPr>
              <w:spacing w:after="8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80151D">
              <w:rPr>
                <w:rFonts w:cstheme="minorBidi"/>
                <w:b/>
                <w:bCs/>
                <w:sz w:val="20"/>
                <w:szCs w:val="20"/>
              </w:rPr>
              <w:t>71</w:t>
            </w:r>
          </w:p>
        </w:tc>
        <w:tc>
          <w:tcPr>
            <w:tcW w:w="419" w:type="pct"/>
            <w:tcBorders>
              <w:bottom w:val="single" w:sz="8" w:space="0" w:color="auto"/>
            </w:tcBorders>
          </w:tcPr>
          <w:p w14:paraId="67A0404D" w14:textId="77777777" w:rsidR="00BE3349" w:rsidRPr="0080151D" w:rsidRDefault="00BE3349" w:rsidP="0018008F">
            <w:pPr>
              <w:spacing w:after="8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80151D">
              <w:rPr>
                <w:rFonts w:cstheme="minorBidi"/>
                <w:b/>
                <w:bCs/>
                <w:sz w:val="20"/>
                <w:szCs w:val="20"/>
              </w:rPr>
              <w:t>8</w:t>
            </w:r>
          </w:p>
        </w:tc>
        <w:tc>
          <w:tcPr>
            <w:tcW w:w="419" w:type="pct"/>
            <w:tcBorders>
              <w:bottom w:val="single" w:sz="8" w:space="0" w:color="auto"/>
            </w:tcBorders>
          </w:tcPr>
          <w:p w14:paraId="09CFB6EC" w14:textId="77777777" w:rsidR="00BE3349" w:rsidRPr="0080151D" w:rsidRDefault="00BE3349" w:rsidP="0018008F">
            <w:pPr>
              <w:spacing w:after="8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80151D">
              <w:rPr>
                <w:rFonts w:cstheme="minorBidi"/>
                <w:b/>
                <w:bCs/>
                <w:sz w:val="20"/>
                <w:szCs w:val="20"/>
              </w:rPr>
              <w:t>48</w:t>
            </w:r>
          </w:p>
        </w:tc>
        <w:tc>
          <w:tcPr>
            <w:tcW w:w="419" w:type="pct"/>
            <w:tcBorders>
              <w:bottom w:val="single" w:sz="8" w:space="0" w:color="auto"/>
            </w:tcBorders>
          </w:tcPr>
          <w:p w14:paraId="00A93343" w14:textId="77777777" w:rsidR="00BE3349" w:rsidRPr="0080151D" w:rsidRDefault="00BE3349" w:rsidP="0018008F">
            <w:pPr>
              <w:spacing w:after="8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80151D">
              <w:rPr>
                <w:rFonts w:cstheme="minorBidi"/>
                <w:b/>
                <w:bCs/>
                <w:sz w:val="20"/>
                <w:szCs w:val="20"/>
              </w:rPr>
              <w:t>4</w:t>
            </w:r>
          </w:p>
        </w:tc>
        <w:tc>
          <w:tcPr>
            <w:tcW w:w="419" w:type="pct"/>
            <w:tcBorders>
              <w:bottom w:val="single" w:sz="8" w:space="0" w:color="auto"/>
            </w:tcBorders>
          </w:tcPr>
          <w:p w14:paraId="7620354D" w14:textId="77777777" w:rsidR="00BE3349" w:rsidRPr="0080151D" w:rsidRDefault="00BE3349" w:rsidP="0018008F">
            <w:pPr>
              <w:spacing w:after="8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80151D">
              <w:rPr>
                <w:rFonts w:cstheme="minorBidi"/>
                <w:b/>
                <w:bCs/>
                <w:sz w:val="20"/>
                <w:szCs w:val="20"/>
              </w:rPr>
              <w:t>11</w:t>
            </w:r>
          </w:p>
        </w:tc>
        <w:tc>
          <w:tcPr>
            <w:tcW w:w="421" w:type="pct"/>
            <w:tcBorders>
              <w:bottom w:val="single" w:sz="8" w:space="0" w:color="auto"/>
            </w:tcBorders>
          </w:tcPr>
          <w:p w14:paraId="35DD8DAA" w14:textId="42BDCAC5" w:rsidR="00BE3349" w:rsidRPr="0080151D" w:rsidRDefault="00BE3349" w:rsidP="0018008F">
            <w:pPr>
              <w:spacing w:after="80"/>
              <w:jc w:val="right"/>
              <w:cnfStyle w:val="000000100000" w:firstRow="0" w:lastRow="0" w:firstColumn="0" w:lastColumn="0" w:oddVBand="0" w:evenVBand="0" w:oddHBand="1" w:evenHBand="0" w:firstRowFirstColumn="0" w:firstRowLastColumn="0" w:lastRowFirstColumn="0" w:lastRowLastColumn="0"/>
              <w:rPr>
                <w:b/>
                <w:bCs/>
                <w:sz w:val="20"/>
                <w:szCs w:val="20"/>
              </w:rPr>
            </w:pPr>
            <w:r>
              <w:rPr>
                <w:rFonts w:cstheme="minorBidi"/>
                <w:b/>
                <w:bCs/>
                <w:sz w:val="20"/>
                <w:szCs w:val="20"/>
              </w:rPr>
              <w:t>292.92</w:t>
            </w:r>
          </w:p>
        </w:tc>
        <w:tc>
          <w:tcPr>
            <w:tcW w:w="537" w:type="pct"/>
            <w:tcBorders>
              <w:bottom w:val="single" w:sz="8" w:space="0" w:color="auto"/>
            </w:tcBorders>
          </w:tcPr>
          <w:p w14:paraId="56E96C2E" w14:textId="01C87040" w:rsidR="00BE3349" w:rsidRPr="0080151D" w:rsidRDefault="00BE3349" w:rsidP="0018008F">
            <w:pPr>
              <w:spacing w:after="80"/>
              <w:jc w:val="righ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80151D">
              <w:rPr>
                <w:rFonts w:cstheme="minorHAnsi"/>
                <w:b/>
                <w:bCs/>
                <w:sz w:val="20"/>
                <w:szCs w:val="20"/>
              </w:rPr>
              <w:t>2</w:t>
            </w:r>
          </w:p>
        </w:tc>
        <w:tc>
          <w:tcPr>
            <w:tcW w:w="653" w:type="pct"/>
            <w:tcBorders>
              <w:bottom w:val="single" w:sz="8" w:space="0" w:color="auto"/>
              <w:right w:val="single" w:sz="4" w:space="0" w:color="auto"/>
            </w:tcBorders>
          </w:tcPr>
          <w:p w14:paraId="0F908C00" w14:textId="299BBE8A" w:rsidR="00BE3349" w:rsidRPr="0080151D" w:rsidRDefault="00BE3349" w:rsidP="0018008F">
            <w:pPr>
              <w:spacing w:after="80"/>
              <w:jc w:val="righ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80151D">
              <w:rPr>
                <w:rFonts w:cstheme="minorHAnsi"/>
                <w:b/>
                <w:bCs/>
                <w:sz w:val="20"/>
                <w:szCs w:val="20"/>
              </w:rPr>
              <w:t>0</w:t>
            </w:r>
          </w:p>
        </w:tc>
      </w:tr>
    </w:tbl>
    <w:p w14:paraId="371396E1" w14:textId="77777777" w:rsidR="001B3BE8" w:rsidRDefault="001B3BE8" w:rsidP="00A10427">
      <w:pPr>
        <w:spacing w:after="0"/>
        <w:rPr>
          <w:rFonts w:cstheme="minorHAnsi"/>
          <w:b/>
          <w:sz w:val="20"/>
          <w:szCs w:val="20"/>
        </w:rPr>
      </w:pPr>
    </w:p>
    <w:p w14:paraId="059000F8" w14:textId="37C5689E" w:rsidR="001B3BE8" w:rsidRDefault="001B3BE8" w:rsidP="00225388">
      <w:r w:rsidRPr="00D96F40">
        <w:rPr>
          <w:b/>
        </w:rPr>
        <w:t>Note</w:t>
      </w:r>
      <w:r w:rsidR="007B4A14">
        <w:rPr>
          <w:b/>
        </w:rPr>
        <w:t>s</w:t>
      </w:r>
      <w:r w:rsidR="007B4A14">
        <w:rPr>
          <w:b/>
        </w:rPr>
        <w:br/>
      </w:r>
      <w:r w:rsidRPr="00C23058">
        <w:rPr>
          <w:b/>
        </w:rPr>
        <w:t xml:space="preserve">* </w:t>
      </w:r>
      <w:r w:rsidRPr="00C23058">
        <w:t xml:space="preserve">Number finalised includes those requests that were subsequently withdrawn. </w:t>
      </w:r>
    </w:p>
    <w:p w14:paraId="64C907D5" w14:textId="77777777" w:rsidR="00EC66B3" w:rsidRDefault="00EC66B3" w:rsidP="00225388">
      <w:pPr>
        <w:sectPr w:rsidR="00EC66B3" w:rsidSect="00512E04">
          <w:headerReference w:type="even" r:id="rId90"/>
          <w:headerReference w:type="default" r:id="rId91"/>
          <w:type w:val="continuous"/>
          <w:pgSz w:w="16840" w:h="11907" w:orient="landscape" w:code="9"/>
          <w:pgMar w:top="1080" w:right="1440" w:bottom="1080" w:left="1440" w:header="709" w:footer="709" w:gutter="0"/>
          <w:cols w:space="708"/>
          <w:docGrid w:linePitch="360"/>
        </w:sectPr>
      </w:pPr>
    </w:p>
    <w:p w14:paraId="5A50B1FC" w14:textId="77777777" w:rsidR="00EC66B3" w:rsidRPr="00C23058" w:rsidRDefault="00EC66B3" w:rsidP="00225388"/>
    <w:p w14:paraId="31319113" w14:textId="6886AFC6" w:rsidR="001B3BE8" w:rsidRPr="00B84027" w:rsidRDefault="001B3BE8" w:rsidP="00B84027">
      <w:pPr>
        <w:jc w:val="center"/>
        <w:rPr>
          <w:b/>
          <w:bCs/>
          <w:lang w:val="en-US"/>
        </w:rPr>
      </w:pPr>
      <w:r w:rsidRPr="00B84027">
        <w:rPr>
          <w:b/>
          <w:bCs/>
          <w:lang w:val="en-US"/>
        </w:rPr>
        <w:t xml:space="preserve">Table 2 </w:t>
      </w:r>
      <w:r w:rsidR="009A618D">
        <w:rPr>
          <w:b/>
          <w:bCs/>
          <w:lang w:val="en-US"/>
        </w:rPr>
        <w:t>–</w:t>
      </w:r>
      <w:r w:rsidR="000E2CB9" w:rsidRPr="00B84027">
        <w:rPr>
          <w:b/>
          <w:bCs/>
          <w:lang w:val="en-US"/>
        </w:rPr>
        <w:t xml:space="preserve"> </w:t>
      </w:r>
      <w:r w:rsidRPr="00B84027">
        <w:rPr>
          <w:b/>
          <w:bCs/>
          <w:lang w:val="en-US"/>
        </w:rPr>
        <w:t xml:space="preserve">Exemptions and Conditional Exemptions Claimed by ACECQA and the Regulatory Authorities for </w:t>
      </w:r>
      <w:r w:rsidR="00A25037">
        <w:rPr>
          <w:b/>
          <w:bCs/>
          <w:lang w:val="en-US"/>
        </w:rPr>
        <w:t>decisions made in 2022–2023</w:t>
      </w:r>
    </w:p>
    <w:p w14:paraId="29D97DDD" w14:textId="36E140A4" w:rsidR="001B3BE8" w:rsidRPr="00D96F40" w:rsidRDefault="001B3BE8" w:rsidP="00225388">
      <w:r>
        <w:t>Table 2 provides details of the numbers of times an exemption or conditional exemption allowable under Divisions 2 and 3</w:t>
      </w:r>
      <w:r w:rsidR="009A51F5">
        <w:t xml:space="preserve"> of</w:t>
      </w:r>
      <w:r>
        <w:t xml:space="preserve"> Part IV of the </w:t>
      </w:r>
      <w:r w:rsidRPr="00D96F40">
        <w:rPr>
          <w:i/>
        </w:rPr>
        <w:t>Freedom of Information Act 1982</w:t>
      </w:r>
      <w:r>
        <w:t xml:space="preserve"> was applied by ACECQA and the State/Territory Regulatory Authorities and the percentage of total claims. </w:t>
      </w:r>
    </w:p>
    <w:tbl>
      <w:tblPr>
        <w:tblStyle w:val="GridTable4-Accent1"/>
        <w:tblW w:w="0" w:type="auto"/>
        <w:tblLook w:val="04A0" w:firstRow="1" w:lastRow="0" w:firstColumn="1" w:lastColumn="0" w:noHBand="0" w:noVBand="1"/>
      </w:tblPr>
      <w:tblGrid>
        <w:gridCol w:w="1694"/>
        <w:gridCol w:w="7224"/>
        <w:gridCol w:w="3117"/>
        <w:gridCol w:w="1905"/>
      </w:tblGrid>
      <w:tr w:rsidR="007D406E" w:rsidRPr="007D406E" w14:paraId="18CC0E63" w14:textId="77777777" w:rsidTr="00F84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17BE4AB9" w14:textId="77777777" w:rsidR="001B3BE8" w:rsidRPr="007D406E" w:rsidRDefault="001B3BE8" w:rsidP="006D4C6D">
            <w:pPr>
              <w:rPr>
                <w:color w:val="auto"/>
                <w:sz w:val="20"/>
                <w:szCs w:val="20"/>
              </w:rPr>
            </w:pPr>
            <w:r w:rsidRPr="007D406E">
              <w:rPr>
                <w:color w:val="auto"/>
                <w:sz w:val="20"/>
                <w:szCs w:val="20"/>
              </w:rPr>
              <w:t>Section of the FOI Act</w:t>
            </w:r>
          </w:p>
        </w:tc>
        <w:tc>
          <w:tcPr>
            <w:tcW w:w="7230" w:type="dxa"/>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7A4560F6" w14:textId="77777777" w:rsidR="001B3BE8" w:rsidRPr="007D406E" w:rsidRDefault="001B3BE8" w:rsidP="006D4C6D">
            <w:pP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D406E">
              <w:rPr>
                <w:color w:val="auto"/>
                <w:sz w:val="20"/>
                <w:szCs w:val="20"/>
              </w:rPr>
              <w:t>Exemption/Conditional Exemption Claimed</w:t>
            </w:r>
          </w:p>
          <w:p w14:paraId="52A5C1B1" w14:textId="77777777" w:rsidR="001B3BE8" w:rsidRPr="007D406E" w:rsidRDefault="001B3BE8" w:rsidP="006D4C6D">
            <w:pPr>
              <w:cnfStyle w:val="100000000000" w:firstRow="1" w:lastRow="0" w:firstColumn="0" w:lastColumn="0" w:oddVBand="0" w:evenVBand="0" w:oddHBand="0" w:evenHBand="0" w:firstRowFirstColumn="0" w:firstRowLastColumn="0" w:lastRowFirstColumn="0" w:lastRowLastColumn="0"/>
              <w:rPr>
                <w:color w:val="auto"/>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3C0474C0" w14:textId="006051B1" w:rsidR="001B3BE8" w:rsidRPr="007D406E" w:rsidRDefault="003B0EA0" w:rsidP="006D4C6D">
            <w:pP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D406E">
              <w:rPr>
                <w:color w:val="auto"/>
                <w:sz w:val="20"/>
                <w:szCs w:val="20"/>
              </w:rPr>
              <w:t>No.</w:t>
            </w:r>
            <w:r w:rsidR="001B3BE8" w:rsidRPr="007D406E">
              <w:rPr>
                <w:color w:val="auto"/>
                <w:sz w:val="20"/>
                <w:szCs w:val="20"/>
              </w:rPr>
              <w:t xml:space="preserve"> of FOI requests to which the exemption/conditional exemption was applied</w:t>
            </w:r>
          </w:p>
        </w:tc>
        <w:tc>
          <w:tcPr>
            <w:tcW w:w="1906" w:type="dxa"/>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11FFAE3D" w14:textId="4B49A22F" w:rsidR="001B3BE8" w:rsidRPr="007D406E" w:rsidRDefault="003B0EA0" w:rsidP="006D4C6D">
            <w:pP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D406E">
              <w:rPr>
                <w:color w:val="auto"/>
                <w:sz w:val="20"/>
                <w:szCs w:val="20"/>
              </w:rPr>
              <w:t>%</w:t>
            </w:r>
            <w:r w:rsidR="001B3BE8" w:rsidRPr="007D406E">
              <w:rPr>
                <w:color w:val="auto"/>
                <w:sz w:val="20"/>
                <w:szCs w:val="20"/>
              </w:rPr>
              <w:t xml:space="preserve"> of total </w:t>
            </w:r>
            <w:r w:rsidR="00E9383D" w:rsidRPr="007D406E">
              <w:rPr>
                <w:color w:val="auto"/>
                <w:sz w:val="20"/>
                <w:szCs w:val="20"/>
              </w:rPr>
              <w:t>requests</w:t>
            </w:r>
          </w:p>
        </w:tc>
      </w:tr>
      <w:tr w:rsidR="001B3BE8" w:rsidRPr="00A03A4D" w14:paraId="3F24F9D0" w14:textId="77777777" w:rsidTr="00440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0" w:type="dxa"/>
            <w:gridSpan w:val="4"/>
            <w:tcBorders>
              <w:top w:val="single" w:sz="8" w:space="0" w:color="auto"/>
              <w:left w:val="single" w:sz="8" w:space="0" w:color="auto"/>
              <w:right w:val="single" w:sz="8" w:space="0" w:color="auto"/>
            </w:tcBorders>
          </w:tcPr>
          <w:p w14:paraId="1E79BBC3" w14:textId="77777777" w:rsidR="001B3BE8" w:rsidRPr="00A03A4D" w:rsidRDefault="001B3BE8" w:rsidP="00147886">
            <w:pPr>
              <w:spacing w:before="60" w:after="60"/>
              <w:rPr>
                <w:bCs w:val="0"/>
                <w:sz w:val="20"/>
                <w:szCs w:val="20"/>
              </w:rPr>
            </w:pPr>
            <w:r w:rsidRPr="00A03A4D">
              <w:rPr>
                <w:bCs w:val="0"/>
                <w:sz w:val="20"/>
                <w:szCs w:val="20"/>
              </w:rPr>
              <w:t>Exempt documents under Division 2, Part IV of the FOI Act</w:t>
            </w:r>
          </w:p>
        </w:tc>
      </w:tr>
      <w:tr w:rsidR="001B3BE8" w:rsidRPr="00A03A4D" w14:paraId="202CD9EB" w14:textId="77777777" w:rsidTr="00440346">
        <w:tc>
          <w:tcPr>
            <w:cnfStyle w:val="001000000000" w:firstRow="0" w:lastRow="0" w:firstColumn="1" w:lastColumn="0" w:oddVBand="0" w:evenVBand="0" w:oddHBand="0" w:evenHBand="0" w:firstRowFirstColumn="0" w:firstRowLastColumn="0" w:lastRowFirstColumn="0" w:lastRowLastColumn="0"/>
            <w:tcW w:w="1696" w:type="dxa"/>
            <w:tcBorders>
              <w:left w:val="single" w:sz="8" w:space="0" w:color="auto"/>
            </w:tcBorders>
          </w:tcPr>
          <w:p w14:paraId="08906F77" w14:textId="4ED717E0" w:rsidR="001B3BE8" w:rsidRPr="00A03A4D" w:rsidRDefault="001B3BE8" w:rsidP="006D4C6D">
            <w:pPr>
              <w:rPr>
                <w:b w:val="0"/>
                <w:sz w:val="20"/>
                <w:szCs w:val="20"/>
              </w:rPr>
            </w:pPr>
            <w:r w:rsidRPr="00A03A4D">
              <w:rPr>
                <w:b w:val="0"/>
                <w:sz w:val="20"/>
                <w:szCs w:val="20"/>
              </w:rPr>
              <w:t>S</w:t>
            </w:r>
            <w:r w:rsidR="00BC7C45" w:rsidRPr="00A03A4D">
              <w:rPr>
                <w:b w:val="0"/>
                <w:sz w:val="20"/>
                <w:szCs w:val="20"/>
              </w:rPr>
              <w:t xml:space="preserve">ection </w:t>
            </w:r>
            <w:r w:rsidRPr="00A03A4D">
              <w:rPr>
                <w:b w:val="0"/>
                <w:sz w:val="20"/>
                <w:szCs w:val="20"/>
              </w:rPr>
              <w:t>37</w:t>
            </w:r>
          </w:p>
        </w:tc>
        <w:tc>
          <w:tcPr>
            <w:tcW w:w="7230" w:type="dxa"/>
          </w:tcPr>
          <w:p w14:paraId="2810E5F9" w14:textId="42791295" w:rsidR="001B3BE8" w:rsidRPr="00A03A4D" w:rsidRDefault="001B3BE8" w:rsidP="006D4C6D">
            <w:pPr>
              <w:cnfStyle w:val="000000000000" w:firstRow="0" w:lastRow="0" w:firstColumn="0" w:lastColumn="0" w:oddVBand="0" w:evenVBand="0" w:oddHBand="0" w:evenHBand="0" w:firstRowFirstColumn="0" w:firstRowLastColumn="0" w:lastRowFirstColumn="0" w:lastRowLastColumn="0"/>
              <w:rPr>
                <w:bCs/>
                <w:sz w:val="20"/>
                <w:szCs w:val="20"/>
              </w:rPr>
            </w:pPr>
            <w:r w:rsidRPr="00A03A4D">
              <w:rPr>
                <w:sz w:val="20"/>
                <w:szCs w:val="20"/>
              </w:rPr>
              <w:t xml:space="preserve">Documents affecting enforcement </w:t>
            </w:r>
            <w:r w:rsidR="00245C2E" w:rsidRPr="00A03A4D">
              <w:rPr>
                <w:sz w:val="20"/>
                <w:szCs w:val="20"/>
              </w:rPr>
              <w:t xml:space="preserve">of law and </w:t>
            </w:r>
            <w:r w:rsidRPr="00A03A4D">
              <w:rPr>
                <w:sz w:val="20"/>
                <w:szCs w:val="20"/>
              </w:rPr>
              <w:t>protection of public safety</w:t>
            </w:r>
          </w:p>
        </w:tc>
        <w:tc>
          <w:tcPr>
            <w:tcW w:w="3118" w:type="dxa"/>
          </w:tcPr>
          <w:p w14:paraId="2B534EB6" w14:textId="77777777" w:rsidR="001B3BE8" w:rsidRPr="00A03A4D"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A03A4D">
              <w:rPr>
                <w:sz w:val="20"/>
                <w:szCs w:val="20"/>
              </w:rPr>
              <w:t>3</w:t>
            </w:r>
          </w:p>
        </w:tc>
        <w:tc>
          <w:tcPr>
            <w:tcW w:w="1906" w:type="dxa"/>
            <w:tcBorders>
              <w:right w:val="single" w:sz="8" w:space="0" w:color="auto"/>
            </w:tcBorders>
          </w:tcPr>
          <w:p w14:paraId="35FF5A02" w14:textId="39CAB7D2" w:rsidR="001B3BE8" w:rsidRPr="00A03A4D" w:rsidRDefault="002302CC"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A03A4D">
              <w:rPr>
                <w:sz w:val="20"/>
                <w:szCs w:val="20"/>
              </w:rPr>
              <w:t>2.9</w:t>
            </w:r>
            <w:r w:rsidR="00E9383D" w:rsidRPr="00A03A4D">
              <w:rPr>
                <w:sz w:val="20"/>
                <w:szCs w:val="20"/>
              </w:rPr>
              <w:t>%</w:t>
            </w:r>
          </w:p>
        </w:tc>
      </w:tr>
      <w:tr w:rsidR="001B3BE8" w:rsidRPr="00A03A4D" w14:paraId="1EF00D74" w14:textId="77777777" w:rsidTr="00440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left w:val="single" w:sz="8" w:space="0" w:color="auto"/>
            </w:tcBorders>
          </w:tcPr>
          <w:p w14:paraId="73B0C204" w14:textId="2956F072" w:rsidR="001B3BE8" w:rsidRPr="00A03A4D" w:rsidRDefault="001B3BE8" w:rsidP="006D4C6D">
            <w:pPr>
              <w:rPr>
                <w:b w:val="0"/>
                <w:bCs w:val="0"/>
                <w:sz w:val="20"/>
                <w:szCs w:val="20"/>
              </w:rPr>
            </w:pPr>
            <w:r w:rsidRPr="00A03A4D">
              <w:rPr>
                <w:b w:val="0"/>
                <w:bCs w:val="0"/>
                <w:sz w:val="20"/>
                <w:szCs w:val="20"/>
              </w:rPr>
              <w:t>S</w:t>
            </w:r>
            <w:r w:rsidR="00BC7C45" w:rsidRPr="00A03A4D">
              <w:rPr>
                <w:b w:val="0"/>
                <w:bCs w:val="0"/>
                <w:sz w:val="20"/>
                <w:szCs w:val="20"/>
              </w:rPr>
              <w:t xml:space="preserve">ection </w:t>
            </w:r>
            <w:r w:rsidRPr="00A03A4D">
              <w:rPr>
                <w:b w:val="0"/>
                <w:bCs w:val="0"/>
                <w:sz w:val="20"/>
                <w:szCs w:val="20"/>
              </w:rPr>
              <w:t>42</w:t>
            </w:r>
          </w:p>
        </w:tc>
        <w:tc>
          <w:tcPr>
            <w:tcW w:w="7230" w:type="dxa"/>
          </w:tcPr>
          <w:p w14:paraId="5F1015C0" w14:textId="77777777" w:rsidR="001B3BE8" w:rsidRPr="00A03A4D" w:rsidRDefault="001B3BE8" w:rsidP="006D4C6D">
            <w:pPr>
              <w:cnfStyle w:val="000000100000" w:firstRow="0" w:lastRow="0" w:firstColumn="0" w:lastColumn="0" w:oddVBand="0" w:evenVBand="0" w:oddHBand="1" w:evenHBand="0" w:firstRowFirstColumn="0" w:firstRowLastColumn="0" w:lastRowFirstColumn="0" w:lastRowLastColumn="0"/>
              <w:rPr>
                <w:sz w:val="20"/>
                <w:szCs w:val="20"/>
              </w:rPr>
            </w:pPr>
            <w:r w:rsidRPr="00A03A4D">
              <w:rPr>
                <w:sz w:val="20"/>
                <w:szCs w:val="20"/>
              </w:rPr>
              <w:t>Documents subject to legal professional privilege</w:t>
            </w:r>
          </w:p>
        </w:tc>
        <w:tc>
          <w:tcPr>
            <w:tcW w:w="3118" w:type="dxa"/>
          </w:tcPr>
          <w:p w14:paraId="071F6229" w14:textId="77777777" w:rsidR="001B3BE8" w:rsidRPr="00A03A4D"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A03A4D">
              <w:rPr>
                <w:sz w:val="20"/>
                <w:szCs w:val="20"/>
              </w:rPr>
              <w:t>2</w:t>
            </w:r>
          </w:p>
        </w:tc>
        <w:tc>
          <w:tcPr>
            <w:tcW w:w="1906" w:type="dxa"/>
            <w:tcBorders>
              <w:right w:val="single" w:sz="8" w:space="0" w:color="auto"/>
            </w:tcBorders>
          </w:tcPr>
          <w:p w14:paraId="5A057897" w14:textId="30FAB707" w:rsidR="001B3BE8" w:rsidRPr="00A03A4D" w:rsidRDefault="00C50486"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A03A4D">
              <w:rPr>
                <w:sz w:val="20"/>
                <w:szCs w:val="20"/>
              </w:rPr>
              <w:t>1.9</w:t>
            </w:r>
            <w:r w:rsidR="00E9383D" w:rsidRPr="00A03A4D">
              <w:rPr>
                <w:sz w:val="20"/>
                <w:szCs w:val="20"/>
              </w:rPr>
              <w:t>%</w:t>
            </w:r>
          </w:p>
        </w:tc>
      </w:tr>
      <w:tr w:rsidR="001B3BE8" w:rsidRPr="00A03A4D" w14:paraId="58A41A3B" w14:textId="77777777" w:rsidTr="00440346">
        <w:tc>
          <w:tcPr>
            <w:cnfStyle w:val="001000000000" w:firstRow="0" w:lastRow="0" w:firstColumn="1" w:lastColumn="0" w:oddVBand="0" w:evenVBand="0" w:oddHBand="0" w:evenHBand="0" w:firstRowFirstColumn="0" w:firstRowLastColumn="0" w:lastRowFirstColumn="0" w:lastRowLastColumn="0"/>
            <w:tcW w:w="1696" w:type="dxa"/>
            <w:tcBorders>
              <w:left w:val="single" w:sz="8" w:space="0" w:color="auto"/>
            </w:tcBorders>
          </w:tcPr>
          <w:p w14:paraId="7A40D163" w14:textId="78214379" w:rsidR="001B3BE8" w:rsidRPr="00A03A4D" w:rsidRDefault="001B3BE8" w:rsidP="006D4C6D">
            <w:pPr>
              <w:rPr>
                <w:b w:val="0"/>
                <w:bCs w:val="0"/>
                <w:sz w:val="20"/>
                <w:szCs w:val="20"/>
              </w:rPr>
            </w:pPr>
            <w:r w:rsidRPr="00A03A4D">
              <w:rPr>
                <w:b w:val="0"/>
                <w:bCs w:val="0"/>
                <w:sz w:val="20"/>
                <w:szCs w:val="20"/>
              </w:rPr>
              <w:t>S</w:t>
            </w:r>
            <w:r w:rsidR="00BC7C45" w:rsidRPr="00A03A4D">
              <w:rPr>
                <w:b w:val="0"/>
                <w:bCs w:val="0"/>
                <w:sz w:val="20"/>
                <w:szCs w:val="20"/>
              </w:rPr>
              <w:t xml:space="preserve">ection </w:t>
            </w:r>
            <w:r w:rsidRPr="00A03A4D">
              <w:rPr>
                <w:b w:val="0"/>
                <w:bCs w:val="0"/>
                <w:sz w:val="20"/>
                <w:szCs w:val="20"/>
              </w:rPr>
              <w:t>45</w:t>
            </w:r>
          </w:p>
        </w:tc>
        <w:tc>
          <w:tcPr>
            <w:tcW w:w="7230" w:type="dxa"/>
          </w:tcPr>
          <w:p w14:paraId="23ADB04A" w14:textId="77777777" w:rsidR="001B3BE8" w:rsidRPr="00A03A4D" w:rsidRDefault="001B3BE8" w:rsidP="006D4C6D">
            <w:pPr>
              <w:cnfStyle w:val="000000000000" w:firstRow="0" w:lastRow="0" w:firstColumn="0" w:lastColumn="0" w:oddVBand="0" w:evenVBand="0" w:oddHBand="0" w:evenHBand="0" w:firstRowFirstColumn="0" w:firstRowLastColumn="0" w:lastRowFirstColumn="0" w:lastRowLastColumn="0"/>
              <w:rPr>
                <w:sz w:val="20"/>
                <w:szCs w:val="20"/>
              </w:rPr>
            </w:pPr>
            <w:r w:rsidRPr="00A03A4D">
              <w:rPr>
                <w:sz w:val="20"/>
                <w:szCs w:val="20"/>
              </w:rPr>
              <w:t>Documents containing material obtained in confidence</w:t>
            </w:r>
          </w:p>
        </w:tc>
        <w:tc>
          <w:tcPr>
            <w:tcW w:w="3118" w:type="dxa"/>
          </w:tcPr>
          <w:p w14:paraId="5950BAF5" w14:textId="77777777" w:rsidR="001B3BE8" w:rsidRPr="00A03A4D"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A03A4D">
              <w:rPr>
                <w:sz w:val="20"/>
                <w:szCs w:val="20"/>
              </w:rPr>
              <w:t>5</w:t>
            </w:r>
          </w:p>
        </w:tc>
        <w:tc>
          <w:tcPr>
            <w:tcW w:w="1906" w:type="dxa"/>
            <w:tcBorders>
              <w:right w:val="single" w:sz="8" w:space="0" w:color="auto"/>
            </w:tcBorders>
          </w:tcPr>
          <w:p w14:paraId="09212C10" w14:textId="1D4C42D0" w:rsidR="001B3BE8" w:rsidRPr="00A03A4D" w:rsidRDefault="00C50486"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A03A4D">
              <w:rPr>
                <w:sz w:val="20"/>
                <w:szCs w:val="20"/>
              </w:rPr>
              <w:t>4.9</w:t>
            </w:r>
            <w:r w:rsidR="00E9383D" w:rsidRPr="00A03A4D">
              <w:rPr>
                <w:sz w:val="20"/>
                <w:szCs w:val="20"/>
              </w:rPr>
              <w:t>%</w:t>
            </w:r>
          </w:p>
        </w:tc>
      </w:tr>
      <w:tr w:rsidR="001B3BE8" w:rsidRPr="00A03A4D" w14:paraId="1FAE236E" w14:textId="77777777" w:rsidTr="00440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0" w:type="dxa"/>
            <w:gridSpan w:val="4"/>
            <w:tcBorders>
              <w:left w:val="single" w:sz="8" w:space="0" w:color="auto"/>
              <w:right w:val="single" w:sz="8" w:space="0" w:color="auto"/>
            </w:tcBorders>
          </w:tcPr>
          <w:p w14:paraId="54BE32C2" w14:textId="77777777" w:rsidR="001B3BE8" w:rsidRPr="00A03A4D" w:rsidRDefault="001B3BE8" w:rsidP="00147886">
            <w:pPr>
              <w:spacing w:before="60" w:after="60"/>
              <w:rPr>
                <w:bCs w:val="0"/>
                <w:sz w:val="20"/>
                <w:szCs w:val="20"/>
              </w:rPr>
            </w:pPr>
            <w:r w:rsidRPr="00A03A4D">
              <w:rPr>
                <w:bCs w:val="0"/>
                <w:sz w:val="20"/>
                <w:szCs w:val="20"/>
              </w:rPr>
              <w:t>Conditionally exempt documents under Division 3, Part IV of the FOI Act</w:t>
            </w:r>
          </w:p>
        </w:tc>
      </w:tr>
      <w:tr w:rsidR="001B3BE8" w:rsidRPr="00A03A4D" w14:paraId="43DFD69F" w14:textId="77777777" w:rsidTr="00440346">
        <w:tc>
          <w:tcPr>
            <w:cnfStyle w:val="001000000000" w:firstRow="0" w:lastRow="0" w:firstColumn="1" w:lastColumn="0" w:oddVBand="0" w:evenVBand="0" w:oddHBand="0" w:evenHBand="0" w:firstRowFirstColumn="0" w:firstRowLastColumn="0" w:lastRowFirstColumn="0" w:lastRowLastColumn="0"/>
            <w:tcW w:w="1696" w:type="dxa"/>
            <w:tcBorders>
              <w:left w:val="single" w:sz="8" w:space="0" w:color="auto"/>
            </w:tcBorders>
          </w:tcPr>
          <w:p w14:paraId="7691FC76" w14:textId="6A66FBF0" w:rsidR="001B3BE8" w:rsidRPr="00A03A4D" w:rsidRDefault="001B3BE8" w:rsidP="006D4C6D">
            <w:pPr>
              <w:rPr>
                <w:b w:val="0"/>
                <w:sz w:val="20"/>
                <w:szCs w:val="20"/>
              </w:rPr>
            </w:pPr>
            <w:r w:rsidRPr="00A03A4D">
              <w:rPr>
                <w:b w:val="0"/>
                <w:sz w:val="20"/>
                <w:szCs w:val="20"/>
              </w:rPr>
              <w:t>S</w:t>
            </w:r>
            <w:r w:rsidR="00BC7C45" w:rsidRPr="00A03A4D">
              <w:rPr>
                <w:b w:val="0"/>
                <w:sz w:val="20"/>
                <w:szCs w:val="20"/>
              </w:rPr>
              <w:t xml:space="preserve">ection </w:t>
            </w:r>
            <w:r w:rsidRPr="00A03A4D">
              <w:rPr>
                <w:b w:val="0"/>
                <w:sz w:val="20"/>
                <w:szCs w:val="20"/>
              </w:rPr>
              <w:t>47C</w:t>
            </w:r>
          </w:p>
        </w:tc>
        <w:tc>
          <w:tcPr>
            <w:tcW w:w="7230" w:type="dxa"/>
          </w:tcPr>
          <w:p w14:paraId="598F4256" w14:textId="77777777" w:rsidR="001B3BE8" w:rsidRPr="00A03A4D" w:rsidRDefault="001B3BE8" w:rsidP="006D4C6D">
            <w:pPr>
              <w:cnfStyle w:val="000000000000" w:firstRow="0" w:lastRow="0" w:firstColumn="0" w:lastColumn="0" w:oddVBand="0" w:evenVBand="0" w:oddHBand="0" w:evenHBand="0" w:firstRowFirstColumn="0" w:firstRowLastColumn="0" w:lastRowFirstColumn="0" w:lastRowLastColumn="0"/>
              <w:rPr>
                <w:bCs/>
                <w:sz w:val="20"/>
                <w:szCs w:val="20"/>
              </w:rPr>
            </w:pPr>
            <w:r w:rsidRPr="00A03A4D">
              <w:rPr>
                <w:sz w:val="20"/>
                <w:szCs w:val="20"/>
              </w:rPr>
              <w:t xml:space="preserve">Deliberative processes </w:t>
            </w:r>
          </w:p>
        </w:tc>
        <w:tc>
          <w:tcPr>
            <w:tcW w:w="3118" w:type="dxa"/>
          </w:tcPr>
          <w:p w14:paraId="67F0C6AA" w14:textId="77777777" w:rsidR="001B3BE8" w:rsidRPr="00A03A4D"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A03A4D">
              <w:rPr>
                <w:sz w:val="20"/>
                <w:szCs w:val="20"/>
              </w:rPr>
              <w:t>4</w:t>
            </w:r>
          </w:p>
        </w:tc>
        <w:tc>
          <w:tcPr>
            <w:tcW w:w="1906" w:type="dxa"/>
            <w:tcBorders>
              <w:right w:val="single" w:sz="8" w:space="0" w:color="auto"/>
            </w:tcBorders>
          </w:tcPr>
          <w:p w14:paraId="1B025767" w14:textId="11ABF30B" w:rsidR="001B3BE8" w:rsidRPr="00A03A4D" w:rsidRDefault="001F3B4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A03A4D">
              <w:rPr>
                <w:sz w:val="20"/>
                <w:szCs w:val="20"/>
              </w:rPr>
              <w:t>3.9</w:t>
            </w:r>
            <w:r w:rsidR="00E9383D" w:rsidRPr="00A03A4D">
              <w:rPr>
                <w:sz w:val="20"/>
                <w:szCs w:val="20"/>
              </w:rPr>
              <w:t>%</w:t>
            </w:r>
          </w:p>
        </w:tc>
      </w:tr>
      <w:tr w:rsidR="001B3BE8" w:rsidRPr="00A03A4D" w14:paraId="7BB1972C" w14:textId="77777777" w:rsidTr="00440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left w:val="single" w:sz="8" w:space="0" w:color="auto"/>
            </w:tcBorders>
          </w:tcPr>
          <w:p w14:paraId="7D39612F" w14:textId="16CC49EC" w:rsidR="001B3BE8" w:rsidRPr="00A03A4D" w:rsidRDefault="001B3BE8" w:rsidP="006D4C6D">
            <w:pPr>
              <w:rPr>
                <w:b w:val="0"/>
                <w:sz w:val="20"/>
                <w:szCs w:val="20"/>
              </w:rPr>
            </w:pPr>
            <w:r w:rsidRPr="00A03A4D">
              <w:rPr>
                <w:b w:val="0"/>
                <w:sz w:val="20"/>
                <w:szCs w:val="20"/>
              </w:rPr>
              <w:t>S</w:t>
            </w:r>
            <w:r w:rsidR="00BC7C45" w:rsidRPr="00A03A4D">
              <w:rPr>
                <w:b w:val="0"/>
                <w:sz w:val="20"/>
                <w:szCs w:val="20"/>
              </w:rPr>
              <w:t xml:space="preserve">ection </w:t>
            </w:r>
            <w:r w:rsidRPr="00A03A4D">
              <w:rPr>
                <w:b w:val="0"/>
                <w:sz w:val="20"/>
                <w:szCs w:val="20"/>
              </w:rPr>
              <w:t>47E</w:t>
            </w:r>
          </w:p>
        </w:tc>
        <w:tc>
          <w:tcPr>
            <w:tcW w:w="7230" w:type="dxa"/>
          </w:tcPr>
          <w:p w14:paraId="1D523699" w14:textId="77777777" w:rsidR="001B3BE8" w:rsidRPr="00A03A4D" w:rsidRDefault="001B3BE8" w:rsidP="006D4C6D">
            <w:pPr>
              <w:cnfStyle w:val="000000100000" w:firstRow="0" w:lastRow="0" w:firstColumn="0" w:lastColumn="0" w:oddVBand="0" w:evenVBand="0" w:oddHBand="1" w:evenHBand="0" w:firstRowFirstColumn="0" w:firstRowLastColumn="0" w:lastRowFirstColumn="0" w:lastRowLastColumn="0"/>
              <w:rPr>
                <w:sz w:val="20"/>
                <w:szCs w:val="20"/>
              </w:rPr>
            </w:pPr>
            <w:r w:rsidRPr="00A03A4D">
              <w:rPr>
                <w:sz w:val="20"/>
                <w:szCs w:val="20"/>
              </w:rPr>
              <w:t xml:space="preserve">Certain operations of agencies </w:t>
            </w:r>
          </w:p>
        </w:tc>
        <w:tc>
          <w:tcPr>
            <w:tcW w:w="3118" w:type="dxa"/>
          </w:tcPr>
          <w:p w14:paraId="76053C0F" w14:textId="77777777" w:rsidR="001B3BE8" w:rsidRPr="00A03A4D"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A03A4D">
              <w:rPr>
                <w:sz w:val="20"/>
                <w:szCs w:val="20"/>
              </w:rPr>
              <w:t>28</w:t>
            </w:r>
          </w:p>
        </w:tc>
        <w:tc>
          <w:tcPr>
            <w:tcW w:w="1906" w:type="dxa"/>
            <w:tcBorders>
              <w:right w:val="single" w:sz="8" w:space="0" w:color="auto"/>
            </w:tcBorders>
          </w:tcPr>
          <w:p w14:paraId="41DDF94B" w14:textId="0C97996F" w:rsidR="001B3BE8" w:rsidRPr="00A03A4D" w:rsidRDefault="001F3B4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A03A4D">
              <w:rPr>
                <w:sz w:val="20"/>
                <w:szCs w:val="20"/>
              </w:rPr>
              <w:t>27.2</w:t>
            </w:r>
            <w:r w:rsidR="00E9383D" w:rsidRPr="00A03A4D">
              <w:rPr>
                <w:sz w:val="20"/>
                <w:szCs w:val="20"/>
              </w:rPr>
              <w:t>%</w:t>
            </w:r>
          </w:p>
        </w:tc>
      </w:tr>
      <w:tr w:rsidR="001B3BE8" w:rsidRPr="00A03A4D" w14:paraId="72461BEE" w14:textId="77777777" w:rsidTr="00440346">
        <w:tc>
          <w:tcPr>
            <w:cnfStyle w:val="001000000000" w:firstRow="0" w:lastRow="0" w:firstColumn="1" w:lastColumn="0" w:oddVBand="0" w:evenVBand="0" w:oddHBand="0" w:evenHBand="0" w:firstRowFirstColumn="0" w:firstRowLastColumn="0" w:lastRowFirstColumn="0" w:lastRowLastColumn="0"/>
            <w:tcW w:w="1696" w:type="dxa"/>
            <w:tcBorders>
              <w:left w:val="single" w:sz="8" w:space="0" w:color="auto"/>
            </w:tcBorders>
          </w:tcPr>
          <w:p w14:paraId="67016686" w14:textId="4A7DA1B2" w:rsidR="001B3BE8" w:rsidRPr="00A03A4D" w:rsidRDefault="001B3BE8" w:rsidP="006D4C6D">
            <w:pPr>
              <w:rPr>
                <w:b w:val="0"/>
                <w:sz w:val="20"/>
                <w:szCs w:val="20"/>
              </w:rPr>
            </w:pPr>
            <w:r w:rsidRPr="00A03A4D">
              <w:rPr>
                <w:b w:val="0"/>
                <w:sz w:val="20"/>
                <w:szCs w:val="20"/>
              </w:rPr>
              <w:t>S</w:t>
            </w:r>
            <w:r w:rsidR="00BC7C45" w:rsidRPr="00A03A4D">
              <w:rPr>
                <w:b w:val="0"/>
                <w:sz w:val="20"/>
                <w:szCs w:val="20"/>
              </w:rPr>
              <w:t xml:space="preserve">ection </w:t>
            </w:r>
            <w:r w:rsidRPr="00A03A4D">
              <w:rPr>
                <w:b w:val="0"/>
                <w:sz w:val="20"/>
                <w:szCs w:val="20"/>
              </w:rPr>
              <w:t>47F</w:t>
            </w:r>
          </w:p>
        </w:tc>
        <w:tc>
          <w:tcPr>
            <w:tcW w:w="7230" w:type="dxa"/>
          </w:tcPr>
          <w:p w14:paraId="3BC7001E" w14:textId="67B66592" w:rsidR="001B3BE8" w:rsidRPr="00A03A4D" w:rsidRDefault="001B3BE8" w:rsidP="006D4C6D">
            <w:pPr>
              <w:cnfStyle w:val="000000000000" w:firstRow="0" w:lastRow="0" w:firstColumn="0" w:lastColumn="0" w:oddVBand="0" w:evenVBand="0" w:oddHBand="0" w:evenHBand="0" w:firstRowFirstColumn="0" w:firstRowLastColumn="0" w:lastRowFirstColumn="0" w:lastRowLastColumn="0"/>
              <w:rPr>
                <w:sz w:val="20"/>
                <w:szCs w:val="20"/>
              </w:rPr>
            </w:pPr>
            <w:r w:rsidRPr="00A03A4D">
              <w:rPr>
                <w:sz w:val="20"/>
                <w:szCs w:val="20"/>
              </w:rPr>
              <w:t xml:space="preserve">Personal </w:t>
            </w:r>
            <w:r w:rsidR="00855BA8" w:rsidRPr="00A03A4D">
              <w:rPr>
                <w:sz w:val="20"/>
                <w:szCs w:val="20"/>
              </w:rPr>
              <w:t>p</w:t>
            </w:r>
            <w:r w:rsidRPr="00A03A4D">
              <w:rPr>
                <w:sz w:val="20"/>
                <w:szCs w:val="20"/>
              </w:rPr>
              <w:t xml:space="preserve">rivacy </w:t>
            </w:r>
          </w:p>
        </w:tc>
        <w:tc>
          <w:tcPr>
            <w:tcW w:w="3118" w:type="dxa"/>
          </w:tcPr>
          <w:p w14:paraId="5C5C45C7" w14:textId="77777777" w:rsidR="001B3BE8" w:rsidRPr="00A03A4D"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A03A4D">
              <w:rPr>
                <w:sz w:val="20"/>
                <w:szCs w:val="20"/>
              </w:rPr>
              <w:t>45</w:t>
            </w:r>
          </w:p>
        </w:tc>
        <w:tc>
          <w:tcPr>
            <w:tcW w:w="1906" w:type="dxa"/>
            <w:tcBorders>
              <w:right w:val="single" w:sz="8" w:space="0" w:color="auto"/>
            </w:tcBorders>
          </w:tcPr>
          <w:p w14:paraId="5AEDDD0D" w14:textId="2EE5DFC9" w:rsidR="001B3BE8" w:rsidRPr="00A03A4D" w:rsidRDefault="001F3B4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A03A4D">
              <w:rPr>
                <w:sz w:val="20"/>
                <w:szCs w:val="20"/>
              </w:rPr>
              <w:t>43.7</w:t>
            </w:r>
            <w:r w:rsidR="00E9383D" w:rsidRPr="00A03A4D">
              <w:rPr>
                <w:sz w:val="20"/>
                <w:szCs w:val="20"/>
              </w:rPr>
              <w:t>%</w:t>
            </w:r>
          </w:p>
        </w:tc>
      </w:tr>
      <w:tr w:rsidR="001B3BE8" w:rsidRPr="00A03A4D" w14:paraId="653432A4" w14:textId="77777777" w:rsidTr="00440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left w:val="single" w:sz="8" w:space="0" w:color="auto"/>
            </w:tcBorders>
          </w:tcPr>
          <w:p w14:paraId="06AA5BFF" w14:textId="2E3F1AF9" w:rsidR="001B3BE8" w:rsidRPr="00A03A4D" w:rsidRDefault="001B3BE8" w:rsidP="006D4C6D">
            <w:pPr>
              <w:rPr>
                <w:b w:val="0"/>
                <w:sz w:val="20"/>
                <w:szCs w:val="20"/>
              </w:rPr>
            </w:pPr>
            <w:r w:rsidRPr="00A03A4D">
              <w:rPr>
                <w:b w:val="0"/>
                <w:sz w:val="20"/>
                <w:szCs w:val="20"/>
              </w:rPr>
              <w:t>S</w:t>
            </w:r>
            <w:r w:rsidR="00BC7C45" w:rsidRPr="00A03A4D">
              <w:rPr>
                <w:b w:val="0"/>
                <w:sz w:val="20"/>
                <w:szCs w:val="20"/>
              </w:rPr>
              <w:t xml:space="preserve">ection </w:t>
            </w:r>
            <w:r w:rsidRPr="00A03A4D">
              <w:rPr>
                <w:b w:val="0"/>
                <w:sz w:val="20"/>
                <w:szCs w:val="20"/>
              </w:rPr>
              <w:t>47G</w:t>
            </w:r>
          </w:p>
        </w:tc>
        <w:tc>
          <w:tcPr>
            <w:tcW w:w="7230" w:type="dxa"/>
          </w:tcPr>
          <w:p w14:paraId="5097F3B8" w14:textId="5F78F391" w:rsidR="001B3BE8" w:rsidRPr="00A03A4D" w:rsidRDefault="001B3BE8" w:rsidP="006D4C6D">
            <w:pPr>
              <w:cnfStyle w:val="000000100000" w:firstRow="0" w:lastRow="0" w:firstColumn="0" w:lastColumn="0" w:oddVBand="0" w:evenVBand="0" w:oddHBand="1" w:evenHBand="0" w:firstRowFirstColumn="0" w:firstRowLastColumn="0" w:lastRowFirstColumn="0" w:lastRowLastColumn="0"/>
              <w:rPr>
                <w:bCs/>
                <w:sz w:val="20"/>
                <w:szCs w:val="20"/>
              </w:rPr>
            </w:pPr>
            <w:r w:rsidRPr="00A03A4D">
              <w:rPr>
                <w:sz w:val="20"/>
                <w:szCs w:val="20"/>
              </w:rPr>
              <w:t>Business (other than documents to which s</w:t>
            </w:r>
            <w:r w:rsidR="00C65DDB" w:rsidRPr="00A03A4D">
              <w:rPr>
                <w:sz w:val="20"/>
                <w:szCs w:val="20"/>
              </w:rPr>
              <w:t xml:space="preserve">ection </w:t>
            </w:r>
            <w:r w:rsidRPr="00A03A4D">
              <w:rPr>
                <w:sz w:val="20"/>
                <w:szCs w:val="20"/>
              </w:rPr>
              <w:t>47 applies)</w:t>
            </w:r>
          </w:p>
        </w:tc>
        <w:tc>
          <w:tcPr>
            <w:tcW w:w="3118" w:type="dxa"/>
          </w:tcPr>
          <w:p w14:paraId="706DA884" w14:textId="77777777" w:rsidR="001B3BE8" w:rsidRPr="00A03A4D"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A03A4D">
              <w:rPr>
                <w:sz w:val="20"/>
                <w:szCs w:val="20"/>
              </w:rPr>
              <w:t>16</w:t>
            </w:r>
          </w:p>
        </w:tc>
        <w:tc>
          <w:tcPr>
            <w:tcW w:w="1906" w:type="dxa"/>
            <w:tcBorders>
              <w:right w:val="single" w:sz="8" w:space="0" w:color="auto"/>
            </w:tcBorders>
          </w:tcPr>
          <w:p w14:paraId="39E6C584" w14:textId="43C6FF28" w:rsidR="001B3BE8" w:rsidRPr="00A03A4D" w:rsidRDefault="00D2410A"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A03A4D">
              <w:rPr>
                <w:sz w:val="20"/>
                <w:szCs w:val="20"/>
              </w:rPr>
              <w:t>15.5</w:t>
            </w:r>
            <w:r w:rsidR="00E9383D" w:rsidRPr="00A03A4D">
              <w:rPr>
                <w:sz w:val="20"/>
                <w:szCs w:val="20"/>
              </w:rPr>
              <w:t>%</w:t>
            </w:r>
          </w:p>
        </w:tc>
      </w:tr>
      <w:tr w:rsidR="001B3BE8" w:rsidRPr="00A03A4D" w14:paraId="64298933" w14:textId="77777777" w:rsidTr="00440346">
        <w:tc>
          <w:tcPr>
            <w:cnfStyle w:val="001000000000" w:firstRow="0" w:lastRow="0" w:firstColumn="1" w:lastColumn="0" w:oddVBand="0" w:evenVBand="0" w:oddHBand="0" w:evenHBand="0" w:firstRowFirstColumn="0" w:firstRowLastColumn="0" w:lastRowFirstColumn="0" w:lastRowLastColumn="0"/>
            <w:tcW w:w="1696" w:type="dxa"/>
            <w:tcBorders>
              <w:left w:val="single" w:sz="8" w:space="0" w:color="auto"/>
              <w:bottom w:val="single" w:sz="8" w:space="0" w:color="auto"/>
            </w:tcBorders>
          </w:tcPr>
          <w:p w14:paraId="1E87A7AE" w14:textId="77777777" w:rsidR="001B3BE8" w:rsidRPr="00A03A4D" w:rsidRDefault="001B3BE8" w:rsidP="006D4C6D">
            <w:pPr>
              <w:rPr>
                <w:sz w:val="20"/>
                <w:szCs w:val="20"/>
              </w:rPr>
            </w:pPr>
            <w:r w:rsidRPr="00A03A4D">
              <w:rPr>
                <w:sz w:val="20"/>
                <w:szCs w:val="20"/>
              </w:rPr>
              <w:t>TOTAL</w:t>
            </w:r>
          </w:p>
        </w:tc>
        <w:tc>
          <w:tcPr>
            <w:tcW w:w="7230" w:type="dxa"/>
            <w:tcBorders>
              <w:bottom w:val="single" w:sz="8" w:space="0" w:color="auto"/>
            </w:tcBorders>
          </w:tcPr>
          <w:p w14:paraId="5538797A" w14:textId="77777777" w:rsidR="001B3BE8" w:rsidRPr="00A03A4D" w:rsidRDefault="001B3BE8" w:rsidP="006D4C6D">
            <w:pPr>
              <w:cnfStyle w:val="000000000000" w:firstRow="0" w:lastRow="0" w:firstColumn="0" w:lastColumn="0" w:oddVBand="0" w:evenVBand="0" w:oddHBand="0" w:evenHBand="0" w:firstRowFirstColumn="0" w:firstRowLastColumn="0" w:lastRowFirstColumn="0" w:lastRowLastColumn="0"/>
              <w:rPr>
                <w:sz w:val="20"/>
                <w:szCs w:val="20"/>
              </w:rPr>
            </w:pPr>
          </w:p>
        </w:tc>
        <w:tc>
          <w:tcPr>
            <w:tcW w:w="3118" w:type="dxa"/>
            <w:tcBorders>
              <w:bottom w:val="single" w:sz="8" w:space="0" w:color="auto"/>
            </w:tcBorders>
          </w:tcPr>
          <w:p w14:paraId="72993128" w14:textId="77777777" w:rsidR="001B3BE8" w:rsidRPr="00114E7B" w:rsidRDefault="001B3BE8" w:rsidP="006D4C6D">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114E7B">
              <w:rPr>
                <w:b/>
                <w:bCs/>
                <w:sz w:val="20"/>
                <w:szCs w:val="20"/>
              </w:rPr>
              <w:t>103</w:t>
            </w:r>
          </w:p>
        </w:tc>
        <w:tc>
          <w:tcPr>
            <w:tcW w:w="1906" w:type="dxa"/>
            <w:tcBorders>
              <w:bottom w:val="single" w:sz="8" w:space="0" w:color="auto"/>
              <w:right w:val="single" w:sz="8" w:space="0" w:color="auto"/>
            </w:tcBorders>
          </w:tcPr>
          <w:p w14:paraId="79FFC4B0" w14:textId="443772E7" w:rsidR="001B3BE8" w:rsidRPr="00114E7B" w:rsidRDefault="00FB479A" w:rsidP="006D4C6D">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114E7B">
              <w:rPr>
                <w:b/>
                <w:bCs/>
                <w:sz w:val="20"/>
                <w:szCs w:val="20"/>
              </w:rPr>
              <w:t>100%</w:t>
            </w:r>
          </w:p>
        </w:tc>
      </w:tr>
    </w:tbl>
    <w:p w14:paraId="28814DB5" w14:textId="77777777" w:rsidR="001B3BE8" w:rsidRDefault="001B3BE8" w:rsidP="001B3BE8">
      <w:pPr>
        <w:rPr>
          <w:b/>
        </w:rPr>
      </w:pPr>
    </w:p>
    <w:p w14:paraId="038EECFA" w14:textId="77777777" w:rsidR="001B3BE8" w:rsidRDefault="001B3BE8" w:rsidP="001B3BE8">
      <w:pPr>
        <w:rPr>
          <w:b/>
        </w:rPr>
      </w:pPr>
    </w:p>
    <w:p w14:paraId="1D25EC98" w14:textId="77777777" w:rsidR="001B3BE8" w:rsidRDefault="001B3BE8" w:rsidP="001B3BE8">
      <w:pPr>
        <w:rPr>
          <w:b/>
        </w:rPr>
      </w:pPr>
    </w:p>
    <w:p w14:paraId="52F2386B" w14:textId="77777777" w:rsidR="001B3BE8" w:rsidRDefault="001B3BE8" w:rsidP="001B3BE8">
      <w:pPr>
        <w:rPr>
          <w:b/>
        </w:rPr>
      </w:pPr>
    </w:p>
    <w:p w14:paraId="316B395D" w14:textId="77777777" w:rsidR="001B3BE8" w:rsidRDefault="001B3BE8" w:rsidP="001B3BE8">
      <w:pPr>
        <w:rPr>
          <w:b/>
        </w:rPr>
      </w:pPr>
    </w:p>
    <w:p w14:paraId="68DA4947" w14:textId="3B27AB78" w:rsidR="000E2CB9" w:rsidRPr="00327C85" w:rsidRDefault="00137E65" w:rsidP="00327C85">
      <w:pPr>
        <w:tabs>
          <w:tab w:val="left" w:pos="1853"/>
        </w:tabs>
        <w:rPr>
          <w:b/>
        </w:rPr>
      </w:pPr>
      <w:r>
        <w:rPr>
          <w:b/>
        </w:rPr>
        <w:tab/>
      </w:r>
    </w:p>
    <w:p w14:paraId="41368FDB" w14:textId="77777777" w:rsidR="000A0696" w:rsidRDefault="000A0696">
      <w:pPr>
        <w:rPr>
          <w:b/>
          <w:bCs/>
          <w:lang w:val="en-US"/>
        </w:rPr>
      </w:pPr>
      <w:r>
        <w:rPr>
          <w:b/>
          <w:bCs/>
          <w:lang w:val="en-US"/>
        </w:rPr>
        <w:br w:type="page"/>
      </w:r>
    </w:p>
    <w:p w14:paraId="683491BD" w14:textId="4F0B7975" w:rsidR="001B3BE8" w:rsidRPr="00B84027" w:rsidRDefault="001B3BE8" w:rsidP="00B84027">
      <w:pPr>
        <w:jc w:val="center"/>
        <w:rPr>
          <w:b/>
          <w:bCs/>
          <w:lang w:val="en-US"/>
        </w:rPr>
      </w:pPr>
      <w:r w:rsidRPr="00B84027">
        <w:rPr>
          <w:b/>
          <w:bCs/>
          <w:lang w:val="en-US"/>
        </w:rPr>
        <w:t xml:space="preserve">Table 3 </w:t>
      </w:r>
      <w:r w:rsidR="002A66C7">
        <w:rPr>
          <w:b/>
          <w:bCs/>
          <w:lang w:val="en-US"/>
        </w:rPr>
        <w:t xml:space="preserve">– </w:t>
      </w:r>
      <w:r w:rsidRPr="00B84027">
        <w:rPr>
          <w:b/>
          <w:bCs/>
          <w:lang w:val="en-US"/>
        </w:rPr>
        <w:t xml:space="preserve">Volume of </w:t>
      </w:r>
      <w:r w:rsidR="002A66C7">
        <w:rPr>
          <w:b/>
          <w:bCs/>
          <w:lang w:val="en-US"/>
        </w:rPr>
        <w:t>FOI</w:t>
      </w:r>
      <w:r w:rsidRPr="00B84027">
        <w:rPr>
          <w:b/>
          <w:bCs/>
          <w:lang w:val="en-US"/>
        </w:rPr>
        <w:t xml:space="preserve"> requests </w:t>
      </w:r>
      <w:r w:rsidR="00D16198">
        <w:rPr>
          <w:b/>
          <w:bCs/>
          <w:lang w:val="en-US"/>
        </w:rPr>
        <w:t>dealt with</w:t>
      </w:r>
      <w:r w:rsidRPr="00B84027">
        <w:rPr>
          <w:b/>
          <w:bCs/>
          <w:lang w:val="en-US"/>
        </w:rPr>
        <w:t xml:space="preserve"> by ACECQA and Regulatory Authorities for 3</w:t>
      </w:r>
      <w:r w:rsidR="002A66C7">
        <w:rPr>
          <w:b/>
          <w:bCs/>
          <w:lang w:val="en-US"/>
        </w:rPr>
        <w:t>-</w:t>
      </w:r>
      <w:r w:rsidRPr="00B84027">
        <w:rPr>
          <w:b/>
          <w:bCs/>
          <w:lang w:val="en-US"/>
        </w:rPr>
        <w:t>year period by year</w:t>
      </w:r>
      <w:r w:rsidR="00EB4B7A">
        <w:rPr>
          <w:b/>
          <w:bCs/>
          <w:lang w:val="en-US"/>
        </w:rPr>
        <w:t>,</w:t>
      </w:r>
      <w:r w:rsidRPr="00B84027">
        <w:rPr>
          <w:b/>
          <w:bCs/>
          <w:lang w:val="en-US"/>
        </w:rPr>
        <w:t xml:space="preserve"> 2020</w:t>
      </w:r>
      <w:r w:rsidR="00FC5194">
        <w:rPr>
          <w:b/>
          <w:bCs/>
          <w:lang w:val="en-US"/>
        </w:rPr>
        <w:t>–2021</w:t>
      </w:r>
      <w:r w:rsidRPr="00B84027">
        <w:rPr>
          <w:b/>
          <w:bCs/>
          <w:lang w:val="en-US"/>
        </w:rPr>
        <w:t xml:space="preserve"> to 2022</w:t>
      </w:r>
      <w:r w:rsidR="00FC5194">
        <w:rPr>
          <w:b/>
          <w:bCs/>
          <w:lang w:val="en-US"/>
        </w:rPr>
        <w:t>–2023</w:t>
      </w:r>
      <w:r w:rsidR="00225388" w:rsidRPr="00B84027">
        <w:rPr>
          <w:b/>
          <w:bCs/>
          <w:lang w:val="en-US"/>
        </w:rPr>
        <w:br/>
      </w:r>
    </w:p>
    <w:tbl>
      <w:tblPr>
        <w:tblStyle w:val="GridTable4-Accent1"/>
        <w:tblW w:w="5000" w:type="pct"/>
        <w:tblLook w:val="04A0" w:firstRow="1" w:lastRow="0" w:firstColumn="1" w:lastColumn="0" w:noHBand="0" w:noVBand="1"/>
      </w:tblPr>
      <w:tblGrid>
        <w:gridCol w:w="2404"/>
        <w:gridCol w:w="1281"/>
        <w:gridCol w:w="1283"/>
        <w:gridCol w:w="1282"/>
        <w:gridCol w:w="1282"/>
        <w:gridCol w:w="1280"/>
        <w:gridCol w:w="1282"/>
        <w:gridCol w:w="1282"/>
        <w:gridCol w:w="1282"/>
        <w:gridCol w:w="1282"/>
      </w:tblGrid>
      <w:tr w:rsidR="00E73E40" w:rsidRPr="00E73E40" w14:paraId="23262B8B" w14:textId="77777777" w:rsidTr="003D5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43C7ED94" w14:textId="77777777" w:rsidR="001B3BE8" w:rsidRPr="00E73E40" w:rsidRDefault="001B3BE8" w:rsidP="006D4C6D">
            <w:pPr>
              <w:rPr>
                <w:bCs w:val="0"/>
                <w:color w:val="auto"/>
                <w:sz w:val="20"/>
                <w:szCs w:val="20"/>
              </w:rPr>
            </w:pPr>
            <w:r w:rsidRPr="00E73E40">
              <w:rPr>
                <w:bCs w:val="0"/>
                <w:color w:val="auto"/>
                <w:sz w:val="20"/>
                <w:szCs w:val="20"/>
              </w:rPr>
              <w:t>Year</w:t>
            </w:r>
          </w:p>
        </w:tc>
        <w:tc>
          <w:tcPr>
            <w:tcW w:w="459"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67F23283" w14:textId="77777777" w:rsidR="001B3BE8" w:rsidRPr="00E73E40" w:rsidRDefault="001B3BE8" w:rsidP="00444ECC">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E73E40">
              <w:rPr>
                <w:bCs w:val="0"/>
                <w:color w:val="auto"/>
                <w:sz w:val="20"/>
                <w:szCs w:val="20"/>
              </w:rPr>
              <w:t>ACECQA</w:t>
            </w:r>
          </w:p>
        </w:tc>
        <w:tc>
          <w:tcPr>
            <w:tcW w:w="460"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5188AD12" w14:textId="77777777" w:rsidR="001B3BE8" w:rsidRPr="00E73E40" w:rsidRDefault="001B3BE8" w:rsidP="00444ECC">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E73E40">
              <w:rPr>
                <w:bCs w:val="0"/>
                <w:color w:val="auto"/>
                <w:sz w:val="20"/>
                <w:szCs w:val="20"/>
              </w:rPr>
              <w:t>ACT</w:t>
            </w:r>
          </w:p>
        </w:tc>
        <w:tc>
          <w:tcPr>
            <w:tcW w:w="460"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03647172" w14:textId="77777777" w:rsidR="001B3BE8" w:rsidRPr="00E73E40" w:rsidRDefault="001B3BE8" w:rsidP="00444ECC">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E73E40">
              <w:rPr>
                <w:bCs w:val="0"/>
                <w:color w:val="auto"/>
                <w:sz w:val="20"/>
                <w:szCs w:val="20"/>
              </w:rPr>
              <w:t>NSW</w:t>
            </w:r>
          </w:p>
        </w:tc>
        <w:tc>
          <w:tcPr>
            <w:tcW w:w="460"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3F60D717" w14:textId="77777777" w:rsidR="001B3BE8" w:rsidRPr="00E73E40" w:rsidRDefault="001B3BE8" w:rsidP="00444ECC">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E73E40">
              <w:rPr>
                <w:bCs w:val="0"/>
                <w:color w:val="auto"/>
                <w:sz w:val="20"/>
                <w:szCs w:val="20"/>
              </w:rPr>
              <w:t>NT</w:t>
            </w:r>
          </w:p>
        </w:tc>
        <w:tc>
          <w:tcPr>
            <w:tcW w:w="459"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01285B6F" w14:textId="77777777" w:rsidR="001B3BE8" w:rsidRPr="00E73E40" w:rsidRDefault="001B3BE8" w:rsidP="00444ECC">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E73E40">
              <w:rPr>
                <w:bCs w:val="0"/>
                <w:color w:val="auto"/>
                <w:sz w:val="20"/>
                <w:szCs w:val="20"/>
              </w:rPr>
              <w:t>QLD</w:t>
            </w:r>
          </w:p>
        </w:tc>
        <w:tc>
          <w:tcPr>
            <w:tcW w:w="460"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04486F25" w14:textId="77777777" w:rsidR="001B3BE8" w:rsidRPr="00E73E40" w:rsidRDefault="001B3BE8" w:rsidP="00444ECC">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E73E40">
              <w:rPr>
                <w:bCs w:val="0"/>
                <w:color w:val="auto"/>
                <w:sz w:val="20"/>
                <w:szCs w:val="20"/>
              </w:rPr>
              <w:t>SA</w:t>
            </w:r>
          </w:p>
        </w:tc>
        <w:tc>
          <w:tcPr>
            <w:tcW w:w="460"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69DC8C4C" w14:textId="77777777" w:rsidR="001B3BE8" w:rsidRPr="00E73E40" w:rsidRDefault="001B3BE8" w:rsidP="00444ECC">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E73E40">
              <w:rPr>
                <w:bCs w:val="0"/>
                <w:color w:val="auto"/>
                <w:sz w:val="20"/>
                <w:szCs w:val="20"/>
              </w:rPr>
              <w:t>TAS</w:t>
            </w:r>
          </w:p>
        </w:tc>
        <w:tc>
          <w:tcPr>
            <w:tcW w:w="460"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4CFF2B3D" w14:textId="77777777" w:rsidR="001B3BE8" w:rsidRPr="00E73E40" w:rsidRDefault="001B3BE8" w:rsidP="00444ECC">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E73E40">
              <w:rPr>
                <w:bCs w:val="0"/>
                <w:color w:val="auto"/>
                <w:sz w:val="20"/>
                <w:szCs w:val="20"/>
              </w:rPr>
              <w:t>VIC</w:t>
            </w:r>
          </w:p>
        </w:tc>
        <w:tc>
          <w:tcPr>
            <w:tcW w:w="460"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742AA5C3" w14:textId="77777777" w:rsidR="001B3BE8" w:rsidRPr="00E73E40" w:rsidRDefault="001B3BE8" w:rsidP="00444ECC">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E73E40">
              <w:rPr>
                <w:bCs w:val="0"/>
                <w:color w:val="auto"/>
                <w:sz w:val="20"/>
                <w:szCs w:val="20"/>
              </w:rPr>
              <w:t>WA</w:t>
            </w:r>
          </w:p>
        </w:tc>
      </w:tr>
      <w:tr w:rsidR="004927BF" w:rsidRPr="00C551D5" w14:paraId="4E8DD432" w14:textId="77777777" w:rsidTr="003D5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top w:val="single" w:sz="8" w:space="0" w:color="auto"/>
              <w:left w:val="single" w:sz="8" w:space="0" w:color="auto"/>
            </w:tcBorders>
            <w:shd w:val="clear" w:color="auto" w:fill="95B3D7" w:themeFill="accent1" w:themeFillTint="99"/>
          </w:tcPr>
          <w:p w14:paraId="7AEC916C" w14:textId="77777777" w:rsidR="00683E00" w:rsidRPr="003D5C61" w:rsidRDefault="00683E00" w:rsidP="006D4C6D">
            <w:pPr>
              <w:rPr>
                <w:b w:val="0"/>
                <w:bCs w:val="0"/>
                <w:sz w:val="20"/>
                <w:szCs w:val="20"/>
              </w:rPr>
            </w:pPr>
            <w:r w:rsidRPr="003D5C61">
              <w:rPr>
                <w:sz w:val="20"/>
                <w:szCs w:val="20"/>
              </w:rPr>
              <w:t>2020–2021</w:t>
            </w:r>
          </w:p>
        </w:tc>
        <w:tc>
          <w:tcPr>
            <w:tcW w:w="459" w:type="pct"/>
            <w:tcBorders>
              <w:top w:val="single" w:sz="8" w:space="0" w:color="auto"/>
            </w:tcBorders>
            <w:shd w:val="clear" w:color="auto" w:fill="95B3D7" w:themeFill="accent1" w:themeFillTint="99"/>
          </w:tcPr>
          <w:p w14:paraId="6093D2D8" w14:textId="77777777" w:rsidR="00683E00" w:rsidRPr="003D5C61"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220C96FD" w14:textId="77777777" w:rsidR="00683E00" w:rsidRPr="003D5C61"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58093EAD" w14:textId="77777777" w:rsidR="00683E00" w:rsidRPr="003D5C61"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75B659B9" w14:textId="77777777" w:rsidR="00683E00" w:rsidRPr="003D5C61"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59" w:type="pct"/>
            <w:tcBorders>
              <w:top w:val="single" w:sz="8" w:space="0" w:color="auto"/>
            </w:tcBorders>
            <w:shd w:val="clear" w:color="auto" w:fill="95B3D7" w:themeFill="accent1" w:themeFillTint="99"/>
          </w:tcPr>
          <w:p w14:paraId="6F9CF71B" w14:textId="77777777" w:rsidR="00683E00" w:rsidRPr="003D5C61"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73C0AC09" w14:textId="77777777" w:rsidR="00683E00" w:rsidRPr="003D5C61"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4194BE65" w14:textId="77777777" w:rsidR="00683E00" w:rsidRPr="003D5C61"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0258FC8A" w14:textId="77777777" w:rsidR="00683E00" w:rsidRPr="003D5C61"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60" w:type="pct"/>
            <w:tcBorders>
              <w:top w:val="single" w:sz="8" w:space="0" w:color="auto"/>
              <w:right w:val="single" w:sz="8" w:space="0" w:color="auto"/>
            </w:tcBorders>
            <w:shd w:val="clear" w:color="auto" w:fill="95B3D7" w:themeFill="accent1" w:themeFillTint="99"/>
          </w:tcPr>
          <w:p w14:paraId="0A613729" w14:textId="7CFC6CF3" w:rsidR="00683E00" w:rsidRPr="003D5C61" w:rsidRDefault="00683E00" w:rsidP="006D4C6D">
            <w:pPr>
              <w:cnfStyle w:val="000000100000" w:firstRow="0" w:lastRow="0" w:firstColumn="0" w:lastColumn="0" w:oddVBand="0" w:evenVBand="0" w:oddHBand="1" w:evenHBand="0" w:firstRowFirstColumn="0" w:firstRowLastColumn="0" w:lastRowFirstColumn="0" w:lastRowLastColumn="0"/>
              <w:rPr>
                <w:sz w:val="20"/>
                <w:szCs w:val="20"/>
              </w:rPr>
            </w:pPr>
          </w:p>
        </w:tc>
      </w:tr>
      <w:tr w:rsidR="001B3BE8" w:rsidRPr="00C551D5" w14:paraId="49313BE1" w14:textId="77777777" w:rsidTr="00B4171B">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tcBorders>
          </w:tcPr>
          <w:p w14:paraId="321253C3" w14:textId="77777777" w:rsidR="001B3BE8" w:rsidRPr="00C551D5" w:rsidRDefault="001B3BE8" w:rsidP="006D4C6D">
            <w:pPr>
              <w:rPr>
                <w:sz w:val="20"/>
                <w:szCs w:val="20"/>
              </w:rPr>
            </w:pPr>
            <w:r w:rsidRPr="00C551D5">
              <w:rPr>
                <w:b w:val="0"/>
                <w:sz w:val="20"/>
                <w:szCs w:val="20"/>
              </w:rPr>
              <w:t>Number*</w:t>
            </w:r>
          </w:p>
        </w:tc>
        <w:tc>
          <w:tcPr>
            <w:tcW w:w="459" w:type="pct"/>
          </w:tcPr>
          <w:p w14:paraId="04243244"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4</w:t>
            </w:r>
          </w:p>
        </w:tc>
        <w:tc>
          <w:tcPr>
            <w:tcW w:w="460" w:type="pct"/>
          </w:tcPr>
          <w:p w14:paraId="7BA906AF"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7</w:t>
            </w:r>
          </w:p>
        </w:tc>
        <w:tc>
          <w:tcPr>
            <w:tcW w:w="460" w:type="pct"/>
          </w:tcPr>
          <w:p w14:paraId="1E725951"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27</w:t>
            </w:r>
          </w:p>
        </w:tc>
        <w:tc>
          <w:tcPr>
            <w:tcW w:w="460" w:type="pct"/>
          </w:tcPr>
          <w:p w14:paraId="23D94814"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1</w:t>
            </w:r>
          </w:p>
        </w:tc>
        <w:tc>
          <w:tcPr>
            <w:tcW w:w="459" w:type="pct"/>
          </w:tcPr>
          <w:p w14:paraId="61AEDDF6"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6</w:t>
            </w:r>
          </w:p>
        </w:tc>
        <w:tc>
          <w:tcPr>
            <w:tcW w:w="460" w:type="pct"/>
          </w:tcPr>
          <w:p w14:paraId="0C861723"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3</w:t>
            </w:r>
          </w:p>
        </w:tc>
        <w:tc>
          <w:tcPr>
            <w:tcW w:w="460" w:type="pct"/>
          </w:tcPr>
          <w:p w14:paraId="0F325B5B"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1</w:t>
            </w:r>
          </w:p>
        </w:tc>
        <w:tc>
          <w:tcPr>
            <w:tcW w:w="460" w:type="pct"/>
          </w:tcPr>
          <w:p w14:paraId="19E76A08"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10</w:t>
            </w:r>
          </w:p>
        </w:tc>
        <w:tc>
          <w:tcPr>
            <w:tcW w:w="460" w:type="pct"/>
            <w:tcBorders>
              <w:right w:val="single" w:sz="8" w:space="0" w:color="auto"/>
            </w:tcBorders>
          </w:tcPr>
          <w:p w14:paraId="5DDB82AE"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#6</w:t>
            </w:r>
          </w:p>
        </w:tc>
      </w:tr>
      <w:tr w:rsidR="001B3BE8" w:rsidRPr="00C551D5" w14:paraId="797AC94F" w14:textId="77777777" w:rsidTr="00B41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tcBorders>
          </w:tcPr>
          <w:p w14:paraId="00D30B72" w14:textId="77777777" w:rsidR="001B3BE8" w:rsidRPr="00C551D5" w:rsidRDefault="001B3BE8" w:rsidP="006D4C6D">
            <w:pPr>
              <w:rPr>
                <w:sz w:val="20"/>
                <w:szCs w:val="20"/>
              </w:rPr>
            </w:pPr>
            <w:r w:rsidRPr="00C551D5">
              <w:rPr>
                <w:b w:val="0"/>
                <w:bCs w:val="0"/>
                <w:sz w:val="20"/>
                <w:szCs w:val="20"/>
              </w:rPr>
              <w:t>No. finalised</w:t>
            </w:r>
          </w:p>
        </w:tc>
        <w:tc>
          <w:tcPr>
            <w:tcW w:w="459" w:type="pct"/>
          </w:tcPr>
          <w:p w14:paraId="3B6ACCB0"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4</w:t>
            </w:r>
          </w:p>
        </w:tc>
        <w:tc>
          <w:tcPr>
            <w:tcW w:w="460" w:type="pct"/>
          </w:tcPr>
          <w:p w14:paraId="0B3B3F3A"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6</w:t>
            </w:r>
          </w:p>
        </w:tc>
        <w:tc>
          <w:tcPr>
            <w:tcW w:w="460" w:type="pct"/>
          </w:tcPr>
          <w:p w14:paraId="7AF5575A"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20</w:t>
            </w:r>
          </w:p>
        </w:tc>
        <w:tc>
          <w:tcPr>
            <w:tcW w:w="460" w:type="pct"/>
          </w:tcPr>
          <w:p w14:paraId="31251C3F"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1</w:t>
            </w:r>
          </w:p>
        </w:tc>
        <w:tc>
          <w:tcPr>
            <w:tcW w:w="459" w:type="pct"/>
          </w:tcPr>
          <w:p w14:paraId="77B95CCC"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5</w:t>
            </w:r>
          </w:p>
        </w:tc>
        <w:tc>
          <w:tcPr>
            <w:tcW w:w="460" w:type="pct"/>
          </w:tcPr>
          <w:p w14:paraId="1D29FBFE"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3</w:t>
            </w:r>
          </w:p>
        </w:tc>
        <w:tc>
          <w:tcPr>
            <w:tcW w:w="460" w:type="pct"/>
          </w:tcPr>
          <w:p w14:paraId="6EB4F8BE"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1</w:t>
            </w:r>
          </w:p>
        </w:tc>
        <w:tc>
          <w:tcPr>
            <w:tcW w:w="460" w:type="pct"/>
          </w:tcPr>
          <w:p w14:paraId="2FB77714"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10</w:t>
            </w:r>
          </w:p>
        </w:tc>
        <w:tc>
          <w:tcPr>
            <w:tcW w:w="460" w:type="pct"/>
            <w:tcBorders>
              <w:right w:val="single" w:sz="8" w:space="0" w:color="auto"/>
            </w:tcBorders>
          </w:tcPr>
          <w:p w14:paraId="2C5FFD07"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4</w:t>
            </w:r>
          </w:p>
        </w:tc>
      </w:tr>
      <w:tr w:rsidR="001B3BE8" w:rsidRPr="00C551D5" w14:paraId="16ED89F6" w14:textId="77777777" w:rsidTr="00B4171B">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tcBorders>
          </w:tcPr>
          <w:p w14:paraId="7689DEBF" w14:textId="77777777" w:rsidR="001B3BE8" w:rsidRPr="00C551D5" w:rsidRDefault="001B3BE8" w:rsidP="006D4C6D">
            <w:pPr>
              <w:rPr>
                <w:b w:val="0"/>
                <w:bCs w:val="0"/>
                <w:sz w:val="20"/>
                <w:szCs w:val="20"/>
              </w:rPr>
            </w:pPr>
            <w:r w:rsidRPr="00C551D5">
              <w:rPr>
                <w:b w:val="0"/>
                <w:sz w:val="20"/>
                <w:szCs w:val="20"/>
              </w:rPr>
              <w:t>Access granted in full</w:t>
            </w:r>
          </w:p>
        </w:tc>
        <w:tc>
          <w:tcPr>
            <w:tcW w:w="459" w:type="pct"/>
          </w:tcPr>
          <w:p w14:paraId="223339C1"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0</w:t>
            </w:r>
          </w:p>
        </w:tc>
        <w:tc>
          <w:tcPr>
            <w:tcW w:w="460" w:type="pct"/>
          </w:tcPr>
          <w:p w14:paraId="223B580A"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60" w:type="pct"/>
          </w:tcPr>
          <w:p w14:paraId="59AD3094"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3</w:t>
            </w:r>
          </w:p>
        </w:tc>
        <w:tc>
          <w:tcPr>
            <w:tcW w:w="460" w:type="pct"/>
          </w:tcPr>
          <w:p w14:paraId="642D7967"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59" w:type="pct"/>
          </w:tcPr>
          <w:p w14:paraId="3F9743E1"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0</w:t>
            </w:r>
          </w:p>
        </w:tc>
        <w:tc>
          <w:tcPr>
            <w:tcW w:w="460" w:type="pct"/>
          </w:tcPr>
          <w:p w14:paraId="2913D1F3"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0</w:t>
            </w:r>
          </w:p>
        </w:tc>
        <w:tc>
          <w:tcPr>
            <w:tcW w:w="460" w:type="pct"/>
          </w:tcPr>
          <w:p w14:paraId="786A2E7E"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1</w:t>
            </w:r>
          </w:p>
        </w:tc>
        <w:tc>
          <w:tcPr>
            <w:tcW w:w="460" w:type="pct"/>
          </w:tcPr>
          <w:p w14:paraId="1C868219"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0</w:t>
            </w:r>
          </w:p>
        </w:tc>
        <w:tc>
          <w:tcPr>
            <w:tcW w:w="460" w:type="pct"/>
            <w:tcBorders>
              <w:right w:val="single" w:sz="8" w:space="0" w:color="auto"/>
            </w:tcBorders>
          </w:tcPr>
          <w:p w14:paraId="6F39C954"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0</w:t>
            </w:r>
          </w:p>
        </w:tc>
      </w:tr>
      <w:tr w:rsidR="001B3BE8" w:rsidRPr="00C551D5" w14:paraId="4EEC53B0" w14:textId="77777777" w:rsidTr="00B41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tcBorders>
          </w:tcPr>
          <w:p w14:paraId="31D27251" w14:textId="77777777" w:rsidR="001B3BE8" w:rsidRPr="00C551D5" w:rsidRDefault="001B3BE8" w:rsidP="006D4C6D">
            <w:pPr>
              <w:rPr>
                <w:sz w:val="20"/>
                <w:szCs w:val="20"/>
              </w:rPr>
            </w:pPr>
            <w:r w:rsidRPr="00C551D5">
              <w:rPr>
                <w:b w:val="0"/>
                <w:sz w:val="20"/>
                <w:szCs w:val="20"/>
              </w:rPr>
              <w:t>Partial access granted</w:t>
            </w:r>
          </w:p>
        </w:tc>
        <w:tc>
          <w:tcPr>
            <w:tcW w:w="459" w:type="pct"/>
          </w:tcPr>
          <w:p w14:paraId="71785FFE"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0</w:t>
            </w:r>
          </w:p>
        </w:tc>
        <w:tc>
          <w:tcPr>
            <w:tcW w:w="460" w:type="pct"/>
          </w:tcPr>
          <w:p w14:paraId="320799EC"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4</w:t>
            </w:r>
          </w:p>
        </w:tc>
        <w:tc>
          <w:tcPr>
            <w:tcW w:w="460" w:type="pct"/>
          </w:tcPr>
          <w:p w14:paraId="68A8B5F1"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11</w:t>
            </w:r>
          </w:p>
        </w:tc>
        <w:tc>
          <w:tcPr>
            <w:tcW w:w="460" w:type="pct"/>
          </w:tcPr>
          <w:p w14:paraId="2B58DC22"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1</w:t>
            </w:r>
          </w:p>
        </w:tc>
        <w:tc>
          <w:tcPr>
            <w:tcW w:w="459" w:type="pct"/>
          </w:tcPr>
          <w:p w14:paraId="0B01C851"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2</w:t>
            </w:r>
          </w:p>
        </w:tc>
        <w:tc>
          <w:tcPr>
            <w:tcW w:w="460" w:type="pct"/>
          </w:tcPr>
          <w:p w14:paraId="5E6E753C"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3</w:t>
            </w:r>
          </w:p>
        </w:tc>
        <w:tc>
          <w:tcPr>
            <w:tcW w:w="460" w:type="pct"/>
          </w:tcPr>
          <w:p w14:paraId="4E946646"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0</w:t>
            </w:r>
          </w:p>
        </w:tc>
        <w:tc>
          <w:tcPr>
            <w:tcW w:w="460" w:type="pct"/>
          </w:tcPr>
          <w:p w14:paraId="2E245F5A"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6</w:t>
            </w:r>
          </w:p>
        </w:tc>
        <w:tc>
          <w:tcPr>
            <w:tcW w:w="460" w:type="pct"/>
            <w:tcBorders>
              <w:right w:val="single" w:sz="8" w:space="0" w:color="auto"/>
            </w:tcBorders>
          </w:tcPr>
          <w:p w14:paraId="446AC3F4"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4</w:t>
            </w:r>
          </w:p>
        </w:tc>
      </w:tr>
      <w:tr w:rsidR="001B3BE8" w:rsidRPr="00C551D5" w14:paraId="38C87F02" w14:textId="77777777" w:rsidTr="00B4171B">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tcBorders>
          </w:tcPr>
          <w:p w14:paraId="5B535DEE" w14:textId="77777777" w:rsidR="001B3BE8" w:rsidRPr="00C551D5" w:rsidRDefault="001B3BE8" w:rsidP="006D4C6D">
            <w:pPr>
              <w:rPr>
                <w:sz w:val="20"/>
                <w:szCs w:val="20"/>
              </w:rPr>
            </w:pPr>
            <w:r w:rsidRPr="00C551D5">
              <w:rPr>
                <w:b w:val="0"/>
                <w:sz w:val="20"/>
                <w:szCs w:val="20"/>
              </w:rPr>
              <w:t>Access refused in full</w:t>
            </w:r>
          </w:p>
        </w:tc>
        <w:tc>
          <w:tcPr>
            <w:tcW w:w="459" w:type="pct"/>
          </w:tcPr>
          <w:p w14:paraId="284748E2"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0</w:t>
            </w:r>
          </w:p>
        </w:tc>
        <w:tc>
          <w:tcPr>
            <w:tcW w:w="460" w:type="pct"/>
          </w:tcPr>
          <w:p w14:paraId="51C3BC46"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1</w:t>
            </w:r>
          </w:p>
        </w:tc>
        <w:tc>
          <w:tcPr>
            <w:tcW w:w="460" w:type="pct"/>
          </w:tcPr>
          <w:p w14:paraId="5D1AAFC8"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4</w:t>
            </w:r>
          </w:p>
        </w:tc>
        <w:tc>
          <w:tcPr>
            <w:tcW w:w="460" w:type="pct"/>
          </w:tcPr>
          <w:p w14:paraId="63D66A24"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59" w:type="pct"/>
          </w:tcPr>
          <w:p w14:paraId="33B2C2CB"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1</w:t>
            </w:r>
          </w:p>
        </w:tc>
        <w:tc>
          <w:tcPr>
            <w:tcW w:w="460" w:type="pct"/>
          </w:tcPr>
          <w:p w14:paraId="6BE7A5CF"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60" w:type="pct"/>
          </w:tcPr>
          <w:p w14:paraId="30D0DBA7"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60" w:type="pct"/>
          </w:tcPr>
          <w:p w14:paraId="57876D68"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3</w:t>
            </w:r>
          </w:p>
        </w:tc>
        <w:tc>
          <w:tcPr>
            <w:tcW w:w="460" w:type="pct"/>
            <w:tcBorders>
              <w:right w:val="single" w:sz="8" w:space="0" w:color="auto"/>
            </w:tcBorders>
          </w:tcPr>
          <w:p w14:paraId="017D2386"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r>
      <w:tr w:rsidR="00B4171B" w:rsidRPr="00C551D5" w14:paraId="1C64BE3D" w14:textId="77777777" w:rsidTr="00B41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bottom w:val="single" w:sz="8" w:space="0" w:color="auto"/>
            </w:tcBorders>
          </w:tcPr>
          <w:p w14:paraId="7EBD3376" w14:textId="77777777" w:rsidR="001B3BE8" w:rsidRPr="00C551D5" w:rsidRDefault="001B3BE8" w:rsidP="006D4C6D">
            <w:pPr>
              <w:rPr>
                <w:sz w:val="20"/>
                <w:szCs w:val="20"/>
              </w:rPr>
            </w:pPr>
            <w:r w:rsidRPr="00C551D5">
              <w:rPr>
                <w:b w:val="0"/>
                <w:sz w:val="20"/>
                <w:szCs w:val="20"/>
              </w:rPr>
              <w:t>Requests withdrawn</w:t>
            </w:r>
          </w:p>
        </w:tc>
        <w:tc>
          <w:tcPr>
            <w:tcW w:w="459" w:type="pct"/>
            <w:tcBorders>
              <w:bottom w:val="single" w:sz="8" w:space="0" w:color="auto"/>
            </w:tcBorders>
          </w:tcPr>
          <w:p w14:paraId="3B6C22F7"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54</w:t>
            </w:r>
          </w:p>
        </w:tc>
        <w:tc>
          <w:tcPr>
            <w:tcW w:w="460" w:type="pct"/>
            <w:tcBorders>
              <w:bottom w:val="single" w:sz="8" w:space="0" w:color="auto"/>
            </w:tcBorders>
          </w:tcPr>
          <w:p w14:paraId="3E862330"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1</w:t>
            </w:r>
          </w:p>
        </w:tc>
        <w:tc>
          <w:tcPr>
            <w:tcW w:w="460" w:type="pct"/>
            <w:tcBorders>
              <w:bottom w:val="single" w:sz="8" w:space="0" w:color="auto"/>
            </w:tcBorders>
          </w:tcPr>
          <w:p w14:paraId="3B00D0E3"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2</w:t>
            </w:r>
          </w:p>
        </w:tc>
        <w:tc>
          <w:tcPr>
            <w:tcW w:w="460" w:type="pct"/>
            <w:tcBorders>
              <w:bottom w:val="single" w:sz="8" w:space="0" w:color="auto"/>
            </w:tcBorders>
          </w:tcPr>
          <w:p w14:paraId="295A763F"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59" w:type="pct"/>
            <w:tcBorders>
              <w:bottom w:val="single" w:sz="8" w:space="0" w:color="auto"/>
            </w:tcBorders>
          </w:tcPr>
          <w:p w14:paraId="0E772A4D"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2</w:t>
            </w:r>
          </w:p>
        </w:tc>
        <w:tc>
          <w:tcPr>
            <w:tcW w:w="460" w:type="pct"/>
            <w:tcBorders>
              <w:bottom w:val="single" w:sz="8" w:space="0" w:color="auto"/>
            </w:tcBorders>
          </w:tcPr>
          <w:p w14:paraId="0C9E9688"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60" w:type="pct"/>
            <w:tcBorders>
              <w:bottom w:val="single" w:sz="8" w:space="0" w:color="auto"/>
            </w:tcBorders>
          </w:tcPr>
          <w:p w14:paraId="3B01889E"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60" w:type="pct"/>
            <w:tcBorders>
              <w:bottom w:val="single" w:sz="8" w:space="0" w:color="auto"/>
            </w:tcBorders>
          </w:tcPr>
          <w:p w14:paraId="44E2EB7E"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1</w:t>
            </w:r>
          </w:p>
        </w:tc>
        <w:tc>
          <w:tcPr>
            <w:tcW w:w="460" w:type="pct"/>
            <w:tcBorders>
              <w:bottom w:val="single" w:sz="8" w:space="0" w:color="auto"/>
              <w:right w:val="single" w:sz="8" w:space="0" w:color="auto"/>
            </w:tcBorders>
          </w:tcPr>
          <w:p w14:paraId="50710F4C"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r>
      <w:tr w:rsidR="00C2324D" w:rsidRPr="00C551D5" w14:paraId="1E911A0D" w14:textId="77777777" w:rsidTr="003D5C61">
        <w:tc>
          <w:tcPr>
            <w:cnfStyle w:val="001000000000" w:firstRow="0" w:lastRow="0" w:firstColumn="1" w:lastColumn="0" w:oddVBand="0" w:evenVBand="0" w:oddHBand="0" w:evenHBand="0" w:firstRowFirstColumn="0" w:firstRowLastColumn="0" w:lastRowFirstColumn="0" w:lastRowLastColumn="0"/>
            <w:tcW w:w="862" w:type="pct"/>
            <w:tcBorders>
              <w:top w:val="single" w:sz="8" w:space="0" w:color="auto"/>
              <w:left w:val="single" w:sz="8" w:space="0" w:color="auto"/>
            </w:tcBorders>
            <w:shd w:val="clear" w:color="auto" w:fill="95B3D7" w:themeFill="accent1" w:themeFillTint="99"/>
          </w:tcPr>
          <w:p w14:paraId="0824A895" w14:textId="77777777" w:rsidR="00683E00" w:rsidRPr="00C551D5" w:rsidRDefault="00683E00" w:rsidP="006D4C6D">
            <w:pPr>
              <w:rPr>
                <w:b w:val="0"/>
                <w:bCs w:val="0"/>
                <w:sz w:val="20"/>
                <w:szCs w:val="20"/>
              </w:rPr>
            </w:pPr>
            <w:bookmarkStart w:id="49" w:name="_Hlk111126581"/>
            <w:r w:rsidRPr="00C551D5">
              <w:rPr>
                <w:sz w:val="20"/>
                <w:szCs w:val="20"/>
              </w:rPr>
              <w:t xml:space="preserve">2021–2022 </w:t>
            </w:r>
          </w:p>
        </w:tc>
        <w:tc>
          <w:tcPr>
            <w:tcW w:w="459" w:type="pct"/>
            <w:tcBorders>
              <w:top w:val="single" w:sz="8" w:space="0" w:color="auto"/>
            </w:tcBorders>
            <w:shd w:val="clear" w:color="auto" w:fill="95B3D7" w:themeFill="accent1" w:themeFillTint="99"/>
          </w:tcPr>
          <w:p w14:paraId="01641E38" w14:textId="77777777" w:rsidR="00683E00" w:rsidRPr="00C551D5" w:rsidRDefault="00683E00" w:rsidP="006D4C6D">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78E805C2" w14:textId="77777777" w:rsidR="00683E00" w:rsidRPr="00C551D5" w:rsidRDefault="00683E00" w:rsidP="006D4C6D">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7831E540" w14:textId="77777777" w:rsidR="00683E00" w:rsidRPr="00C551D5" w:rsidRDefault="00683E00" w:rsidP="006D4C6D">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2D34C4B5" w14:textId="77777777" w:rsidR="00683E00" w:rsidRPr="00C551D5" w:rsidRDefault="00683E00" w:rsidP="006D4C6D">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459" w:type="pct"/>
            <w:tcBorders>
              <w:top w:val="single" w:sz="8" w:space="0" w:color="auto"/>
            </w:tcBorders>
            <w:shd w:val="clear" w:color="auto" w:fill="95B3D7" w:themeFill="accent1" w:themeFillTint="99"/>
          </w:tcPr>
          <w:p w14:paraId="5C6B225A" w14:textId="77777777" w:rsidR="00683E00" w:rsidRPr="00C551D5" w:rsidRDefault="00683E00" w:rsidP="006D4C6D">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1511C54B" w14:textId="77777777" w:rsidR="00683E00" w:rsidRPr="00C551D5" w:rsidRDefault="00683E00" w:rsidP="006D4C6D">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65CA859E" w14:textId="77777777" w:rsidR="00683E00" w:rsidRPr="00C551D5" w:rsidRDefault="00683E00" w:rsidP="006D4C6D">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2574E128" w14:textId="77777777" w:rsidR="00683E00" w:rsidRPr="00C551D5" w:rsidRDefault="00683E00" w:rsidP="006D4C6D">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460" w:type="pct"/>
            <w:tcBorders>
              <w:top w:val="single" w:sz="8" w:space="0" w:color="auto"/>
              <w:right w:val="single" w:sz="8" w:space="0" w:color="auto"/>
            </w:tcBorders>
            <w:shd w:val="clear" w:color="auto" w:fill="95B3D7" w:themeFill="accent1" w:themeFillTint="99"/>
          </w:tcPr>
          <w:p w14:paraId="5FE2E5A7" w14:textId="322D1FAB" w:rsidR="00683E00" w:rsidRPr="00C551D5" w:rsidRDefault="00683E00" w:rsidP="006D4C6D">
            <w:pPr>
              <w:cnfStyle w:val="000000000000" w:firstRow="0" w:lastRow="0" w:firstColumn="0" w:lastColumn="0" w:oddVBand="0" w:evenVBand="0" w:oddHBand="0" w:evenHBand="0" w:firstRowFirstColumn="0" w:firstRowLastColumn="0" w:lastRowFirstColumn="0" w:lastRowLastColumn="0"/>
              <w:rPr>
                <w:sz w:val="20"/>
                <w:szCs w:val="20"/>
              </w:rPr>
            </w:pPr>
          </w:p>
        </w:tc>
      </w:tr>
      <w:tr w:rsidR="00F909CF" w:rsidRPr="00C551D5" w14:paraId="70B5974E" w14:textId="77777777" w:rsidTr="00F909C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tcBorders>
            <w:shd w:val="clear" w:color="auto" w:fill="auto"/>
          </w:tcPr>
          <w:p w14:paraId="3FA12B28" w14:textId="77777777" w:rsidR="001B3BE8" w:rsidRPr="00C551D5" w:rsidRDefault="001B3BE8" w:rsidP="006D4C6D">
            <w:pPr>
              <w:rPr>
                <w:sz w:val="20"/>
                <w:szCs w:val="20"/>
              </w:rPr>
            </w:pPr>
            <w:r w:rsidRPr="00C551D5">
              <w:rPr>
                <w:b w:val="0"/>
                <w:sz w:val="20"/>
                <w:szCs w:val="20"/>
              </w:rPr>
              <w:t>Number*</w:t>
            </w:r>
          </w:p>
        </w:tc>
        <w:tc>
          <w:tcPr>
            <w:tcW w:w="459" w:type="pct"/>
            <w:shd w:val="clear" w:color="auto" w:fill="auto"/>
          </w:tcPr>
          <w:p w14:paraId="25016D7B"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6</w:t>
            </w:r>
          </w:p>
        </w:tc>
        <w:tc>
          <w:tcPr>
            <w:tcW w:w="460" w:type="pct"/>
            <w:shd w:val="clear" w:color="auto" w:fill="auto"/>
          </w:tcPr>
          <w:p w14:paraId="42D1DA41"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4</w:t>
            </w:r>
          </w:p>
        </w:tc>
        <w:tc>
          <w:tcPr>
            <w:tcW w:w="460" w:type="pct"/>
            <w:shd w:val="clear" w:color="auto" w:fill="auto"/>
          </w:tcPr>
          <w:p w14:paraId="07AECFE6"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51</w:t>
            </w:r>
          </w:p>
        </w:tc>
        <w:tc>
          <w:tcPr>
            <w:tcW w:w="460" w:type="pct"/>
            <w:shd w:val="clear" w:color="auto" w:fill="auto"/>
          </w:tcPr>
          <w:p w14:paraId="586A6DB0"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0</w:t>
            </w:r>
          </w:p>
        </w:tc>
        <w:tc>
          <w:tcPr>
            <w:tcW w:w="459" w:type="pct"/>
            <w:shd w:val="clear" w:color="auto" w:fill="auto"/>
          </w:tcPr>
          <w:p w14:paraId="05FEEF8E"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16</w:t>
            </w:r>
          </w:p>
        </w:tc>
        <w:tc>
          <w:tcPr>
            <w:tcW w:w="460" w:type="pct"/>
            <w:shd w:val="clear" w:color="auto" w:fill="auto"/>
          </w:tcPr>
          <w:p w14:paraId="2038BC4E"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0</w:t>
            </w:r>
          </w:p>
        </w:tc>
        <w:tc>
          <w:tcPr>
            <w:tcW w:w="460" w:type="pct"/>
            <w:shd w:val="clear" w:color="auto" w:fill="auto"/>
          </w:tcPr>
          <w:p w14:paraId="3B9CCC23"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0</w:t>
            </w:r>
          </w:p>
        </w:tc>
        <w:tc>
          <w:tcPr>
            <w:tcW w:w="460" w:type="pct"/>
            <w:shd w:val="clear" w:color="auto" w:fill="auto"/>
          </w:tcPr>
          <w:p w14:paraId="09501F5A"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12</w:t>
            </w:r>
          </w:p>
        </w:tc>
        <w:tc>
          <w:tcPr>
            <w:tcW w:w="460" w:type="pct"/>
            <w:tcBorders>
              <w:right w:val="single" w:sz="8" w:space="0" w:color="auto"/>
            </w:tcBorders>
            <w:shd w:val="clear" w:color="auto" w:fill="auto"/>
          </w:tcPr>
          <w:p w14:paraId="61CF81DB"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9</w:t>
            </w:r>
          </w:p>
        </w:tc>
      </w:tr>
      <w:tr w:rsidR="001B3BE8" w:rsidRPr="00C551D5" w14:paraId="2640D6E2" w14:textId="77777777" w:rsidTr="00F909CF">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tcBorders>
            <w:shd w:val="clear" w:color="auto" w:fill="DBE5F1" w:themeFill="accent1" w:themeFillTint="33"/>
          </w:tcPr>
          <w:p w14:paraId="017A88FF" w14:textId="77777777" w:rsidR="001B3BE8" w:rsidRPr="00C551D5" w:rsidRDefault="001B3BE8" w:rsidP="006D4C6D">
            <w:pPr>
              <w:rPr>
                <w:sz w:val="20"/>
                <w:szCs w:val="20"/>
              </w:rPr>
            </w:pPr>
            <w:r w:rsidRPr="00C551D5">
              <w:rPr>
                <w:b w:val="0"/>
                <w:bCs w:val="0"/>
                <w:sz w:val="20"/>
                <w:szCs w:val="20"/>
              </w:rPr>
              <w:t>No. finalised</w:t>
            </w:r>
          </w:p>
        </w:tc>
        <w:tc>
          <w:tcPr>
            <w:tcW w:w="459" w:type="pct"/>
            <w:shd w:val="clear" w:color="auto" w:fill="DBE5F1" w:themeFill="accent1" w:themeFillTint="33"/>
          </w:tcPr>
          <w:p w14:paraId="54E64347"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6</w:t>
            </w:r>
          </w:p>
        </w:tc>
        <w:tc>
          <w:tcPr>
            <w:tcW w:w="460" w:type="pct"/>
            <w:shd w:val="clear" w:color="auto" w:fill="DBE5F1" w:themeFill="accent1" w:themeFillTint="33"/>
          </w:tcPr>
          <w:p w14:paraId="20AFCDD1"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3</w:t>
            </w:r>
          </w:p>
        </w:tc>
        <w:tc>
          <w:tcPr>
            <w:tcW w:w="460" w:type="pct"/>
            <w:shd w:val="clear" w:color="auto" w:fill="DBE5F1" w:themeFill="accent1" w:themeFillTint="33"/>
          </w:tcPr>
          <w:p w14:paraId="137793C2"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47</w:t>
            </w:r>
          </w:p>
        </w:tc>
        <w:tc>
          <w:tcPr>
            <w:tcW w:w="460" w:type="pct"/>
            <w:shd w:val="clear" w:color="auto" w:fill="DBE5F1" w:themeFill="accent1" w:themeFillTint="33"/>
          </w:tcPr>
          <w:p w14:paraId="6D6C423B"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0</w:t>
            </w:r>
          </w:p>
        </w:tc>
        <w:tc>
          <w:tcPr>
            <w:tcW w:w="459" w:type="pct"/>
            <w:shd w:val="clear" w:color="auto" w:fill="DBE5F1" w:themeFill="accent1" w:themeFillTint="33"/>
          </w:tcPr>
          <w:p w14:paraId="6D35B995"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#10</w:t>
            </w:r>
          </w:p>
        </w:tc>
        <w:tc>
          <w:tcPr>
            <w:tcW w:w="460" w:type="pct"/>
            <w:shd w:val="clear" w:color="auto" w:fill="DBE5F1" w:themeFill="accent1" w:themeFillTint="33"/>
          </w:tcPr>
          <w:p w14:paraId="411D758D"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0</w:t>
            </w:r>
          </w:p>
        </w:tc>
        <w:tc>
          <w:tcPr>
            <w:tcW w:w="460" w:type="pct"/>
            <w:shd w:val="clear" w:color="auto" w:fill="DBE5F1" w:themeFill="accent1" w:themeFillTint="33"/>
          </w:tcPr>
          <w:p w14:paraId="223375C5"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0</w:t>
            </w:r>
          </w:p>
        </w:tc>
        <w:tc>
          <w:tcPr>
            <w:tcW w:w="460" w:type="pct"/>
            <w:shd w:val="clear" w:color="auto" w:fill="DBE5F1" w:themeFill="accent1" w:themeFillTint="33"/>
          </w:tcPr>
          <w:p w14:paraId="2B39CE59"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9</w:t>
            </w:r>
          </w:p>
        </w:tc>
        <w:tc>
          <w:tcPr>
            <w:tcW w:w="460" w:type="pct"/>
            <w:tcBorders>
              <w:right w:val="single" w:sz="8" w:space="0" w:color="auto"/>
            </w:tcBorders>
            <w:shd w:val="clear" w:color="auto" w:fill="DBE5F1" w:themeFill="accent1" w:themeFillTint="33"/>
          </w:tcPr>
          <w:p w14:paraId="63AE069E"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8</w:t>
            </w:r>
          </w:p>
        </w:tc>
      </w:tr>
      <w:tr w:rsidR="00F909CF" w:rsidRPr="00C551D5" w14:paraId="3D5F0733" w14:textId="77777777" w:rsidTr="00F90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tcBorders>
            <w:shd w:val="clear" w:color="auto" w:fill="auto"/>
          </w:tcPr>
          <w:p w14:paraId="20805CC4" w14:textId="77777777" w:rsidR="001B3BE8" w:rsidRPr="00C551D5" w:rsidRDefault="001B3BE8" w:rsidP="006D4C6D">
            <w:pPr>
              <w:rPr>
                <w:b w:val="0"/>
                <w:bCs w:val="0"/>
                <w:sz w:val="20"/>
                <w:szCs w:val="20"/>
              </w:rPr>
            </w:pPr>
            <w:r w:rsidRPr="00C551D5">
              <w:rPr>
                <w:b w:val="0"/>
                <w:sz w:val="20"/>
                <w:szCs w:val="20"/>
              </w:rPr>
              <w:t>Access granted in full</w:t>
            </w:r>
          </w:p>
        </w:tc>
        <w:tc>
          <w:tcPr>
            <w:tcW w:w="459" w:type="pct"/>
            <w:shd w:val="clear" w:color="auto" w:fill="auto"/>
          </w:tcPr>
          <w:p w14:paraId="77739BAC"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60" w:type="pct"/>
            <w:shd w:val="clear" w:color="auto" w:fill="auto"/>
          </w:tcPr>
          <w:p w14:paraId="292818D6"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1</w:t>
            </w:r>
          </w:p>
        </w:tc>
        <w:tc>
          <w:tcPr>
            <w:tcW w:w="460" w:type="pct"/>
            <w:shd w:val="clear" w:color="auto" w:fill="auto"/>
          </w:tcPr>
          <w:p w14:paraId="024D8D42"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5</w:t>
            </w:r>
          </w:p>
        </w:tc>
        <w:tc>
          <w:tcPr>
            <w:tcW w:w="460" w:type="pct"/>
            <w:shd w:val="clear" w:color="auto" w:fill="auto"/>
          </w:tcPr>
          <w:p w14:paraId="7430C356"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59" w:type="pct"/>
            <w:shd w:val="clear" w:color="auto" w:fill="auto"/>
          </w:tcPr>
          <w:p w14:paraId="0DC2BA73"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3</w:t>
            </w:r>
          </w:p>
        </w:tc>
        <w:tc>
          <w:tcPr>
            <w:tcW w:w="460" w:type="pct"/>
            <w:shd w:val="clear" w:color="auto" w:fill="auto"/>
          </w:tcPr>
          <w:p w14:paraId="02779018"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60" w:type="pct"/>
            <w:shd w:val="clear" w:color="auto" w:fill="auto"/>
          </w:tcPr>
          <w:p w14:paraId="3FDF92AE"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0</w:t>
            </w:r>
          </w:p>
        </w:tc>
        <w:tc>
          <w:tcPr>
            <w:tcW w:w="460" w:type="pct"/>
            <w:shd w:val="clear" w:color="auto" w:fill="auto"/>
          </w:tcPr>
          <w:p w14:paraId="7F0AEC42"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60" w:type="pct"/>
            <w:tcBorders>
              <w:right w:val="single" w:sz="8" w:space="0" w:color="auto"/>
            </w:tcBorders>
            <w:shd w:val="clear" w:color="auto" w:fill="auto"/>
          </w:tcPr>
          <w:p w14:paraId="6116A905"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r>
      <w:tr w:rsidR="001B3BE8" w:rsidRPr="00C551D5" w14:paraId="547DEFEE" w14:textId="77777777" w:rsidTr="00F909CF">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tcBorders>
            <w:shd w:val="clear" w:color="auto" w:fill="DBE5F1" w:themeFill="accent1" w:themeFillTint="33"/>
          </w:tcPr>
          <w:p w14:paraId="01A3F5F7" w14:textId="77777777" w:rsidR="001B3BE8" w:rsidRPr="00C551D5" w:rsidRDefault="001B3BE8" w:rsidP="006D4C6D">
            <w:pPr>
              <w:rPr>
                <w:sz w:val="20"/>
                <w:szCs w:val="20"/>
              </w:rPr>
            </w:pPr>
            <w:r w:rsidRPr="00C551D5">
              <w:rPr>
                <w:b w:val="0"/>
                <w:sz w:val="20"/>
                <w:szCs w:val="20"/>
              </w:rPr>
              <w:t>Partial access granted</w:t>
            </w:r>
          </w:p>
        </w:tc>
        <w:tc>
          <w:tcPr>
            <w:tcW w:w="459" w:type="pct"/>
            <w:shd w:val="clear" w:color="auto" w:fill="DBE5F1" w:themeFill="accent1" w:themeFillTint="33"/>
          </w:tcPr>
          <w:p w14:paraId="0A1FAE52"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1</w:t>
            </w:r>
          </w:p>
        </w:tc>
        <w:tc>
          <w:tcPr>
            <w:tcW w:w="460" w:type="pct"/>
            <w:shd w:val="clear" w:color="auto" w:fill="DBE5F1" w:themeFill="accent1" w:themeFillTint="33"/>
          </w:tcPr>
          <w:p w14:paraId="7C6F2BFF"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1</w:t>
            </w:r>
          </w:p>
        </w:tc>
        <w:tc>
          <w:tcPr>
            <w:tcW w:w="460" w:type="pct"/>
            <w:shd w:val="clear" w:color="auto" w:fill="DBE5F1" w:themeFill="accent1" w:themeFillTint="33"/>
          </w:tcPr>
          <w:p w14:paraId="4FF7C16C"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30</w:t>
            </w:r>
          </w:p>
        </w:tc>
        <w:tc>
          <w:tcPr>
            <w:tcW w:w="460" w:type="pct"/>
            <w:shd w:val="clear" w:color="auto" w:fill="DBE5F1" w:themeFill="accent1" w:themeFillTint="33"/>
          </w:tcPr>
          <w:p w14:paraId="6EC41E21"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0</w:t>
            </w:r>
          </w:p>
        </w:tc>
        <w:tc>
          <w:tcPr>
            <w:tcW w:w="459" w:type="pct"/>
            <w:shd w:val="clear" w:color="auto" w:fill="DBE5F1" w:themeFill="accent1" w:themeFillTint="33"/>
          </w:tcPr>
          <w:p w14:paraId="74C4C648"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5</w:t>
            </w:r>
          </w:p>
        </w:tc>
        <w:tc>
          <w:tcPr>
            <w:tcW w:w="460" w:type="pct"/>
            <w:shd w:val="clear" w:color="auto" w:fill="DBE5F1" w:themeFill="accent1" w:themeFillTint="33"/>
          </w:tcPr>
          <w:p w14:paraId="3BF7A062"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0</w:t>
            </w:r>
          </w:p>
        </w:tc>
        <w:tc>
          <w:tcPr>
            <w:tcW w:w="460" w:type="pct"/>
            <w:shd w:val="clear" w:color="auto" w:fill="DBE5F1" w:themeFill="accent1" w:themeFillTint="33"/>
          </w:tcPr>
          <w:p w14:paraId="25D09C8E"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60" w:type="pct"/>
            <w:shd w:val="clear" w:color="auto" w:fill="DBE5F1" w:themeFill="accent1" w:themeFillTint="33"/>
          </w:tcPr>
          <w:p w14:paraId="4F12BBF7"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7</w:t>
            </w:r>
          </w:p>
        </w:tc>
        <w:tc>
          <w:tcPr>
            <w:tcW w:w="460" w:type="pct"/>
            <w:tcBorders>
              <w:right w:val="single" w:sz="8" w:space="0" w:color="auto"/>
            </w:tcBorders>
            <w:shd w:val="clear" w:color="auto" w:fill="DBE5F1" w:themeFill="accent1" w:themeFillTint="33"/>
          </w:tcPr>
          <w:p w14:paraId="1CC1DE68"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0</w:t>
            </w:r>
          </w:p>
        </w:tc>
      </w:tr>
      <w:tr w:rsidR="00F909CF" w:rsidRPr="00C551D5" w14:paraId="4F362549" w14:textId="77777777" w:rsidTr="00F90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tcBorders>
            <w:shd w:val="clear" w:color="auto" w:fill="auto"/>
          </w:tcPr>
          <w:p w14:paraId="7E6A677B" w14:textId="77777777" w:rsidR="001B3BE8" w:rsidRPr="00C551D5" w:rsidRDefault="001B3BE8" w:rsidP="006D4C6D">
            <w:pPr>
              <w:rPr>
                <w:sz w:val="20"/>
                <w:szCs w:val="20"/>
              </w:rPr>
            </w:pPr>
            <w:r w:rsidRPr="00C551D5">
              <w:rPr>
                <w:b w:val="0"/>
                <w:sz w:val="20"/>
                <w:szCs w:val="20"/>
              </w:rPr>
              <w:t>Access refused in full</w:t>
            </w:r>
          </w:p>
        </w:tc>
        <w:tc>
          <w:tcPr>
            <w:tcW w:w="459" w:type="pct"/>
            <w:shd w:val="clear" w:color="auto" w:fill="auto"/>
          </w:tcPr>
          <w:p w14:paraId="5310DAB6"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60" w:type="pct"/>
            <w:shd w:val="clear" w:color="auto" w:fill="auto"/>
          </w:tcPr>
          <w:p w14:paraId="48A349DD"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0</w:t>
            </w:r>
          </w:p>
        </w:tc>
        <w:tc>
          <w:tcPr>
            <w:tcW w:w="460" w:type="pct"/>
            <w:shd w:val="clear" w:color="auto" w:fill="auto"/>
          </w:tcPr>
          <w:p w14:paraId="3B5583A5"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7</w:t>
            </w:r>
          </w:p>
        </w:tc>
        <w:tc>
          <w:tcPr>
            <w:tcW w:w="460" w:type="pct"/>
            <w:shd w:val="clear" w:color="auto" w:fill="auto"/>
          </w:tcPr>
          <w:p w14:paraId="5AA81B0B"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59" w:type="pct"/>
            <w:shd w:val="clear" w:color="auto" w:fill="auto"/>
          </w:tcPr>
          <w:p w14:paraId="7E22677C"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0</w:t>
            </w:r>
          </w:p>
        </w:tc>
        <w:tc>
          <w:tcPr>
            <w:tcW w:w="460" w:type="pct"/>
            <w:shd w:val="clear" w:color="auto" w:fill="auto"/>
          </w:tcPr>
          <w:p w14:paraId="08E8EEDF"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60" w:type="pct"/>
            <w:shd w:val="clear" w:color="auto" w:fill="auto"/>
          </w:tcPr>
          <w:p w14:paraId="6B208700"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60" w:type="pct"/>
            <w:shd w:val="clear" w:color="auto" w:fill="auto"/>
          </w:tcPr>
          <w:p w14:paraId="59E7E85C"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1</w:t>
            </w:r>
          </w:p>
        </w:tc>
        <w:tc>
          <w:tcPr>
            <w:tcW w:w="460" w:type="pct"/>
            <w:tcBorders>
              <w:right w:val="single" w:sz="8" w:space="0" w:color="auto"/>
            </w:tcBorders>
            <w:shd w:val="clear" w:color="auto" w:fill="auto"/>
          </w:tcPr>
          <w:p w14:paraId="30C9F7DA"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8</w:t>
            </w:r>
          </w:p>
        </w:tc>
      </w:tr>
      <w:tr w:rsidR="00F909CF" w:rsidRPr="00C551D5" w14:paraId="30588963" w14:textId="77777777" w:rsidTr="00F909CF">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bottom w:val="single" w:sz="8" w:space="0" w:color="auto"/>
            </w:tcBorders>
            <w:shd w:val="clear" w:color="auto" w:fill="DBE5F1" w:themeFill="accent1" w:themeFillTint="33"/>
          </w:tcPr>
          <w:p w14:paraId="6B41391C" w14:textId="77777777" w:rsidR="001B3BE8" w:rsidRPr="00C551D5" w:rsidRDefault="001B3BE8" w:rsidP="006D4C6D">
            <w:pPr>
              <w:rPr>
                <w:sz w:val="20"/>
                <w:szCs w:val="20"/>
              </w:rPr>
            </w:pPr>
            <w:r w:rsidRPr="00C551D5">
              <w:rPr>
                <w:b w:val="0"/>
                <w:sz w:val="20"/>
                <w:szCs w:val="20"/>
              </w:rPr>
              <w:t>Requests withdrawn</w:t>
            </w:r>
          </w:p>
        </w:tc>
        <w:tc>
          <w:tcPr>
            <w:tcW w:w="459" w:type="pct"/>
            <w:tcBorders>
              <w:bottom w:val="single" w:sz="8" w:space="0" w:color="auto"/>
            </w:tcBorders>
            <w:shd w:val="clear" w:color="auto" w:fill="DBE5F1" w:themeFill="accent1" w:themeFillTint="33"/>
          </w:tcPr>
          <w:p w14:paraId="4038CDF9"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5</w:t>
            </w:r>
          </w:p>
        </w:tc>
        <w:tc>
          <w:tcPr>
            <w:tcW w:w="460" w:type="pct"/>
            <w:tcBorders>
              <w:bottom w:val="single" w:sz="8" w:space="0" w:color="auto"/>
            </w:tcBorders>
            <w:shd w:val="clear" w:color="auto" w:fill="DBE5F1" w:themeFill="accent1" w:themeFillTint="33"/>
          </w:tcPr>
          <w:p w14:paraId="5E42AB63"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1</w:t>
            </w:r>
          </w:p>
        </w:tc>
        <w:tc>
          <w:tcPr>
            <w:tcW w:w="460" w:type="pct"/>
            <w:tcBorders>
              <w:bottom w:val="single" w:sz="8" w:space="0" w:color="auto"/>
            </w:tcBorders>
            <w:shd w:val="clear" w:color="auto" w:fill="DBE5F1" w:themeFill="accent1" w:themeFillTint="33"/>
          </w:tcPr>
          <w:p w14:paraId="3EB5DE50"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5</w:t>
            </w:r>
          </w:p>
        </w:tc>
        <w:tc>
          <w:tcPr>
            <w:tcW w:w="460" w:type="pct"/>
            <w:tcBorders>
              <w:bottom w:val="single" w:sz="8" w:space="0" w:color="auto"/>
            </w:tcBorders>
            <w:shd w:val="clear" w:color="auto" w:fill="DBE5F1" w:themeFill="accent1" w:themeFillTint="33"/>
          </w:tcPr>
          <w:p w14:paraId="621E8BBC"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59" w:type="pct"/>
            <w:tcBorders>
              <w:bottom w:val="single" w:sz="8" w:space="0" w:color="auto"/>
            </w:tcBorders>
            <w:shd w:val="clear" w:color="auto" w:fill="DBE5F1" w:themeFill="accent1" w:themeFillTint="33"/>
          </w:tcPr>
          <w:p w14:paraId="48E3A1FC"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2</w:t>
            </w:r>
          </w:p>
        </w:tc>
        <w:tc>
          <w:tcPr>
            <w:tcW w:w="460" w:type="pct"/>
            <w:tcBorders>
              <w:bottom w:val="single" w:sz="8" w:space="0" w:color="auto"/>
            </w:tcBorders>
            <w:shd w:val="clear" w:color="auto" w:fill="DBE5F1" w:themeFill="accent1" w:themeFillTint="33"/>
          </w:tcPr>
          <w:p w14:paraId="5FCA0F98"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60" w:type="pct"/>
            <w:tcBorders>
              <w:bottom w:val="single" w:sz="8" w:space="0" w:color="auto"/>
            </w:tcBorders>
            <w:shd w:val="clear" w:color="auto" w:fill="DBE5F1" w:themeFill="accent1" w:themeFillTint="33"/>
          </w:tcPr>
          <w:p w14:paraId="65C52C42"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60" w:type="pct"/>
            <w:tcBorders>
              <w:bottom w:val="single" w:sz="8" w:space="0" w:color="auto"/>
            </w:tcBorders>
            <w:shd w:val="clear" w:color="auto" w:fill="DBE5F1" w:themeFill="accent1" w:themeFillTint="33"/>
          </w:tcPr>
          <w:p w14:paraId="583FCB59"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1</w:t>
            </w:r>
          </w:p>
        </w:tc>
        <w:tc>
          <w:tcPr>
            <w:tcW w:w="460" w:type="pct"/>
            <w:tcBorders>
              <w:bottom w:val="single" w:sz="8" w:space="0" w:color="auto"/>
              <w:right w:val="single" w:sz="8" w:space="0" w:color="auto"/>
            </w:tcBorders>
            <w:shd w:val="clear" w:color="auto" w:fill="DBE5F1" w:themeFill="accent1" w:themeFillTint="33"/>
          </w:tcPr>
          <w:p w14:paraId="2268FA56"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r>
      <w:bookmarkEnd w:id="49"/>
      <w:tr w:rsidR="00C2324D" w:rsidRPr="00C551D5" w14:paraId="19C2F5AD" w14:textId="77777777" w:rsidTr="003D5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top w:val="single" w:sz="8" w:space="0" w:color="auto"/>
              <w:left w:val="single" w:sz="8" w:space="0" w:color="auto"/>
            </w:tcBorders>
            <w:shd w:val="clear" w:color="auto" w:fill="95B3D7" w:themeFill="accent1" w:themeFillTint="99"/>
          </w:tcPr>
          <w:p w14:paraId="5165696A" w14:textId="77777777" w:rsidR="00683E00" w:rsidRPr="00C551D5" w:rsidRDefault="00683E00" w:rsidP="006D4C6D">
            <w:pPr>
              <w:rPr>
                <w:b w:val="0"/>
                <w:bCs w:val="0"/>
                <w:sz w:val="20"/>
                <w:szCs w:val="20"/>
              </w:rPr>
            </w:pPr>
            <w:r w:rsidRPr="00C551D5">
              <w:rPr>
                <w:sz w:val="20"/>
                <w:szCs w:val="20"/>
              </w:rPr>
              <w:t>2022–2023</w:t>
            </w:r>
          </w:p>
        </w:tc>
        <w:tc>
          <w:tcPr>
            <w:tcW w:w="459" w:type="pct"/>
            <w:tcBorders>
              <w:top w:val="single" w:sz="8" w:space="0" w:color="auto"/>
            </w:tcBorders>
            <w:shd w:val="clear" w:color="auto" w:fill="95B3D7" w:themeFill="accent1" w:themeFillTint="99"/>
          </w:tcPr>
          <w:p w14:paraId="3A89D788" w14:textId="77777777" w:rsidR="00683E00" w:rsidRPr="00C551D5"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551E55F2" w14:textId="77777777" w:rsidR="00683E00" w:rsidRPr="00C551D5"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07D40114" w14:textId="77777777" w:rsidR="00683E00" w:rsidRPr="00C551D5"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6B3A1FC6" w14:textId="77777777" w:rsidR="00683E00" w:rsidRPr="00C551D5"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59" w:type="pct"/>
            <w:tcBorders>
              <w:top w:val="single" w:sz="8" w:space="0" w:color="auto"/>
            </w:tcBorders>
            <w:shd w:val="clear" w:color="auto" w:fill="95B3D7" w:themeFill="accent1" w:themeFillTint="99"/>
          </w:tcPr>
          <w:p w14:paraId="2FE1E205" w14:textId="77777777" w:rsidR="00683E00" w:rsidRPr="00C551D5"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07A8B3A9" w14:textId="77777777" w:rsidR="00683E00" w:rsidRPr="00C551D5"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6E0105B3" w14:textId="77777777" w:rsidR="00683E00" w:rsidRPr="00C551D5"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60" w:type="pct"/>
            <w:tcBorders>
              <w:top w:val="single" w:sz="8" w:space="0" w:color="auto"/>
            </w:tcBorders>
            <w:shd w:val="clear" w:color="auto" w:fill="95B3D7" w:themeFill="accent1" w:themeFillTint="99"/>
          </w:tcPr>
          <w:p w14:paraId="3844A3C8" w14:textId="77777777" w:rsidR="00683E00" w:rsidRPr="00C551D5" w:rsidRDefault="00683E00" w:rsidP="006D4C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60" w:type="pct"/>
            <w:tcBorders>
              <w:top w:val="single" w:sz="8" w:space="0" w:color="auto"/>
              <w:right w:val="single" w:sz="8" w:space="0" w:color="auto"/>
            </w:tcBorders>
            <w:shd w:val="clear" w:color="auto" w:fill="95B3D7" w:themeFill="accent1" w:themeFillTint="99"/>
          </w:tcPr>
          <w:p w14:paraId="4F9B7421" w14:textId="4A4B9A25" w:rsidR="00683E00" w:rsidRPr="00C551D5" w:rsidRDefault="00683E00" w:rsidP="006D4C6D">
            <w:pPr>
              <w:cnfStyle w:val="000000100000" w:firstRow="0" w:lastRow="0" w:firstColumn="0" w:lastColumn="0" w:oddVBand="0" w:evenVBand="0" w:oddHBand="1" w:evenHBand="0" w:firstRowFirstColumn="0" w:firstRowLastColumn="0" w:lastRowFirstColumn="0" w:lastRowLastColumn="0"/>
              <w:rPr>
                <w:sz w:val="20"/>
                <w:szCs w:val="20"/>
              </w:rPr>
            </w:pPr>
          </w:p>
        </w:tc>
      </w:tr>
      <w:tr w:rsidR="001B3BE8" w:rsidRPr="00C551D5" w14:paraId="06613FBE" w14:textId="77777777" w:rsidTr="00B4171B">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tcBorders>
          </w:tcPr>
          <w:p w14:paraId="67579F99" w14:textId="77777777" w:rsidR="001B3BE8" w:rsidRPr="00C551D5" w:rsidRDefault="001B3BE8" w:rsidP="006D4C6D">
            <w:pPr>
              <w:rPr>
                <w:sz w:val="20"/>
                <w:szCs w:val="20"/>
              </w:rPr>
            </w:pPr>
            <w:r w:rsidRPr="00C551D5">
              <w:rPr>
                <w:b w:val="0"/>
                <w:sz w:val="20"/>
                <w:szCs w:val="20"/>
              </w:rPr>
              <w:t>Number*</w:t>
            </w:r>
          </w:p>
        </w:tc>
        <w:tc>
          <w:tcPr>
            <w:tcW w:w="459" w:type="pct"/>
          </w:tcPr>
          <w:p w14:paraId="2792A1CD"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1</w:t>
            </w:r>
          </w:p>
        </w:tc>
        <w:tc>
          <w:tcPr>
            <w:tcW w:w="460" w:type="pct"/>
          </w:tcPr>
          <w:p w14:paraId="3F55FA8F"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4</w:t>
            </w:r>
          </w:p>
        </w:tc>
        <w:tc>
          <w:tcPr>
            <w:tcW w:w="460" w:type="pct"/>
          </w:tcPr>
          <w:p w14:paraId="607A058E"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46</w:t>
            </w:r>
          </w:p>
        </w:tc>
        <w:tc>
          <w:tcPr>
            <w:tcW w:w="460" w:type="pct"/>
          </w:tcPr>
          <w:p w14:paraId="44340EF9"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59" w:type="pct"/>
          </w:tcPr>
          <w:p w14:paraId="1C2F4000"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16</w:t>
            </w:r>
          </w:p>
        </w:tc>
        <w:tc>
          <w:tcPr>
            <w:tcW w:w="460" w:type="pct"/>
          </w:tcPr>
          <w:p w14:paraId="5BB6F5CC"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3</w:t>
            </w:r>
          </w:p>
        </w:tc>
        <w:tc>
          <w:tcPr>
            <w:tcW w:w="460" w:type="pct"/>
          </w:tcPr>
          <w:p w14:paraId="15007CFC"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1</w:t>
            </w:r>
          </w:p>
        </w:tc>
        <w:tc>
          <w:tcPr>
            <w:tcW w:w="460" w:type="pct"/>
          </w:tcPr>
          <w:p w14:paraId="4EC79C46"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10</w:t>
            </w:r>
          </w:p>
        </w:tc>
        <w:tc>
          <w:tcPr>
            <w:tcW w:w="460" w:type="pct"/>
            <w:tcBorders>
              <w:right w:val="single" w:sz="8" w:space="0" w:color="auto"/>
            </w:tcBorders>
          </w:tcPr>
          <w:p w14:paraId="5AC30344"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5</w:t>
            </w:r>
          </w:p>
        </w:tc>
      </w:tr>
      <w:tr w:rsidR="001B3BE8" w:rsidRPr="00C551D5" w14:paraId="745B104C" w14:textId="77777777" w:rsidTr="00B41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tcBorders>
          </w:tcPr>
          <w:p w14:paraId="5BD70F0C" w14:textId="77777777" w:rsidR="001B3BE8" w:rsidRPr="00C551D5" w:rsidRDefault="001B3BE8" w:rsidP="006D4C6D">
            <w:pPr>
              <w:rPr>
                <w:sz w:val="20"/>
                <w:szCs w:val="20"/>
              </w:rPr>
            </w:pPr>
            <w:r w:rsidRPr="00C551D5">
              <w:rPr>
                <w:b w:val="0"/>
                <w:bCs w:val="0"/>
                <w:sz w:val="20"/>
                <w:szCs w:val="20"/>
              </w:rPr>
              <w:t>No. finalised</w:t>
            </w:r>
          </w:p>
        </w:tc>
        <w:tc>
          <w:tcPr>
            <w:tcW w:w="459" w:type="pct"/>
          </w:tcPr>
          <w:p w14:paraId="646933F2"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1</w:t>
            </w:r>
          </w:p>
        </w:tc>
        <w:tc>
          <w:tcPr>
            <w:tcW w:w="460" w:type="pct"/>
          </w:tcPr>
          <w:p w14:paraId="32FABD08"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2</w:t>
            </w:r>
          </w:p>
        </w:tc>
        <w:tc>
          <w:tcPr>
            <w:tcW w:w="460" w:type="pct"/>
          </w:tcPr>
          <w:p w14:paraId="5832A7E2"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37</w:t>
            </w:r>
          </w:p>
        </w:tc>
        <w:tc>
          <w:tcPr>
            <w:tcW w:w="460" w:type="pct"/>
          </w:tcPr>
          <w:p w14:paraId="2A5F69FC"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59" w:type="pct"/>
          </w:tcPr>
          <w:p w14:paraId="2971BD11" w14:textId="218CA2B6"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14</w:t>
            </w:r>
          </w:p>
        </w:tc>
        <w:tc>
          <w:tcPr>
            <w:tcW w:w="460" w:type="pct"/>
          </w:tcPr>
          <w:p w14:paraId="0B6F0AD3"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2</w:t>
            </w:r>
          </w:p>
        </w:tc>
        <w:tc>
          <w:tcPr>
            <w:tcW w:w="460" w:type="pct"/>
          </w:tcPr>
          <w:p w14:paraId="3DFEE55E"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1</w:t>
            </w:r>
          </w:p>
        </w:tc>
        <w:tc>
          <w:tcPr>
            <w:tcW w:w="460" w:type="pct"/>
          </w:tcPr>
          <w:p w14:paraId="76B22122"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10</w:t>
            </w:r>
          </w:p>
        </w:tc>
        <w:tc>
          <w:tcPr>
            <w:tcW w:w="460" w:type="pct"/>
            <w:tcBorders>
              <w:right w:val="single" w:sz="8" w:space="0" w:color="auto"/>
            </w:tcBorders>
          </w:tcPr>
          <w:p w14:paraId="2AAE1B53"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5</w:t>
            </w:r>
          </w:p>
        </w:tc>
      </w:tr>
      <w:tr w:rsidR="001B3BE8" w:rsidRPr="00C551D5" w14:paraId="29DE2A36" w14:textId="77777777" w:rsidTr="00B4171B">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tcBorders>
          </w:tcPr>
          <w:p w14:paraId="648D28F2" w14:textId="77777777" w:rsidR="001B3BE8" w:rsidRPr="00C551D5" w:rsidRDefault="001B3BE8" w:rsidP="006D4C6D">
            <w:pPr>
              <w:rPr>
                <w:b w:val="0"/>
                <w:bCs w:val="0"/>
                <w:sz w:val="20"/>
                <w:szCs w:val="20"/>
              </w:rPr>
            </w:pPr>
            <w:r w:rsidRPr="00C551D5">
              <w:rPr>
                <w:b w:val="0"/>
                <w:sz w:val="20"/>
                <w:szCs w:val="20"/>
              </w:rPr>
              <w:t>Access granted in full</w:t>
            </w:r>
          </w:p>
        </w:tc>
        <w:tc>
          <w:tcPr>
            <w:tcW w:w="459" w:type="pct"/>
          </w:tcPr>
          <w:p w14:paraId="1668B724"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60" w:type="pct"/>
          </w:tcPr>
          <w:p w14:paraId="4A4690C8"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0</w:t>
            </w:r>
          </w:p>
        </w:tc>
        <w:tc>
          <w:tcPr>
            <w:tcW w:w="460" w:type="pct"/>
          </w:tcPr>
          <w:p w14:paraId="102D250C"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4</w:t>
            </w:r>
          </w:p>
        </w:tc>
        <w:tc>
          <w:tcPr>
            <w:tcW w:w="460" w:type="pct"/>
          </w:tcPr>
          <w:p w14:paraId="2EF2EF6A"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59" w:type="pct"/>
          </w:tcPr>
          <w:p w14:paraId="38D775DF"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1</w:t>
            </w:r>
          </w:p>
        </w:tc>
        <w:tc>
          <w:tcPr>
            <w:tcW w:w="460" w:type="pct"/>
          </w:tcPr>
          <w:p w14:paraId="3CD1C6FA"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60" w:type="pct"/>
          </w:tcPr>
          <w:p w14:paraId="56CB2BED"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1</w:t>
            </w:r>
          </w:p>
        </w:tc>
        <w:tc>
          <w:tcPr>
            <w:tcW w:w="460" w:type="pct"/>
          </w:tcPr>
          <w:p w14:paraId="4B610B66"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2</w:t>
            </w:r>
          </w:p>
        </w:tc>
        <w:tc>
          <w:tcPr>
            <w:tcW w:w="460" w:type="pct"/>
            <w:tcBorders>
              <w:right w:val="single" w:sz="8" w:space="0" w:color="auto"/>
            </w:tcBorders>
          </w:tcPr>
          <w:p w14:paraId="64FF1BE6"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r>
      <w:tr w:rsidR="001B3BE8" w:rsidRPr="00C551D5" w14:paraId="70920D82" w14:textId="77777777" w:rsidTr="00B41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tcBorders>
          </w:tcPr>
          <w:p w14:paraId="4B06236C" w14:textId="77777777" w:rsidR="001B3BE8" w:rsidRPr="00C551D5" w:rsidRDefault="001B3BE8" w:rsidP="006D4C6D">
            <w:pPr>
              <w:rPr>
                <w:sz w:val="20"/>
                <w:szCs w:val="20"/>
              </w:rPr>
            </w:pPr>
            <w:r w:rsidRPr="00C551D5">
              <w:rPr>
                <w:b w:val="0"/>
                <w:sz w:val="20"/>
                <w:szCs w:val="20"/>
              </w:rPr>
              <w:t>Partial access granted</w:t>
            </w:r>
          </w:p>
        </w:tc>
        <w:tc>
          <w:tcPr>
            <w:tcW w:w="459" w:type="pct"/>
          </w:tcPr>
          <w:p w14:paraId="4589BCDA"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0</w:t>
            </w:r>
          </w:p>
        </w:tc>
        <w:tc>
          <w:tcPr>
            <w:tcW w:w="460" w:type="pct"/>
          </w:tcPr>
          <w:p w14:paraId="501ED022"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2</w:t>
            </w:r>
          </w:p>
        </w:tc>
        <w:tc>
          <w:tcPr>
            <w:tcW w:w="460" w:type="pct"/>
          </w:tcPr>
          <w:p w14:paraId="4923997E"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23</w:t>
            </w:r>
          </w:p>
        </w:tc>
        <w:tc>
          <w:tcPr>
            <w:tcW w:w="460" w:type="pct"/>
          </w:tcPr>
          <w:p w14:paraId="75C45B40"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59" w:type="pct"/>
          </w:tcPr>
          <w:p w14:paraId="08ED9659"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10</w:t>
            </w:r>
          </w:p>
        </w:tc>
        <w:tc>
          <w:tcPr>
            <w:tcW w:w="460" w:type="pct"/>
          </w:tcPr>
          <w:p w14:paraId="1DAD7D9F"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2</w:t>
            </w:r>
          </w:p>
        </w:tc>
        <w:tc>
          <w:tcPr>
            <w:tcW w:w="460" w:type="pct"/>
          </w:tcPr>
          <w:p w14:paraId="23B8F376"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60" w:type="pct"/>
          </w:tcPr>
          <w:p w14:paraId="0960C046"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6</w:t>
            </w:r>
          </w:p>
        </w:tc>
        <w:tc>
          <w:tcPr>
            <w:tcW w:w="460" w:type="pct"/>
            <w:tcBorders>
              <w:right w:val="single" w:sz="8" w:space="0" w:color="auto"/>
            </w:tcBorders>
          </w:tcPr>
          <w:p w14:paraId="5FBCFF11"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5</w:t>
            </w:r>
          </w:p>
        </w:tc>
      </w:tr>
      <w:tr w:rsidR="001B3BE8" w:rsidRPr="00C551D5" w14:paraId="464C8011" w14:textId="77777777" w:rsidTr="00B4171B">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tcBorders>
          </w:tcPr>
          <w:p w14:paraId="2E1D285E" w14:textId="77777777" w:rsidR="001B3BE8" w:rsidRPr="00C551D5" w:rsidRDefault="001B3BE8" w:rsidP="006D4C6D">
            <w:pPr>
              <w:rPr>
                <w:sz w:val="20"/>
                <w:szCs w:val="20"/>
              </w:rPr>
            </w:pPr>
            <w:r w:rsidRPr="00C551D5">
              <w:rPr>
                <w:b w:val="0"/>
                <w:sz w:val="20"/>
                <w:szCs w:val="20"/>
              </w:rPr>
              <w:t>Access refused in full</w:t>
            </w:r>
          </w:p>
        </w:tc>
        <w:tc>
          <w:tcPr>
            <w:tcW w:w="459" w:type="pct"/>
          </w:tcPr>
          <w:p w14:paraId="2FA2669B"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60" w:type="pct"/>
          </w:tcPr>
          <w:p w14:paraId="04471497"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60" w:type="pct"/>
          </w:tcPr>
          <w:p w14:paraId="35ED94E3"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3</w:t>
            </w:r>
          </w:p>
        </w:tc>
        <w:tc>
          <w:tcPr>
            <w:tcW w:w="460" w:type="pct"/>
          </w:tcPr>
          <w:p w14:paraId="76758C7F"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59" w:type="pct"/>
          </w:tcPr>
          <w:p w14:paraId="169BE1A5"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60" w:type="pct"/>
          </w:tcPr>
          <w:p w14:paraId="752C3401"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60" w:type="pct"/>
          </w:tcPr>
          <w:p w14:paraId="3BD40BFD"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0</w:t>
            </w:r>
          </w:p>
        </w:tc>
        <w:tc>
          <w:tcPr>
            <w:tcW w:w="460" w:type="pct"/>
          </w:tcPr>
          <w:p w14:paraId="50DCCC0A"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C551D5">
              <w:rPr>
                <w:bCs/>
                <w:sz w:val="20"/>
                <w:szCs w:val="20"/>
              </w:rPr>
              <w:t>1</w:t>
            </w:r>
          </w:p>
        </w:tc>
        <w:tc>
          <w:tcPr>
            <w:tcW w:w="460" w:type="pct"/>
            <w:tcBorders>
              <w:right w:val="single" w:sz="8" w:space="0" w:color="auto"/>
            </w:tcBorders>
          </w:tcPr>
          <w:p w14:paraId="418C8163" w14:textId="77777777" w:rsidR="001B3BE8" w:rsidRPr="00C551D5" w:rsidRDefault="001B3BE8" w:rsidP="006D4C6D">
            <w:pPr>
              <w:jc w:val="right"/>
              <w:cnfStyle w:val="000000000000" w:firstRow="0" w:lastRow="0" w:firstColumn="0" w:lastColumn="0" w:oddVBand="0" w:evenVBand="0" w:oddHBand="0" w:evenHBand="0" w:firstRowFirstColumn="0" w:firstRowLastColumn="0" w:lastRowFirstColumn="0" w:lastRowLastColumn="0"/>
              <w:rPr>
                <w:sz w:val="20"/>
                <w:szCs w:val="20"/>
              </w:rPr>
            </w:pPr>
            <w:r w:rsidRPr="00C551D5">
              <w:rPr>
                <w:sz w:val="20"/>
                <w:szCs w:val="20"/>
              </w:rPr>
              <w:t>0</w:t>
            </w:r>
          </w:p>
        </w:tc>
      </w:tr>
      <w:tr w:rsidR="001B3BE8" w:rsidRPr="00C551D5" w14:paraId="76A7FCFC" w14:textId="77777777" w:rsidTr="00B41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left w:val="single" w:sz="8" w:space="0" w:color="auto"/>
              <w:bottom w:val="single" w:sz="8" w:space="0" w:color="auto"/>
            </w:tcBorders>
          </w:tcPr>
          <w:p w14:paraId="7FD9E27D" w14:textId="77777777" w:rsidR="001B3BE8" w:rsidRPr="00C551D5" w:rsidRDefault="001B3BE8" w:rsidP="006D4C6D">
            <w:pPr>
              <w:rPr>
                <w:sz w:val="20"/>
                <w:szCs w:val="20"/>
              </w:rPr>
            </w:pPr>
            <w:r w:rsidRPr="00C551D5">
              <w:rPr>
                <w:b w:val="0"/>
                <w:sz w:val="20"/>
                <w:szCs w:val="20"/>
              </w:rPr>
              <w:t>Requests withdrawn</w:t>
            </w:r>
          </w:p>
        </w:tc>
        <w:tc>
          <w:tcPr>
            <w:tcW w:w="459" w:type="pct"/>
            <w:tcBorders>
              <w:bottom w:val="single" w:sz="8" w:space="0" w:color="auto"/>
            </w:tcBorders>
          </w:tcPr>
          <w:p w14:paraId="64D2DF34"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1</w:t>
            </w:r>
          </w:p>
        </w:tc>
        <w:tc>
          <w:tcPr>
            <w:tcW w:w="460" w:type="pct"/>
            <w:tcBorders>
              <w:bottom w:val="single" w:sz="8" w:space="0" w:color="auto"/>
            </w:tcBorders>
          </w:tcPr>
          <w:p w14:paraId="08C9A93B"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0</w:t>
            </w:r>
          </w:p>
        </w:tc>
        <w:tc>
          <w:tcPr>
            <w:tcW w:w="460" w:type="pct"/>
            <w:tcBorders>
              <w:bottom w:val="single" w:sz="8" w:space="0" w:color="auto"/>
            </w:tcBorders>
          </w:tcPr>
          <w:p w14:paraId="3B6E0005"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7</w:t>
            </w:r>
          </w:p>
        </w:tc>
        <w:tc>
          <w:tcPr>
            <w:tcW w:w="460" w:type="pct"/>
            <w:tcBorders>
              <w:bottom w:val="single" w:sz="8" w:space="0" w:color="auto"/>
            </w:tcBorders>
          </w:tcPr>
          <w:p w14:paraId="06039384"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59" w:type="pct"/>
            <w:tcBorders>
              <w:bottom w:val="single" w:sz="8" w:space="0" w:color="auto"/>
            </w:tcBorders>
          </w:tcPr>
          <w:p w14:paraId="523EDE4F" w14:textId="2B4AF4B6" w:rsidR="001B3BE8" w:rsidRPr="00C551D5" w:rsidRDefault="00086330"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3</w:t>
            </w:r>
          </w:p>
        </w:tc>
        <w:tc>
          <w:tcPr>
            <w:tcW w:w="460" w:type="pct"/>
            <w:tcBorders>
              <w:bottom w:val="single" w:sz="8" w:space="0" w:color="auto"/>
            </w:tcBorders>
          </w:tcPr>
          <w:p w14:paraId="50E34EBF"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60" w:type="pct"/>
            <w:tcBorders>
              <w:bottom w:val="single" w:sz="8" w:space="0" w:color="auto"/>
            </w:tcBorders>
          </w:tcPr>
          <w:p w14:paraId="3B50CB41"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0</w:t>
            </w:r>
          </w:p>
        </w:tc>
        <w:tc>
          <w:tcPr>
            <w:tcW w:w="460" w:type="pct"/>
            <w:tcBorders>
              <w:bottom w:val="single" w:sz="8" w:space="0" w:color="auto"/>
            </w:tcBorders>
          </w:tcPr>
          <w:p w14:paraId="25925C99"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C551D5">
              <w:rPr>
                <w:bCs/>
                <w:sz w:val="20"/>
                <w:szCs w:val="20"/>
              </w:rPr>
              <w:t>1</w:t>
            </w:r>
          </w:p>
        </w:tc>
        <w:tc>
          <w:tcPr>
            <w:tcW w:w="460" w:type="pct"/>
            <w:tcBorders>
              <w:bottom w:val="single" w:sz="8" w:space="0" w:color="auto"/>
              <w:right w:val="single" w:sz="8" w:space="0" w:color="auto"/>
            </w:tcBorders>
          </w:tcPr>
          <w:p w14:paraId="7AF72734" w14:textId="77777777" w:rsidR="001B3BE8" w:rsidRPr="00C551D5" w:rsidRDefault="001B3BE8" w:rsidP="006D4C6D">
            <w:pPr>
              <w:jc w:val="right"/>
              <w:cnfStyle w:val="000000100000" w:firstRow="0" w:lastRow="0" w:firstColumn="0" w:lastColumn="0" w:oddVBand="0" w:evenVBand="0" w:oddHBand="1" w:evenHBand="0" w:firstRowFirstColumn="0" w:firstRowLastColumn="0" w:lastRowFirstColumn="0" w:lastRowLastColumn="0"/>
              <w:rPr>
                <w:sz w:val="20"/>
                <w:szCs w:val="20"/>
              </w:rPr>
            </w:pPr>
            <w:r w:rsidRPr="00C551D5">
              <w:rPr>
                <w:sz w:val="20"/>
                <w:szCs w:val="20"/>
              </w:rPr>
              <w:t>0</w:t>
            </w:r>
          </w:p>
        </w:tc>
      </w:tr>
    </w:tbl>
    <w:p w14:paraId="25A13C92" w14:textId="77777777" w:rsidR="001B3BE8" w:rsidRDefault="001B3BE8" w:rsidP="001B3BE8">
      <w:pPr>
        <w:spacing w:after="0"/>
        <w:rPr>
          <w:rFonts w:cstheme="minorHAnsi"/>
          <w:b/>
          <w:sz w:val="20"/>
          <w:szCs w:val="20"/>
        </w:rPr>
      </w:pPr>
    </w:p>
    <w:p w14:paraId="57F1E316" w14:textId="77777777" w:rsidR="00357DE2" w:rsidRDefault="001B3BE8" w:rsidP="00225388">
      <w:r w:rsidRPr="5DEDDF53">
        <w:rPr>
          <w:b/>
          <w:bCs/>
        </w:rPr>
        <w:t xml:space="preserve">Notes </w:t>
      </w:r>
      <w:r w:rsidR="007B4A14">
        <w:rPr>
          <w:b/>
          <w:bCs/>
        </w:rPr>
        <w:br/>
      </w:r>
      <w:r w:rsidRPr="00D16198">
        <w:rPr>
          <w:b/>
          <w:bCs/>
        </w:rPr>
        <w:t>*</w:t>
      </w:r>
      <w:r w:rsidR="008621ED" w:rsidRPr="00D16198">
        <w:rPr>
          <w:b/>
          <w:bCs/>
        </w:rPr>
        <w:t xml:space="preserve"> </w:t>
      </w:r>
      <w:r w:rsidRPr="00D16198">
        <w:t xml:space="preserve">Number = requests not finalised from the previous reporting year </w:t>
      </w:r>
      <w:r w:rsidRPr="00D16198">
        <w:rPr>
          <w:b/>
          <w:bCs/>
        </w:rPr>
        <w:t xml:space="preserve">plus </w:t>
      </w:r>
      <w:r w:rsidRPr="00D16198">
        <w:t xml:space="preserve">requests received during the reporting year. </w:t>
      </w:r>
    </w:p>
    <w:p w14:paraId="359D6B9B" w14:textId="68EFF0B3" w:rsidR="001B3BE8" w:rsidRPr="00D16198" w:rsidRDefault="001B3BE8" w:rsidP="00225388">
      <w:r w:rsidRPr="00D16198">
        <w:t># QLD 1 request deemed refusal; #</w:t>
      </w:r>
      <w:r w:rsidR="00AA5D51" w:rsidRPr="00D16198">
        <w:t xml:space="preserve"> </w:t>
      </w:r>
      <w:r w:rsidRPr="00D16198">
        <w:t>WA number of requests revised from 7 to 6 on advice from WA in August 2022 that an invalid request had been inadvertently counted in the WA 2020</w:t>
      </w:r>
      <w:r w:rsidR="00AA5D51" w:rsidRPr="00D16198">
        <w:t>–2021</w:t>
      </w:r>
      <w:r w:rsidRPr="00D16198">
        <w:t xml:space="preserve"> Statistical Return.</w:t>
      </w:r>
    </w:p>
    <w:p w14:paraId="42FE0638" w14:textId="6B5E76E7" w:rsidR="00665355" w:rsidRPr="00665355" w:rsidRDefault="00665355" w:rsidP="6640640D">
      <w:pPr>
        <w:spacing w:after="0" w:line="240" w:lineRule="auto"/>
        <w:jc w:val="right"/>
        <w:rPr>
          <w:rFonts w:eastAsia="Calibri" w:cs="Calibri"/>
          <w:color w:val="4F81BD" w:themeColor="accent1"/>
          <w:lang w:val="en-US"/>
        </w:rPr>
      </w:pPr>
    </w:p>
    <w:sectPr w:rsidR="00665355" w:rsidRPr="00665355" w:rsidSect="00512E04">
      <w:headerReference w:type="even" r:id="rId92"/>
      <w:type w:val="continuous"/>
      <w:pgSz w:w="16840" w:h="11907" w:orient="landscape" w:code="9"/>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BFFC9" w14:textId="77777777" w:rsidR="00512E04" w:rsidRDefault="00512E04" w:rsidP="00F81DCC">
      <w:pPr>
        <w:spacing w:after="0" w:line="240" w:lineRule="auto"/>
      </w:pPr>
      <w:r>
        <w:separator/>
      </w:r>
    </w:p>
  </w:endnote>
  <w:endnote w:type="continuationSeparator" w:id="0">
    <w:p w14:paraId="392B76BF" w14:textId="77777777" w:rsidR="00512E04" w:rsidRDefault="00512E04" w:rsidP="00F81DCC">
      <w:pPr>
        <w:spacing w:after="0" w:line="240" w:lineRule="auto"/>
      </w:pPr>
      <w:r>
        <w:continuationSeparator/>
      </w:r>
    </w:p>
  </w:endnote>
  <w:endnote w:type="continuationNotice" w:id="1">
    <w:p w14:paraId="216EBF5E" w14:textId="77777777" w:rsidR="00512E04" w:rsidRDefault="00512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C382A" w14:textId="30653358" w:rsidR="002E568C" w:rsidRPr="00667BFE" w:rsidRDefault="00AD2D11" w:rsidP="00FE012E">
    <w:pPr>
      <w:pStyle w:val="Footer"/>
      <w:jc w:val="center"/>
      <w:rPr>
        <w:rFonts w:asciiTheme="minorHAnsi" w:hAnsiTheme="minorHAnsi" w:cstheme="minorHAnsi"/>
        <w:sz w:val="20"/>
        <w:szCs w:val="20"/>
      </w:rPr>
    </w:pPr>
    <w:r w:rsidRPr="00667BFE">
      <w:rPr>
        <w:rFonts w:asciiTheme="minorHAnsi" w:hAnsiTheme="minorHAnsi" w:cstheme="minorHAnsi"/>
        <w:sz w:val="20"/>
        <w:szCs w:val="20"/>
      </w:rPr>
      <w:t>National Education &amp; Care Services FOI &amp; Privacy Commissioners</w:t>
    </w:r>
    <w:r w:rsidR="00CF2BF6" w:rsidRPr="00667BFE">
      <w:rPr>
        <w:rFonts w:asciiTheme="minorHAnsi" w:hAnsiTheme="minorHAnsi" w:cstheme="minorHAnsi"/>
        <w:sz w:val="20"/>
        <w:szCs w:val="20"/>
      </w:rPr>
      <w:t xml:space="preserve"> &amp; Ombudsm</w:t>
    </w:r>
    <w:r w:rsidR="000D4CE6" w:rsidRPr="00667BFE">
      <w:rPr>
        <w:rFonts w:asciiTheme="minorHAnsi" w:hAnsiTheme="minorHAnsi" w:cstheme="minorHAnsi"/>
        <w:sz w:val="20"/>
        <w:szCs w:val="20"/>
      </w:rPr>
      <w:t>an</w:t>
    </w:r>
    <w:r w:rsidR="00392CEA">
      <w:rPr>
        <w:rFonts w:asciiTheme="minorHAnsi" w:hAnsiTheme="minorHAnsi" w:cstheme="minorHAnsi"/>
        <w:sz w:val="20"/>
        <w:szCs w:val="20"/>
      </w:rPr>
      <w:t xml:space="preserve"> Annual Report 2022–2023</w:t>
    </w:r>
    <w:r w:rsidR="005C4B40" w:rsidRPr="00667BFE">
      <w:rPr>
        <w:rFonts w:asciiTheme="minorHAnsi" w:hAnsiTheme="minorHAnsi" w:cstheme="minorHAnsi"/>
        <w:sz w:val="20"/>
        <w:szCs w:val="20"/>
      </w:rPr>
      <w:tab/>
    </w:r>
    <w:sdt>
      <w:sdtPr>
        <w:rPr>
          <w:rFonts w:asciiTheme="minorHAnsi" w:hAnsiTheme="minorHAnsi" w:cstheme="minorHAnsi"/>
          <w:sz w:val="20"/>
          <w:szCs w:val="20"/>
        </w:rPr>
        <w:id w:val="-1485315238"/>
        <w:docPartObj>
          <w:docPartGallery w:val="Page Numbers (Bottom of Page)"/>
          <w:docPartUnique/>
        </w:docPartObj>
      </w:sdtPr>
      <w:sdtEndPr>
        <w:rPr>
          <w:noProof/>
        </w:rPr>
      </w:sdtEndPr>
      <w:sdtContent>
        <w:r w:rsidR="002E568C" w:rsidRPr="00667BFE">
          <w:rPr>
            <w:rFonts w:asciiTheme="minorHAnsi" w:hAnsiTheme="minorHAnsi" w:cstheme="minorHAnsi"/>
            <w:sz w:val="20"/>
            <w:szCs w:val="20"/>
          </w:rPr>
          <w:fldChar w:fldCharType="begin"/>
        </w:r>
        <w:r w:rsidR="002E568C" w:rsidRPr="0080151D">
          <w:rPr>
            <w:rFonts w:asciiTheme="minorHAnsi" w:hAnsiTheme="minorHAnsi" w:cstheme="minorHAnsi"/>
            <w:sz w:val="20"/>
            <w:szCs w:val="20"/>
          </w:rPr>
          <w:instrText xml:space="preserve"> PAGE   \* MERGEFORMAT </w:instrText>
        </w:r>
        <w:r w:rsidR="002E568C" w:rsidRPr="00667BFE">
          <w:rPr>
            <w:rFonts w:asciiTheme="minorHAnsi" w:hAnsiTheme="minorHAnsi" w:cstheme="minorHAnsi"/>
            <w:sz w:val="20"/>
            <w:szCs w:val="20"/>
          </w:rPr>
          <w:fldChar w:fldCharType="separate"/>
        </w:r>
        <w:r w:rsidR="002E568C" w:rsidRPr="0080151D">
          <w:rPr>
            <w:rFonts w:asciiTheme="minorHAnsi" w:hAnsiTheme="minorHAnsi" w:cstheme="minorHAnsi"/>
            <w:noProof/>
            <w:sz w:val="20"/>
            <w:szCs w:val="20"/>
          </w:rPr>
          <w:t>2</w:t>
        </w:r>
        <w:r w:rsidR="002E568C" w:rsidRPr="00667BFE">
          <w:rPr>
            <w:rFonts w:asciiTheme="minorHAnsi" w:hAnsiTheme="minorHAnsi" w:cstheme="minorHAnsi"/>
            <w:noProof/>
            <w:sz w:val="20"/>
            <w:szCs w:val="20"/>
          </w:rPr>
          <w:fldChar w:fldCharType="end"/>
        </w:r>
      </w:sdtContent>
    </w:sdt>
  </w:p>
  <w:p w14:paraId="223D5A9C" w14:textId="7C536665" w:rsidR="001333AD" w:rsidRDefault="001333A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DED50" w14:textId="3C67E8F8" w:rsidR="00937828" w:rsidRDefault="007B5817">
    <w:pPr>
      <w:pStyle w:val="Footer"/>
      <w:jc w:val="right"/>
    </w:pPr>
    <w:r w:rsidRPr="00667BFE">
      <w:rPr>
        <w:rFonts w:asciiTheme="minorHAnsi" w:hAnsiTheme="minorHAnsi" w:cstheme="minorHAnsi"/>
        <w:sz w:val="20"/>
        <w:szCs w:val="20"/>
      </w:rPr>
      <w:t>National Education &amp; Care Services FOI &amp; Privacy Commissioners &amp; Ombudsman</w:t>
    </w:r>
    <w:r>
      <w:rPr>
        <w:rFonts w:asciiTheme="minorHAnsi" w:hAnsiTheme="minorHAnsi" w:cstheme="minorHAnsi"/>
        <w:sz w:val="20"/>
        <w:szCs w:val="20"/>
      </w:rPr>
      <w:t xml:space="preserve"> Annual Report 2022–2023</w:t>
    </w:r>
    <w:r>
      <w:rPr>
        <w:rFonts w:asciiTheme="minorHAnsi" w:hAnsiTheme="minorHAnsi" w:cstheme="minorHAnsi"/>
        <w:sz w:val="20"/>
        <w:szCs w:val="20"/>
      </w:rPr>
      <w:tab/>
    </w:r>
    <w:sdt>
      <w:sdtPr>
        <w:id w:val="-431736870"/>
        <w:docPartObj>
          <w:docPartGallery w:val="Page Numbers (Bottom of Page)"/>
          <w:docPartUnique/>
        </w:docPartObj>
      </w:sdtPr>
      <w:sdtEndPr>
        <w:rPr>
          <w:noProof/>
        </w:rPr>
      </w:sdtEndPr>
      <w:sdtContent>
        <w:r w:rsidR="00937828" w:rsidRPr="00937828">
          <w:rPr>
            <w:rFonts w:ascii="Calibri" w:hAnsi="Calibri" w:cs="Calibri"/>
            <w:sz w:val="20"/>
            <w:szCs w:val="20"/>
          </w:rPr>
          <w:fldChar w:fldCharType="begin"/>
        </w:r>
        <w:r w:rsidR="00937828" w:rsidRPr="00937828">
          <w:rPr>
            <w:rFonts w:ascii="Calibri" w:hAnsi="Calibri" w:cs="Calibri"/>
            <w:sz w:val="20"/>
            <w:szCs w:val="20"/>
          </w:rPr>
          <w:instrText xml:space="preserve"> PAGE   \* MERGEFORMAT </w:instrText>
        </w:r>
        <w:r w:rsidR="00937828" w:rsidRPr="00937828">
          <w:rPr>
            <w:rFonts w:ascii="Calibri" w:hAnsi="Calibri" w:cs="Calibri"/>
            <w:sz w:val="20"/>
            <w:szCs w:val="20"/>
          </w:rPr>
          <w:fldChar w:fldCharType="separate"/>
        </w:r>
        <w:r w:rsidR="00937828" w:rsidRPr="00937828">
          <w:rPr>
            <w:rFonts w:ascii="Calibri" w:hAnsi="Calibri" w:cs="Calibri"/>
            <w:noProof/>
            <w:sz w:val="20"/>
            <w:szCs w:val="20"/>
          </w:rPr>
          <w:t>2</w:t>
        </w:r>
        <w:r w:rsidR="00937828" w:rsidRPr="00937828">
          <w:rPr>
            <w:rFonts w:ascii="Calibri" w:hAnsi="Calibri" w:cs="Calibri"/>
            <w:noProof/>
            <w:sz w:val="20"/>
            <w:szCs w:val="20"/>
          </w:rPr>
          <w:fldChar w:fldCharType="end"/>
        </w:r>
      </w:sdtContent>
    </w:sdt>
  </w:p>
  <w:p w14:paraId="1B16102C" w14:textId="77777777" w:rsidR="00213B13" w:rsidRDefault="00213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BA0ED" w14:textId="00C4E1FB" w:rsidR="00665617" w:rsidRDefault="00665617" w:rsidP="00FE012E">
    <w:pPr>
      <w:pStyle w:val="Footer"/>
      <w:jc w:val="center"/>
    </w:pPr>
  </w:p>
  <w:p w14:paraId="4F68368A" w14:textId="6843195A" w:rsidR="00A55836" w:rsidRPr="00D61949" w:rsidRDefault="00A55836" w:rsidP="00667BFE">
    <w:pPr>
      <w:pStyle w:val="Subtitle"/>
      <w:jc w:val="right"/>
      <w:rPr>
        <w:color w:val="A6A6A6" w:themeColor="background1" w:themeShade="A6"/>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CB5FA" w14:textId="77777777" w:rsidR="006C4A7B" w:rsidRPr="00B8132D" w:rsidRDefault="006C4A7B" w:rsidP="00B8132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8271D" w14:textId="77777777" w:rsidR="00BE1CEF" w:rsidRPr="00667BFE" w:rsidRDefault="00BE1CEF" w:rsidP="00FE012E">
    <w:pPr>
      <w:pStyle w:val="Footer"/>
      <w:jc w:val="center"/>
      <w:rPr>
        <w:rFonts w:asciiTheme="minorHAnsi" w:hAnsiTheme="minorHAnsi" w:cstheme="minorHAnsi"/>
        <w:sz w:val="20"/>
        <w:szCs w:val="20"/>
      </w:rPr>
    </w:pPr>
    <w:r w:rsidRPr="00667BFE">
      <w:rPr>
        <w:rFonts w:asciiTheme="minorHAnsi" w:hAnsiTheme="minorHAnsi" w:cstheme="minorHAnsi"/>
        <w:sz w:val="20"/>
        <w:szCs w:val="20"/>
      </w:rPr>
      <w:t>National Education &amp; Care Services FOI &amp; Privacy Commissioners &amp; Ombudsman</w:t>
    </w:r>
    <w:r>
      <w:rPr>
        <w:rFonts w:asciiTheme="minorHAnsi" w:hAnsiTheme="minorHAnsi" w:cstheme="minorHAnsi"/>
        <w:sz w:val="20"/>
        <w:szCs w:val="20"/>
      </w:rPr>
      <w:t xml:space="preserve"> Annual Report 2022–2023</w:t>
    </w:r>
    <w:r w:rsidRPr="00667BFE">
      <w:rPr>
        <w:rFonts w:asciiTheme="minorHAnsi" w:hAnsiTheme="minorHAnsi" w:cstheme="minorHAnsi"/>
        <w:sz w:val="20"/>
        <w:szCs w:val="20"/>
      </w:rPr>
      <w:tab/>
    </w:r>
    <w:sdt>
      <w:sdtPr>
        <w:rPr>
          <w:rFonts w:asciiTheme="minorHAnsi" w:hAnsiTheme="minorHAnsi" w:cstheme="minorHAnsi"/>
          <w:sz w:val="20"/>
          <w:szCs w:val="20"/>
        </w:rPr>
        <w:id w:val="1041715112"/>
        <w:docPartObj>
          <w:docPartGallery w:val="Page Numbers (Bottom of Page)"/>
          <w:docPartUnique/>
        </w:docPartObj>
      </w:sdtPr>
      <w:sdtEndPr>
        <w:rPr>
          <w:noProof/>
        </w:rPr>
      </w:sdtEndPr>
      <w:sdtContent>
        <w:r w:rsidRPr="00667BFE">
          <w:rPr>
            <w:rFonts w:asciiTheme="minorHAnsi" w:hAnsiTheme="minorHAnsi" w:cstheme="minorHAnsi"/>
            <w:sz w:val="20"/>
            <w:szCs w:val="20"/>
          </w:rPr>
          <w:fldChar w:fldCharType="begin"/>
        </w:r>
        <w:r w:rsidRPr="0080151D">
          <w:rPr>
            <w:rFonts w:asciiTheme="minorHAnsi" w:hAnsiTheme="minorHAnsi" w:cstheme="minorHAnsi"/>
            <w:sz w:val="20"/>
            <w:szCs w:val="20"/>
          </w:rPr>
          <w:instrText xml:space="preserve"> PAGE   \* MERGEFORMAT </w:instrText>
        </w:r>
        <w:r w:rsidRPr="00667BFE">
          <w:rPr>
            <w:rFonts w:asciiTheme="minorHAnsi" w:hAnsiTheme="minorHAnsi" w:cstheme="minorHAnsi"/>
            <w:sz w:val="20"/>
            <w:szCs w:val="20"/>
          </w:rPr>
          <w:fldChar w:fldCharType="separate"/>
        </w:r>
        <w:r w:rsidRPr="0080151D">
          <w:rPr>
            <w:rFonts w:asciiTheme="minorHAnsi" w:hAnsiTheme="minorHAnsi" w:cstheme="minorHAnsi"/>
            <w:noProof/>
            <w:sz w:val="20"/>
            <w:szCs w:val="20"/>
          </w:rPr>
          <w:t>2</w:t>
        </w:r>
        <w:r w:rsidRPr="00667BFE">
          <w:rPr>
            <w:rFonts w:asciiTheme="minorHAnsi" w:hAnsiTheme="minorHAnsi" w:cstheme="minorHAnsi"/>
            <w:noProof/>
            <w:sz w:val="20"/>
            <w:szCs w:val="20"/>
          </w:rPr>
          <w:fldChar w:fldCharType="end"/>
        </w:r>
      </w:sdtContent>
    </w:sdt>
  </w:p>
  <w:p w14:paraId="3D814612" w14:textId="77777777" w:rsidR="00BE1CEF" w:rsidRDefault="00BE1C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5EFC9" w14:textId="047C3D55" w:rsidR="00067A10" w:rsidRPr="00667BFE" w:rsidRDefault="00392CEA">
    <w:pPr>
      <w:pStyle w:val="Footer"/>
      <w:jc w:val="center"/>
      <w:rPr>
        <w:rFonts w:asciiTheme="minorHAnsi" w:hAnsiTheme="minorHAnsi" w:cstheme="minorHAnsi"/>
        <w:sz w:val="20"/>
        <w:szCs w:val="20"/>
      </w:rPr>
    </w:pPr>
    <w:r w:rsidRPr="00903B68">
      <w:rPr>
        <w:rFonts w:asciiTheme="minorHAnsi" w:hAnsiTheme="minorHAnsi" w:cstheme="minorHAnsi"/>
        <w:sz w:val="20"/>
        <w:szCs w:val="20"/>
      </w:rPr>
      <w:t>National Education &amp; Care Services FOI &amp; Privacy Commissioners &amp; Ombudsman</w:t>
    </w:r>
    <w:r>
      <w:rPr>
        <w:rFonts w:asciiTheme="minorHAnsi" w:hAnsiTheme="minorHAnsi" w:cstheme="minorHAnsi"/>
        <w:sz w:val="20"/>
        <w:szCs w:val="20"/>
      </w:rPr>
      <w:t xml:space="preserve"> </w:t>
    </w:r>
    <w:r w:rsidR="00067A10" w:rsidRPr="00667BFE">
      <w:rPr>
        <w:rFonts w:asciiTheme="minorHAnsi" w:hAnsiTheme="minorHAnsi" w:cstheme="minorHAnsi"/>
        <w:sz w:val="20"/>
        <w:szCs w:val="20"/>
      </w:rPr>
      <w:t xml:space="preserve">Annual Report 2022–2023 </w:t>
    </w:r>
    <w:r w:rsidR="00067A10" w:rsidRPr="00667BFE">
      <w:rPr>
        <w:rFonts w:asciiTheme="minorHAnsi" w:hAnsiTheme="minorHAnsi" w:cstheme="minorHAnsi"/>
        <w:sz w:val="20"/>
        <w:szCs w:val="20"/>
      </w:rPr>
      <w:tab/>
    </w:r>
    <w:sdt>
      <w:sdtPr>
        <w:rPr>
          <w:rFonts w:asciiTheme="minorHAnsi" w:hAnsiTheme="minorHAnsi" w:cstheme="minorHAnsi"/>
          <w:sz w:val="20"/>
          <w:szCs w:val="20"/>
        </w:rPr>
        <w:id w:val="296814648"/>
        <w:docPartObj>
          <w:docPartGallery w:val="Page Numbers (Bottom of Page)"/>
          <w:docPartUnique/>
        </w:docPartObj>
      </w:sdtPr>
      <w:sdtEndPr>
        <w:rPr>
          <w:noProof/>
        </w:rPr>
      </w:sdtEndPr>
      <w:sdtContent>
        <w:r w:rsidR="00067A10" w:rsidRPr="00667BFE">
          <w:rPr>
            <w:rFonts w:asciiTheme="minorHAnsi" w:hAnsiTheme="minorHAnsi" w:cstheme="minorHAnsi"/>
            <w:sz w:val="20"/>
            <w:szCs w:val="20"/>
          </w:rPr>
          <w:fldChar w:fldCharType="begin"/>
        </w:r>
        <w:r w:rsidR="00067A10" w:rsidRPr="0080151D">
          <w:rPr>
            <w:rFonts w:asciiTheme="minorHAnsi" w:hAnsiTheme="minorHAnsi" w:cstheme="minorHAnsi"/>
            <w:sz w:val="20"/>
            <w:szCs w:val="20"/>
          </w:rPr>
          <w:instrText xml:space="preserve"> PAGE   \* MERGEFORMAT </w:instrText>
        </w:r>
        <w:r w:rsidR="00067A10" w:rsidRPr="00667BFE">
          <w:rPr>
            <w:rFonts w:asciiTheme="minorHAnsi" w:hAnsiTheme="minorHAnsi" w:cstheme="minorHAnsi"/>
            <w:sz w:val="20"/>
            <w:szCs w:val="20"/>
          </w:rPr>
          <w:fldChar w:fldCharType="separate"/>
        </w:r>
        <w:r w:rsidR="00067A10" w:rsidRPr="0080151D">
          <w:rPr>
            <w:rFonts w:asciiTheme="minorHAnsi" w:hAnsiTheme="minorHAnsi" w:cstheme="minorHAnsi"/>
            <w:noProof/>
            <w:sz w:val="20"/>
            <w:szCs w:val="20"/>
          </w:rPr>
          <w:t>2</w:t>
        </w:r>
        <w:r w:rsidR="00067A10" w:rsidRPr="00667BFE">
          <w:rPr>
            <w:rFonts w:asciiTheme="minorHAnsi" w:hAnsiTheme="minorHAnsi" w:cstheme="minorHAnsi"/>
            <w:noProof/>
            <w:sz w:val="20"/>
            <w:szCs w:val="20"/>
          </w:rPr>
          <w:fldChar w:fldCharType="end"/>
        </w:r>
      </w:sdtContent>
    </w:sdt>
  </w:p>
  <w:p w14:paraId="78506E2F" w14:textId="77777777" w:rsidR="00067A10" w:rsidRPr="00D61949" w:rsidRDefault="00067A10" w:rsidP="00667BFE">
    <w:pPr>
      <w:pStyle w:val="Subtitle"/>
      <w:jc w:val="right"/>
      <w:rPr>
        <w:color w:val="A6A6A6" w:themeColor="background1" w:themeShade="A6"/>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F71FB" w14:textId="77777777" w:rsidR="00A55836" w:rsidRPr="008E05C1" w:rsidRDefault="00A55836" w:rsidP="008E05C1">
    <w:pPr>
      <w:tabs>
        <w:tab w:val="center" w:pos="4680"/>
        <w:tab w:val="right" w:pos="9360"/>
      </w:tabs>
      <w:spacing w:after="0" w:line="240" w:lineRule="auto"/>
      <w:rPr>
        <w:rFonts w:eastAsia="Calibri"/>
        <w:sz w:val="16"/>
        <w:szCs w:val="16"/>
      </w:rPr>
    </w:pPr>
    <w:r w:rsidRPr="0093454D">
      <w:rPr>
        <w:rFonts w:eastAsia="Calibri"/>
        <w:b/>
        <w:sz w:val="16"/>
        <w:szCs w:val="16"/>
      </w:rPr>
      <w:t xml:space="preserve">Attachment </w:t>
    </w:r>
    <w:r>
      <w:rPr>
        <w:rFonts w:eastAsia="Calibri"/>
        <w:b/>
        <w:sz w:val="16"/>
        <w:szCs w:val="16"/>
      </w:rPr>
      <w:t>1</w:t>
    </w:r>
    <w:r w:rsidRPr="0093454D">
      <w:rPr>
        <w:rFonts w:eastAsia="Calibri"/>
        <w:b/>
        <w:sz w:val="16"/>
        <w:szCs w:val="16"/>
      </w:rPr>
      <w:t>:</w:t>
    </w:r>
    <w:r w:rsidRPr="0093454D">
      <w:rPr>
        <w:rFonts w:eastAsia="Calibri"/>
        <w:sz w:val="16"/>
        <w:szCs w:val="16"/>
      </w:rPr>
      <w:t xml:space="preserve"> National Education and Care Services Freedom of Information &amp; Privacy Commissioners &amp; Ombudsman Annual Report 1 July 202</w:t>
    </w:r>
    <w:r>
      <w:rPr>
        <w:rFonts w:eastAsia="Calibri"/>
        <w:sz w:val="16"/>
        <w:szCs w:val="16"/>
      </w:rPr>
      <w:t>2</w:t>
    </w:r>
    <w:r w:rsidRPr="0093454D">
      <w:rPr>
        <w:rFonts w:eastAsia="Calibri"/>
        <w:sz w:val="16"/>
        <w:szCs w:val="16"/>
      </w:rPr>
      <w:t xml:space="preserve"> to 30 June 202</w:t>
    </w:r>
    <w:r>
      <w:rPr>
        <w:rFonts w:eastAsia="Calibri"/>
        <w:sz w:val="16"/>
        <w:szCs w:val="16"/>
      </w:rPr>
      <w:t>3</w:t>
    </w:r>
    <w:r w:rsidRPr="0093454D">
      <w:rPr>
        <w:rFonts w:eastAsia="Calibri"/>
        <w:sz w:val="16"/>
        <w:szCs w:val="16"/>
      </w:rPr>
      <w:t xml:space="preserve"> – </w:t>
    </w:r>
    <w:r w:rsidRPr="007A49E0">
      <w:rPr>
        <w:rFonts w:eastAsia="Calibri"/>
        <w:sz w:val="16"/>
        <w:szCs w:val="16"/>
      </w:rPr>
      <w:t>State and Territory Regulatory Authorities and administrative units</w:t>
    </w:r>
  </w:p>
  <w:p w14:paraId="4EE4709E" w14:textId="77777777" w:rsidR="00A55836" w:rsidRDefault="00A5583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CE5CB" w14:textId="77777777" w:rsidR="00A55836" w:rsidRPr="008E05C1" w:rsidRDefault="00A55836" w:rsidP="008E05C1">
    <w:pPr>
      <w:tabs>
        <w:tab w:val="center" w:pos="4680"/>
        <w:tab w:val="right" w:pos="9360"/>
      </w:tabs>
      <w:spacing w:after="0" w:line="240" w:lineRule="auto"/>
      <w:rPr>
        <w:rFonts w:eastAsia="Calibri"/>
        <w:sz w:val="16"/>
        <w:szCs w:val="16"/>
      </w:rPr>
    </w:pPr>
    <w:r w:rsidRPr="0093454D">
      <w:rPr>
        <w:rFonts w:eastAsia="Calibri"/>
        <w:b/>
        <w:sz w:val="16"/>
        <w:szCs w:val="16"/>
      </w:rPr>
      <w:t xml:space="preserve">Attachment </w:t>
    </w:r>
    <w:r>
      <w:rPr>
        <w:rFonts w:eastAsia="Calibri"/>
        <w:b/>
        <w:sz w:val="16"/>
        <w:szCs w:val="16"/>
      </w:rPr>
      <w:t>2</w:t>
    </w:r>
    <w:r w:rsidRPr="0093454D">
      <w:rPr>
        <w:rFonts w:eastAsia="Calibri"/>
        <w:b/>
        <w:sz w:val="16"/>
        <w:szCs w:val="16"/>
      </w:rPr>
      <w:t>:</w:t>
    </w:r>
    <w:r w:rsidRPr="0093454D">
      <w:rPr>
        <w:rFonts w:eastAsia="Calibri"/>
        <w:sz w:val="16"/>
        <w:szCs w:val="16"/>
      </w:rPr>
      <w:t xml:space="preserve"> National Education and Care Services Freedom of Information &amp; Privacy Commissioners &amp; Ombudsman Annual Report 1 July 202</w:t>
    </w:r>
    <w:r>
      <w:rPr>
        <w:rFonts w:eastAsia="Calibri"/>
        <w:sz w:val="16"/>
        <w:szCs w:val="16"/>
      </w:rPr>
      <w:t>2</w:t>
    </w:r>
    <w:r w:rsidRPr="0093454D">
      <w:rPr>
        <w:rFonts w:eastAsia="Calibri"/>
        <w:sz w:val="16"/>
        <w:szCs w:val="16"/>
      </w:rPr>
      <w:t xml:space="preserve"> to 30 June 202</w:t>
    </w:r>
    <w:r>
      <w:rPr>
        <w:rFonts w:eastAsia="Calibri"/>
        <w:sz w:val="16"/>
        <w:szCs w:val="16"/>
      </w:rPr>
      <w:t>3</w:t>
    </w:r>
    <w:r w:rsidRPr="0093454D">
      <w:rPr>
        <w:rFonts w:eastAsia="Calibri"/>
        <w:sz w:val="16"/>
        <w:szCs w:val="16"/>
      </w:rPr>
      <w:t xml:space="preserve"> – </w:t>
    </w:r>
    <w:r>
      <w:rPr>
        <w:rFonts w:eastAsia="Calibri"/>
        <w:sz w:val="16"/>
        <w:szCs w:val="16"/>
      </w:rPr>
      <w:t>NECS Privacy Commissioner Guideline adopting APP Guidelines</w:t>
    </w:r>
  </w:p>
  <w:p w14:paraId="648864D3" w14:textId="77777777" w:rsidR="00A55836" w:rsidRDefault="00A5583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8984A" w14:textId="77777777" w:rsidR="00A55836" w:rsidRPr="00997D00" w:rsidRDefault="00A55836" w:rsidP="00997D0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B9EE5" w14:textId="62531265" w:rsidR="00FB7F90" w:rsidRPr="00FB7F90" w:rsidRDefault="00FB7F90" w:rsidP="00FB7F90">
    <w:pPr>
      <w:pStyle w:val="Footer"/>
      <w:rPr>
        <w:rFonts w:asciiTheme="minorHAnsi" w:hAnsiTheme="minorHAnsi" w:cstheme="minorHAnsi"/>
        <w:sz w:val="16"/>
        <w:szCs w:val="16"/>
      </w:rPr>
    </w:pPr>
  </w:p>
  <w:p w14:paraId="3A93E571" w14:textId="77777777" w:rsidR="00CB276B" w:rsidRDefault="00CB276B" w:rsidP="00CB276B">
    <w:pPr>
      <w:pStyle w:val="Footer"/>
      <w:jc w:val="center"/>
    </w:pPr>
    <w:r w:rsidRPr="00667BFE">
      <w:rPr>
        <w:rFonts w:asciiTheme="minorHAnsi" w:hAnsiTheme="minorHAnsi" w:cstheme="minorHAnsi"/>
        <w:sz w:val="20"/>
        <w:szCs w:val="20"/>
      </w:rPr>
      <w:t>National Education &amp; Care Services FOI &amp; Privacy Commissioners &amp; Ombudsman</w:t>
    </w:r>
    <w:r>
      <w:rPr>
        <w:rFonts w:asciiTheme="minorHAnsi" w:hAnsiTheme="minorHAnsi" w:cstheme="minorHAnsi"/>
        <w:sz w:val="20"/>
        <w:szCs w:val="20"/>
      </w:rPr>
      <w:t xml:space="preserve"> Annual Report 2022–2023</w:t>
    </w:r>
    <w:r>
      <w:rPr>
        <w:rFonts w:asciiTheme="minorHAnsi" w:hAnsiTheme="minorHAnsi" w:cstheme="minorHAnsi"/>
        <w:sz w:val="20"/>
        <w:szCs w:val="20"/>
      </w:rPr>
      <w:tab/>
    </w:r>
    <w:sdt>
      <w:sdtPr>
        <w:id w:val="-667944774"/>
        <w:docPartObj>
          <w:docPartGallery w:val="Page Numbers (Bottom of Page)"/>
          <w:docPartUnique/>
        </w:docPartObj>
      </w:sdtPr>
      <w:sdtEndPr>
        <w:rPr>
          <w:noProof/>
        </w:rPr>
      </w:sdtEndPr>
      <w:sdtContent>
        <w:r w:rsidRPr="00937828">
          <w:rPr>
            <w:rFonts w:ascii="Calibri" w:hAnsi="Calibri" w:cs="Calibri"/>
            <w:sz w:val="20"/>
            <w:szCs w:val="20"/>
          </w:rPr>
          <w:fldChar w:fldCharType="begin"/>
        </w:r>
        <w:r w:rsidRPr="00937828">
          <w:rPr>
            <w:rFonts w:ascii="Calibri" w:hAnsi="Calibri" w:cs="Calibri"/>
            <w:sz w:val="20"/>
            <w:szCs w:val="20"/>
          </w:rPr>
          <w:instrText xml:space="preserve"> PAGE   \* MERGEFORMAT </w:instrText>
        </w:r>
        <w:r w:rsidRPr="00937828">
          <w:rPr>
            <w:rFonts w:ascii="Calibri" w:hAnsi="Calibri" w:cs="Calibri"/>
            <w:sz w:val="20"/>
            <w:szCs w:val="20"/>
          </w:rPr>
          <w:fldChar w:fldCharType="separate"/>
        </w:r>
        <w:r>
          <w:rPr>
            <w:rFonts w:ascii="Calibri" w:hAnsi="Calibri" w:cs="Calibri"/>
            <w:sz w:val="20"/>
            <w:szCs w:val="20"/>
          </w:rPr>
          <w:t>32</w:t>
        </w:r>
        <w:r w:rsidRPr="00937828">
          <w:rPr>
            <w:rFonts w:ascii="Calibri" w:hAnsi="Calibri" w:cs="Calibri"/>
            <w:noProof/>
            <w:sz w:val="20"/>
            <w:szCs w:val="20"/>
          </w:rPr>
          <w:fldChar w:fldCharType="end"/>
        </w:r>
      </w:sdtContent>
    </w:sdt>
  </w:p>
  <w:p w14:paraId="6D0C6712" w14:textId="77777777" w:rsidR="00FB7F90" w:rsidRDefault="00FB7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E4E34" w14:textId="77777777" w:rsidR="00512E04" w:rsidRDefault="00512E04" w:rsidP="00F81DCC">
      <w:pPr>
        <w:spacing w:after="0" w:line="240" w:lineRule="auto"/>
      </w:pPr>
      <w:r>
        <w:separator/>
      </w:r>
    </w:p>
  </w:footnote>
  <w:footnote w:type="continuationSeparator" w:id="0">
    <w:p w14:paraId="72BF314E" w14:textId="77777777" w:rsidR="00512E04" w:rsidRDefault="00512E04" w:rsidP="00F81DCC">
      <w:pPr>
        <w:spacing w:after="0" w:line="240" w:lineRule="auto"/>
      </w:pPr>
      <w:r>
        <w:continuationSeparator/>
      </w:r>
    </w:p>
  </w:footnote>
  <w:footnote w:type="continuationNotice" w:id="1">
    <w:p w14:paraId="6B530B27" w14:textId="77777777" w:rsidR="00512E04" w:rsidRDefault="00512E04">
      <w:pPr>
        <w:spacing w:after="0" w:line="240" w:lineRule="auto"/>
      </w:pPr>
    </w:p>
  </w:footnote>
  <w:footnote w:id="2">
    <w:p w14:paraId="56E36BA2" w14:textId="2BAC0CE4" w:rsidR="00A55836" w:rsidRPr="00621008" w:rsidRDefault="00A55836" w:rsidP="00A55836">
      <w:pPr>
        <w:pStyle w:val="FootnoteText"/>
        <w:rPr>
          <w:rFonts w:asciiTheme="minorHAnsi" w:hAnsiTheme="minorHAnsi" w:cstheme="minorBidi"/>
          <w:sz w:val="16"/>
          <w:szCs w:val="16"/>
          <w:lang w:val="en-US"/>
        </w:rPr>
      </w:pPr>
      <w:r>
        <w:rPr>
          <w:rStyle w:val="FootnoteReference"/>
        </w:rPr>
        <w:footnoteRef/>
      </w:r>
      <w:r>
        <w:t xml:space="preserve"> </w:t>
      </w:r>
      <w:r w:rsidRPr="2E92A1A1">
        <w:rPr>
          <w:rFonts w:asciiTheme="minorHAnsi" w:hAnsiTheme="minorHAnsi" w:cstheme="minorBidi"/>
          <w:sz w:val="16"/>
          <w:szCs w:val="16"/>
          <w:lang w:val="en-US"/>
        </w:rPr>
        <w:t>ACECQA</w:t>
      </w:r>
      <w:r w:rsidR="00A85E87">
        <w:rPr>
          <w:rFonts w:asciiTheme="minorHAnsi" w:hAnsiTheme="minorHAnsi" w:cstheme="minorBidi"/>
          <w:sz w:val="16"/>
          <w:szCs w:val="16"/>
          <w:lang w:val="en-US"/>
        </w:rPr>
        <w:t>,</w:t>
      </w:r>
      <w:r w:rsidRPr="2E92A1A1">
        <w:rPr>
          <w:rFonts w:asciiTheme="minorHAnsi" w:hAnsiTheme="minorHAnsi" w:cstheme="minorBidi"/>
          <w:sz w:val="16"/>
          <w:szCs w:val="16"/>
          <w:lang w:val="en-US"/>
        </w:rPr>
        <w:t xml:space="preserve"> </w:t>
      </w:r>
      <w:r w:rsidRPr="0080151D">
        <w:rPr>
          <w:rFonts w:asciiTheme="minorHAnsi" w:hAnsiTheme="minorHAnsi" w:cstheme="minorBidi"/>
          <w:i/>
          <w:iCs/>
          <w:sz w:val="16"/>
          <w:szCs w:val="16"/>
          <w:lang w:val="en-US"/>
        </w:rPr>
        <w:t>NQF Snapshot Q</w:t>
      </w:r>
      <w:r w:rsidR="00A85E87">
        <w:rPr>
          <w:rFonts w:asciiTheme="minorHAnsi" w:hAnsiTheme="minorHAnsi" w:cstheme="minorBidi"/>
          <w:i/>
          <w:iCs/>
          <w:sz w:val="16"/>
          <w:szCs w:val="16"/>
          <w:lang w:val="en-US"/>
        </w:rPr>
        <w:t>2</w:t>
      </w:r>
      <w:r w:rsidRPr="0080151D">
        <w:rPr>
          <w:rFonts w:asciiTheme="minorHAnsi" w:hAnsiTheme="minorHAnsi" w:cstheme="minorBidi"/>
          <w:i/>
          <w:iCs/>
          <w:sz w:val="16"/>
          <w:szCs w:val="16"/>
          <w:lang w:val="en-US"/>
        </w:rPr>
        <w:t xml:space="preserve"> 2023</w:t>
      </w:r>
      <w:r w:rsidR="00A85E87">
        <w:rPr>
          <w:rFonts w:asciiTheme="minorHAnsi" w:hAnsiTheme="minorHAnsi" w:cstheme="minorBidi"/>
          <w:sz w:val="16"/>
          <w:szCs w:val="16"/>
          <w:lang w:val="en-US"/>
        </w:rPr>
        <w:t>, August</w:t>
      </w:r>
      <w:r w:rsidRPr="2E92A1A1">
        <w:rPr>
          <w:rFonts w:asciiTheme="minorHAnsi" w:hAnsiTheme="minorHAnsi" w:cstheme="minorBidi"/>
          <w:sz w:val="16"/>
          <w:szCs w:val="16"/>
          <w:lang w:val="en-US"/>
        </w:rPr>
        <w:t xml:space="preserve"> 2023</w:t>
      </w:r>
    </w:p>
  </w:footnote>
  <w:footnote w:id="3">
    <w:p w14:paraId="52F0F3CE" w14:textId="5D109946" w:rsidR="009B66C2" w:rsidRPr="00830FFE" w:rsidRDefault="009B66C2">
      <w:pPr>
        <w:pStyle w:val="FootnoteText"/>
        <w:rPr>
          <w:rFonts w:asciiTheme="minorHAnsi" w:hAnsiTheme="minorHAnsi" w:cstheme="minorHAnsi"/>
          <w:sz w:val="16"/>
          <w:szCs w:val="16"/>
        </w:rPr>
      </w:pPr>
      <w:r w:rsidRPr="00830FFE">
        <w:rPr>
          <w:rStyle w:val="FootnoteReference"/>
          <w:rFonts w:asciiTheme="minorHAnsi" w:hAnsiTheme="minorHAnsi" w:cstheme="minorHAnsi"/>
          <w:sz w:val="16"/>
          <w:szCs w:val="16"/>
        </w:rPr>
        <w:footnoteRef/>
      </w:r>
      <w:r w:rsidRPr="00830FFE">
        <w:rPr>
          <w:rFonts w:asciiTheme="minorHAnsi" w:hAnsiTheme="minorHAnsi" w:cstheme="minorHAnsi"/>
          <w:sz w:val="16"/>
          <w:szCs w:val="16"/>
        </w:rPr>
        <w:t xml:space="preserve"> </w:t>
      </w:r>
      <w:r w:rsidR="00830FFE" w:rsidRPr="00830FFE">
        <w:rPr>
          <w:rFonts w:asciiTheme="minorHAnsi" w:hAnsiTheme="minorHAnsi" w:cstheme="minorHAnsi"/>
          <w:sz w:val="16"/>
          <w:szCs w:val="16"/>
        </w:rPr>
        <w:t xml:space="preserve">Guidelines </w:t>
      </w:r>
      <w:r w:rsidR="009D2EEF" w:rsidRPr="009D2EEF">
        <w:rPr>
          <w:rFonts w:asciiTheme="minorHAnsi" w:hAnsiTheme="minorHAnsi" w:cstheme="minorHAnsi"/>
          <w:sz w:val="16"/>
          <w:szCs w:val="16"/>
        </w:rPr>
        <w:t xml:space="preserve">issued </w:t>
      </w:r>
      <w:r w:rsidR="009D2EEF">
        <w:rPr>
          <w:rFonts w:asciiTheme="minorHAnsi" w:hAnsiTheme="minorHAnsi" w:cstheme="minorHAnsi"/>
          <w:sz w:val="16"/>
          <w:szCs w:val="16"/>
        </w:rPr>
        <w:t>u</w:t>
      </w:r>
      <w:r w:rsidR="009D2EEF" w:rsidRPr="009D2EEF">
        <w:rPr>
          <w:rFonts w:asciiTheme="minorHAnsi" w:hAnsiTheme="minorHAnsi" w:cstheme="minorHAnsi"/>
          <w:sz w:val="16"/>
          <w:szCs w:val="16"/>
        </w:rPr>
        <w:t xml:space="preserve">nder s 93A of the </w:t>
      </w:r>
      <w:r w:rsidR="003020B2">
        <w:rPr>
          <w:rFonts w:asciiTheme="minorHAnsi" w:hAnsiTheme="minorHAnsi" w:cstheme="minorHAnsi"/>
          <w:sz w:val="16"/>
          <w:szCs w:val="16"/>
        </w:rPr>
        <w:t>FOI Act.</w:t>
      </w:r>
    </w:p>
  </w:footnote>
  <w:footnote w:id="4">
    <w:p w14:paraId="6D092572" w14:textId="02775D4D" w:rsidR="00A55836" w:rsidRPr="0080151D" w:rsidRDefault="00A55836" w:rsidP="00A55836">
      <w:pPr>
        <w:pStyle w:val="FootnoteText"/>
        <w:rPr>
          <w:rFonts w:asciiTheme="minorHAnsi" w:hAnsiTheme="minorHAnsi" w:cstheme="minorHAnsi"/>
          <w:sz w:val="16"/>
          <w:szCs w:val="16"/>
          <w:lang w:val="en-US"/>
        </w:rPr>
      </w:pPr>
      <w:r w:rsidRPr="0080151D">
        <w:rPr>
          <w:rStyle w:val="FootnoteReference"/>
          <w:rFonts w:asciiTheme="minorHAnsi" w:hAnsiTheme="minorHAnsi" w:cstheme="minorHAnsi"/>
          <w:sz w:val="16"/>
          <w:szCs w:val="16"/>
        </w:rPr>
        <w:footnoteRef/>
      </w:r>
      <w:r w:rsidRPr="0080151D">
        <w:rPr>
          <w:rFonts w:asciiTheme="minorHAnsi" w:hAnsiTheme="minorHAnsi" w:cstheme="minorHAnsi"/>
          <w:sz w:val="16"/>
          <w:szCs w:val="16"/>
        </w:rPr>
        <w:t xml:space="preserve"> </w:t>
      </w:r>
      <w:r w:rsidR="00FA2796" w:rsidRPr="0080151D">
        <w:rPr>
          <w:rFonts w:asciiTheme="minorHAnsi" w:hAnsiTheme="minorHAnsi" w:cstheme="minorHAnsi"/>
          <w:sz w:val="16"/>
          <w:szCs w:val="16"/>
        </w:rPr>
        <w:t xml:space="preserve">Guidelines issued </w:t>
      </w:r>
      <w:r w:rsidR="00A12591" w:rsidRPr="0080151D">
        <w:rPr>
          <w:rFonts w:asciiTheme="minorHAnsi" w:hAnsiTheme="minorHAnsi" w:cstheme="minorHAnsi"/>
          <w:sz w:val="16"/>
          <w:szCs w:val="16"/>
        </w:rPr>
        <w:t>under s</w:t>
      </w:r>
      <w:r w:rsidR="00FA2796" w:rsidRPr="0080151D">
        <w:rPr>
          <w:rFonts w:asciiTheme="minorHAnsi" w:hAnsiTheme="minorHAnsi" w:cstheme="minorHAnsi"/>
          <w:sz w:val="16"/>
          <w:szCs w:val="16"/>
        </w:rPr>
        <w:t xml:space="preserve">ection 28(1)(a) of the </w:t>
      </w:r>
      <w:r w:rsidR="00FA2796" w:rsidRPr="0080151D">
        <w:rPr>
          <w:rFonts w:asciiTheme="minorHAnsi" w:hAnsiTheme="minorHAnsi" w:cstheme="minorHAnsi"/>
          <w:i/>
          <w:iCs/>
          <w:sz w:val="16"/>
          <w:szCs w:val="16"/>
        </w:rPr>
        <w:t>Privacy</w:t>
      </w:r>
      <w:r w:rsidR="00A12591" w:rsidRPr="0080151D">
        <w:rPr>
          <w:rFonts w:asciiTheme="minorHAnsi" w:hAnsiTheme="minorHAnsi" w:cstheme="minorHAnsi"/>
          <w:i/>
          <w:iCs/>
          <w:sz w:val="16"/>
          <w:szCs w:val="16"/>
        </w:rPr>
        <w:t xml:space="preserve"> Act 1988.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CA045" w14:textId="77777777" w:rsidR="00666C2A" w:rsidRDefault="00666C2A" w:rsidP="0080151D">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31C5D" w14:textId="017153B4" w:rsidR="006D64DC" w:rsidRPr="00A869B2" w:rsidRDefault="006D64DC" w:rsidP="0080151D">
    <w:pPr>
      <w:pStyle w:val="Heading3"/>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382C4" w14:textId="73A4D00B" w:rsidR="003A1229" w:rsidRDefault="003A1229" w:rsidP="0080151D">
    <w:pPr>
      <w:pStyle w:val="Heading3"/>
      <w:jc w:val="right"/>
    </w:pPr>
    <w:r>
      <w:t>Attachment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4FBA6" w14:textId="463F914F" w:rsidR="0086668C" w:rsidRPr="0086668C" w:rsidRDefault="00981F63" w:rsidP="0086668C">
    <w:pPr>
      <w:pStyle w:val="Footer"/>
      <w:rPr>
        <w:rFonts w:asciiTheme="minorHAnsi" w:hAnsiTheme="minorHAnsi" w:cstheme="minorHAnsi"/>
        <w:sz w:val="16"/>
        <w:szCs w:val="16"/>
      </w:rPr>
    </w:pPr>
    <w:sdt>
      <w:sdtPr>
        <w:rPr>
          <w:rFonts w:asciiTheme="minorHAnsi" w:hAnsiTheme="minorHAnsi" w:cstheme="minorHAnsi"/>
          <w:sz w:val="16"/>
          <w:szCs w:val="16"/>
        </w:rPr>
        <w:id w:val="1993751619"/>
        <w:docPartObj>
          <w:docPartGallery w:val="Page Numbers (Bottom of Page)"/>
          <w:docPartUnique/>
        </w:docPartObj>
      </w:sdtPr>
      <w:sdtEndPr>
        <w:rPr>
          <w:noProof/>
        </w:rPr>
      </w:sdtEndPr>
      <w:sdtContent>
        <w:r w:rsidR="0086668C" w:rsidRPr="00213B13">
          <w:rPr>
            <w:rFonts w:asciiTheme="minorHAnsi" w:hAnsiTheme="minorHAnsi" w:cstheme="minorHAnsi"/>
            <w:b/>
            <w:bCs/>
            <w:noProof/>
            <w:sz w:val="16"/>
            <w:szCs w:val="16"/>
          </w:rPr>
          <w:t xml:space="preserve">Attachment </w:t>
        </w:r>
        <w:r w:rsidR="0086668C">
          <w:rPr>
            <w:rFonts w:asciiTheme="minorHAnsi" w:hAnsiTheme="minorHAnsi" w:cstheme="minorHAnsi"/>
            <w:b/>
            <w:bCs/>
            <w:noProof/>
            <w:sz w:val="16"/>
            <w:szCs w:val="16"/>
          </w:rPr>
          <w:t>3</w:t>
        </w:r>
        <w:r w:rsidR="0086668C" w:rsidRPr="00213B13">
          <w:rPr>
            <w:rFonts w:asciiTheme="minorHAnsi" w:hAnsiTheme="minorHAnsi" w:cstheme="minorHAnsi"/>
            <w:noProof/>
            <w:sz w:val="16"/>
            <w:szCs w:val="16"/>
          </w:rPr>
          <w:t xml:space="preserve"> </w:t>
        </w:r>
        <w:r w:rsidR="003E0B45" w:rsidRPr="003E0B45">
          <w:rPr>
            <w:rFonts w:asciiTheme="minorHAnsi" w:hAnsiTheme="minorHAnsi" w:cstheme="minorHAnsi"/>
            <w:noProof/>
            <w:sz w:val="16"/>
            <w:szCs w:val="16"/>
          </w:rPr>
          <w:t>Updated Instrument adopting the Freedom of Information Guidelines</w:t>
        </w:r>
      </w:sdtContent>
    </w:sdt>
    <w:r w:rsidR="0086668C">
      <w:rPr>
        <w:rFonts w:asciiTheme="minorHAnsi" w:hAnsiTheme="minorHAnsi" w:cstheme="minorHAnsi"/>
        <w:sz w:val="16"/>
        <w:szCs w:val="16"/>
      </w:rPr>
      <w:tab/>
    </w:r>
    <w:r w:rsidR="003E0B45">
      <w:rPr>
        <w:rFonts w:asciiTheme="minorHAnsi" w:hAnsiTheme="minorHAnsi" w:cstheme="minorHAnsi"/>
        <w:sz w:val="16"/>
        <w:szCs w:val="16"/>
      </w:rPr>
      <w:t xml:space="preserve">  </w:t>
    </w:r>
    <w:r w:rsidR="0086668C">
      <w:rPr>
        <w:rFonts w:asciiTheme="minorHAnsi" w:hAnsiTheme="minorHAnsi" w:cstheme="minorHAnsi"/>
        <w:sz w:val="16"/>
        <w:szCs w:val="16"/>
      </w:rPr>
      <w:t xml:space="preserve"> </w:t>
    </w:r>
    <w:r w:rsidR="0086668C" w:rsidRPr="00732301">
      <w:rPr>
        <w:color w:val="808080" w:themeColor="background1" w:themeShade="80"/>
      </w:rPr>
      <w:fldChar w:fldCharType="begin"/>
    </w:r>
    <w:r w:rsidR="0086668C" w:rsidRPr="00732301">
      <w:rPr>
        <w:color w:val="808080" w:themeColor="background1" w:themeShade="80"/>
      </w:rPr>
      <w:instrText xml:space="preserve"> PAGE   \* MERGEFORMAT </w:instrText>
    </w:r>
    <w:r w:rsidR="0086668C" w:rsidRPr="00732301">
      <w:rPr>
        <w:color w:val="808080" w:themeColor="background1" w:themeShade="80"/>
      </w:rPr>
      <w:fldChar w:fldCharType="separate"/>
    </w:r>
    <w:r w:rsidR="0086668C">
      <w:rPr>
        <w:color w:val="808080" w:themeColor="background1" w:themeShade="80"/>
      </w:rPr>
      <w:t>23</w:t>
    </w:r>
    <w:r w:rsidR="0086668C" w:rsidRPr="00732301">
      <w:rPr>
        <w:noProof/>
        <w:color w:val="808080" w:themeColor="background1" w:themeShade="8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37526" w14:textId="751F7C9D" w:rsidR="00AF6090" w:rsidRPr="0086668C" w:rsidRDefault="00AF6090" w:rsidP="0086668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D5303" w14:textId="3F6E608D" w:rsidR="00EE1F76" w:rsidRDefault="00EE1F76" w:rsidP="0080151D">
    <w:pPr>
      <w:pStyle w:val="Heading3"/>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F0FEF" w14:textId="5CF9887E" w:rsidR="00F3647F" w:rsidRPr="0086668C" w:rsidRDefault="00F3647F" w:rsidP="0086668C">
    <w:pPr>
      <w:pStyle w:val="Footer"/>
      <w:rPr>
        <w:rFonts w:asciiTheme="minorHAnsi" w:hAnsiTheme="minorHAnsi" w:cstheme="minorHAnsi"/>
        <w:sz w:val="16"/>
        <w:szCs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58446" w14:textId="6BF62628" w:rsidR="00595200" w:rsidRDefault="00595200" w:rsidP="0080151D">
    <w:pPr>
      <w:pStyle w:val="Heading3"/>
      <w:jc w:val="right"/>
    </w:pPr>
    <w:r>
      <w:t>Attachment 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AB754" w14:textId="7F2BEC5F" w:rsidR="00455CF0" w:rsidRPr="00455CF0" w:rsidRDefault="00981F63" w:rsidP="00455CF0">
    <w:pPr>
      <w:pStyle w:val="Footer"/>
      <w:rPr>
        <w:rFonts w:asciiTheme="minorHAnsi" w:hAnsiTheme="minorHAnsi" w:cstheme="minorHAnsi"/>
        <w:sz w:val="16"/>
        <w:szCs w:val="16"/>
      </w:rPr>
    </w:pPr>
    <w:sdt>
      <w:sdtPr>
        <w:rPr>
          <w:rFonts w:asciiTheme="minorHAnsi" w:hAnsiTheme="minorHAnsi" w:cstheme="minorHAnsi"/>
          <w:sz w:val="16"/>
          <w:szCs w:val="16"/>
        </w:rPr>
        <w:id w:val="-1245950343"/>
        <w:docPartObj>
          <w:docPartGallery w:val="Page Numbers (Bottom of Page)"/>
          <w:docPartUnique/>
        </w:docPartObj>
      </w:sdtPr>
      <w:sdtEndPr>
        <w:rPr>
          <w:noProof/>
        </w:rPr>
      </w:sdtEndPr>
      <w:sdtContent>
        <w:r w:rsidR="00455CF0" w:rsidRPr="00213B13">
          <w:rPr>
            <w:rFonts w:asciiTheme="minorHAnsi" w:hAnsiTheme="minorHAnsi" w:cstheme="minorHAnsi"/>
            <w:b/>
            <w:bCs/>
            <w:noProof/>
            <w:sz w:val="16"/>
            <w:szCs w:val="16"/>
          </w:rPr>
          <w:t xml:space="preserve">Attachment </w:t>
        </w:r>
        <w:r w:rsidR="008372B8">
          <w:rPr>
            <w:rFonts w:asciiTheme="minorHAnsi" w:hAnsiTheme="minorHAnsi" w:cstheme="minorHAnsi"/>
            <w:b/>
            <w:bCs/>
            <w:noProof/>
            <w:sz w:val="16"/>
            <w:szCs w:val="16"/>
          </w:rPr>
          <w:t>4</w:t>
        </w:r>
        <w:r w:rsidR="00455CF0" w:rsidRPr="00213B13">
          <w:rPr>
            <w:rFonts w:asciiTheme="minorHAnsi" w:hAnsiTheme="minorHAnsi" w:cstheme="minorHAnsi"/>
            <w:noProof/>
            <w:sz w:val="16"/>
            <w:szCs w:val="16"/>
          </w:rPr>
          <w:t xml:space="preserve"> </w:t>
        </w:r>
        <w:r w:rsidR="008372B8">
          <w:rPr>
            <w:rFonts w:asciiTheme="minorHAnsi" w:hAnsiTheme="minorHAnsi" w:cstheme="minorHAnsi"/>
            <w:noProof/>
            <w:sz w:val="16"/>
            <w:szCs w:val="16"/>
          </w:rPr>
          <w:t>Strategic Plan</w:t>
        </w:r>
        <w:r w:rsidR="00943C03">
          <w:rPr>
            <w:rFonts w:asciiTheme="minorHAnsi" w:hAnsiTheme="minorHAnsi" w:cstheme="minorHAnsi"/>
            <w:noProof/>
            <w:sz w:val="16"/>
            <w:szCs w:val="16"/>
          </w:rPr>
          <w:t xml:space="preserve"> </w:t>
        </w:r>
        <w:r w:rsidR="008372B8">
          <w:rPr>
            <w:rFonts w:asciiTheme="minorHAnsi" w:hAnsiTheme="minorHAnsi" w:cstheme="minorHAnsi"/>
            <w:noProof/>
            <w:sz w:val="16"/>
            <w:szCs w:val="16"/>
          </w:rPr>
          <w:t>2021-2024</w:t>
        </w:r>
        <w:r w:rsidR="00455CF0">
          <w:rPr>
            <w:rFonts w:asciiTheme="minorHAnsi" w:hAnsiTheme="minorHAnsi" w:cstheme="minorHAnsi"/>
            <w:noProof/>
            <w:sz w:val="16"/>
            <w:szCs w:val="16"/>
          </w:rPr>
          <w:tab/>
        </w:r>
        <w:r w:rsidR="00327C85">
          <w:rPr>
            <w:rFonts w:asciiTheme="minorHAnsi" w:hAnsiTheme="minorHAnsi" w:cstheme="minorHAnsi"/>
            <w:noProof/>
            <w:sz w:val="16"/>
            <w:szCs w:val="16"/>
          </w:rPr>
          <w:tab/>
        </w:r>
      </w:sdtContent>
    </w:sdt>
    <w:r w:rsidR="00455CF0">
      <w:rPr>
        <w:rFonts w:asciiTheme="minorHAnsi" w:hAnsiTheme="minorHAnsi" w:cstheme="minorHAnsi"/>
        <w:sz w:val="16"/>
        <w:szCs w:val="16"/>
      </w:rPr>
      <w:tab/>
      <w:t xml:space="preserve">  </w:t>
    </w:r>
    <w:r w:rsidR="00943C03">
      <w:rPr>
        <w:rFonts w:asciiTheme="minorHAnsi" w:hAnsiTheme="minorHAnsi" w:cstheme="minorHAnsi"/>
        <w:sz w:val="16"/>
        <w:szCs w:val="16"/>
      </w:rPr>
      <w:t xml:space="preserve"> </w:t>
    </w:r>
    <w:r w:rsidR="00455CF0">
      <w:rPr>
        <w:rFonts w:asciiTheme="minorHAnsi" w:hAnsiTheme="minorHAnsi" w:cstheme="minorHAnsi"/>
        <w:sz w:val="16"/>
        <w:szCs w:val="16"/>
      </w:rPr>
      <w:t xml:space="preserve"> </w:t>
    </w:r>
    <w:r w:rsidR="00455CF0" w:rsidRPr="00732301">
      <w:rPr>
        <w:color w:val="808080" w:themeColor="background1" w:themeShade="80"/>
      </w:rPr>
      <w:fldChar w:fldCharType="begin"/>
    </w:r>
    <w:r w:rsidR="00455CF0" w:rsidRPr="00732301">
      <w:rPr>
        <w:color w:val="808080" w:themeColor="background1" w:themeShade="80"/>
      </w:rPr>
      <w:instrText xml:space="preserve"> PAGE   \* MERGEFORMAT </w:instrText>
    </w:r>
    <w:r w:rsidR="00455CF0" w:rsidRPr="00732301">
      <w:rPr>
        <w:color w:val="808080" w:themeColor="background1" w:themeShade="80"/>
      </w:rPr>
      <w:fldChar w:fldCharType="separate"/>
    </w:r>
    <w:r w:rsidR="00455CF0">
      <w:rPr>
        <w:color w:val="808080" w:themeColor="background1" w:themeShade="80"/>
      </w:rPr>
      <w:t>26</w:t>
    </w:r>
    <w:r w:rsidR="00455CF0" w:rsidRPr="00732301">
      <w:rPr>
        <w:noProof/>
        <w:color w:val="808080" w:themeColor="background1" w:themeShade="8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1E63D" w14:textId="1DB18918" w:rsidR="003E0B45" w:rsidRPr="003E0B45" w:rsidRDefault="00981F63" w:rsidP="003E0B45">
    <w:pPr>
      <w:pStyle w:val="Footer"/>
      <w:rPr>
        <w:rFonts w:asciiTheme="minorHAnsi" w:hAnsiTheme="minorHAnsi" w:cstheme="minorHAnsi"/>
        <w:sz w:val="16"/>
        <w:szCs w:val="16"/>
      </w:rPr>
    </w:pPr>
    <w:sdt>
      <w:sdtPr>
        <w:rPr>
          <w:rFonts w:asciiTheme="minorHAnsi" w:hAnsiTheme="minorHAnsi" w:cstheme="minorHAnsi"/>
          <w:sz w:val="16"/>
          <w:szCs w:val="16"/>
        </w:rPr>
        <w:id w:val="2050331121"/>
        <w:docPartObj>
          <w:docPartGallery w:val="Page Numbers (Bottom of Page)"/>
          <w:docPartUnique/>
        </w:docPartObj>
      </w:sdtPr>
      <w:sdtEndPr>
        <w:rPr>
          <w:noProof/>
        </w:rPr>
      </w:sdtEndPr>
      <w:sdtContent>
        <w:r w:rsidR="003E0B45" w:rsidRPr="00213B13">
          <w:rPr>
            <w:rFonts w:asciiTheme="minorHAnsi" w:hAnsiTheme="minorHAnsi" w:cstheme="minorHAnsi"/>
            <w:b/>
            <w:bCs/>
            <w:noProof/>
            <w:sz w:val="16"/>
            <w:szCs w:val="16"/>
          </w:rPr>
          <w:t xml:space="preserve">Attachment </w:t>
        </w:r>
        <w:r w:rsidR="003E0B45">
          <w:rPr>
            <w:rFonts w:asciiTheme="minorHAnsi" w:hAnsiTheme="minorHAnsi" w:cstheme="minorHAnsi"/>
            <w:b/>
            <w:bCs/>
            <w:noProof/>
            <w:sz w:val="16"/>
            <w:szCs w:val="16"/>
          </w:rPr>
          <w:t>4</w:t>
        </w:r>
        <w:r w:rsidR="003E0B45" w:rsidRPr="00213B13">
          <w:rPr>
            <w:rFonts w:asciiTheme="minorHAnsi" w:hAnsiTheme="minorHAnsi" w:cstheme="minorHAnsi"/>
            <w:noProof/>
            <w:sz w:val="16"/>
            <w:szCs w:val="16"/>
          </w:rPr>
          <w:t xml:space="preserve"> </w:t>
        </w:r>
        <w:r w:rsidR="00455CF0" w:rsidRPr="00455CF0">
          <w:rPr>
            <w:rFonts w:asciiTheme="minorHAnsi" w:hAnsiTheme="minorHAnsi" w:cstheme="minorHAnsi"/>
            <w:noProof/>
            <w:sz w:val="16"/>
            <w:szCs w:val="16"/>
          </w:rPr>
          <w:t>Strategic Plan 2021-2024</w:t>
        </w:r>
        <w:r w:rsidR="00455CF0">
          <w:rPr>
            <w:rFonts w:asciiTheme="minorHAnsi" w:hAnsiTheme="minorHAnsi" w:cstheme="minorHAnsi"/>
            <w:noProof/>
            <w:sz w:val="16"/>
            <w:szCs w:val="16"/>
          </w:rPr>
          <w:tab/>
        </w:r>
        <w:r w:rsidR="00455CF0">
          <w:rPr>
            <w:rFonts w:asciiTheme="minorHAnsi" w:hAnsiTheme="minorHAnsi" w:cstheme="minorHAnsi"/>
            <w:noProof/>
            <w:sz w:val="16"/>
            <w:szCs w:val="16"/>
          </w:rPr>
          <w:tab/>
        </w:r>
      </w:sdtContent>
    </w:sdt>
    <w:r w:rsidR="003E0B45">
      <w:rPr>
        <w:rFonts w:asciiTheme="minorHAnsi" w:hAnsiTheme="minorHAnsi" w:cstheme="minorHAnsi"/>
        <w:sz w:val="16"/>
        <w:szCs w:val="16"/>
      </w:rPr>
      <w:tab/>
      <w:t xml:space="preserve">   </w:t>
    </w:r>
    <w:r w:rsidR="003E0B45" w:rsidRPr="00732301">
      <w:rPr>
        <w:color w:val="808080" w:themeColor="background1" w:themeShade="80"/>
      </w:rPr>
      <w:fldChar w:fldCharType="begin"/>
    </w:r>
    <w:r w:rsidR="003E0B45" w:rsidRPr="00732301">
      <w:rPr>
        <w:color w:val="808080" w:themeColor="background1" w:themeShade="80"/>
      </w:rPr>
      <w:instrText xml:space="preserve"> PAGE   \* MERGEFORMAT </w:instrText>
    </w:r>
    <w:r w:rsidR="003E0B45" w:rsidRPr="00732301">
      <w:rPr>
        <w:color w:val="808080" w:themeColor="background1" w:themeShade="80"/>
      </w:rPr>
      <w:fldChar w:fldCharType="separate"/>
    </w:r>
    <w:r w:rsidR="003E0B45">
      <w:rPr>
        <w:color w:val="808080" w:themeColor="background1" w:themeShade="80"/>
      </w:rPr>
      <w:t>27</w:t>
    </w:r>
    <w:r w:rsidR="003E0B45" w:rsidRPr="00732301">
      <w:rPr>
        <w:noProof/>
        <w:color w:val="808080" w:themeColor="background1" w:themeShade="8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61A86" w14:textId="15B383AC" w:rsidR="00271A6B" w:rsidRDefault="00271A6B" w:rsidP="0080151D">
    <w:pPr>
      <w:pStyle w:val="Heading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3B860" w14:textId="061B7DD3" w:rsidR="00842492" w:rsidRPr="00A869B2" w:rsidRDefault="00A869B2" w:rsidP="003336FB">
    <w:pPr>
      <w:pStyle w:val="Footer"/>
      <w:tabs>
        <w:tab w:val="clear" w:pos="9360"/>
        <w:tab w:val="right" w:pos="9639"/>
      </w:tabs>
      <w:ind w:left="360" w:firstLine="4680"/>
      <w:rPr>
        <w:rFonts w:asciiTheme="minorHAnsi" w:hAnsiTheme="minorHAnsi" w:cstheme="minorHAnsi"/>
        <w:sz w:val="16"/>
        <w:szCs w:val="16"/>
      </w:rPr>
    </w:pPr>
    <w:r>
      <w:rPr>
        <w:rFonts w:asciiTheme="minorHAnsi" w:hAnsiTheme="minorHAnsi" w:cstheme="minorHAnsi"/>
        <w:sz w:val="16"/>
        <w:szCs w:val="16"/>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D0FFD" w14:textId="65782CA2" w:rsidR="000C543C" w:rsidRPr="00455CF0" w:rsidRDefault="000C543C" w:rsidP="00455CF0">
    <w:pPr>
      <w:pStyle w:val="Footer"/>
      <w:rPr>
        <w:rFonts w:asciiTheme="minorHAnsi" w:hAnsiTheme="minorHAnsi" w:cstheme="minorHAnsi"/>
        <w:sz w:val="16"/>
        <w:szCs w:val="16"/>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D779F" w14:textId="77777777" w:rsidR="001F1DE9" w:rsidRPr="003E0B45" w:rsidRDefault="001F1DE9" w:rsidP="001F1DE9">
    <w:pPr>
      <w:pStyle w:val="Heading3"/>
      <w:jc w:val="right"/>
    </w:pPr>
    <w:r>
      <w:t>Attachment 5</w:t>
    </w:r>
  </w:p>
  <w:p w14:paraId="06A78748" w14:textId="77777777" w:rsidR="001F1DE9" w:rsidRPr="00455CF0" w:rsidRDefault="001F1DE9" w:rsidP="001F1DE9">
    <w:pPr>
      <w:pStyle w:val="Footer"/>
      <w:jc w:val="right"/>
      <w:rPr>
        <w:rFonts w:asciiTheme="minorHAnsi" w:hAnsiTheme="minorHAnsi" w:cstheme="minorHAnsi"/>
        <w:sz w:val="16"/>
        <w:szCs w:val="16"/>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D5092" w14:textId="70B507FB" w:rsidR="00B148E2" w:rsidRPr="00656259" w:rsidRDefault="00656259" w:rsidP="000B3688">
    <w:pPr>
      <w:pStyle w:val="Heading3"/>
      <w:jc w:val="right"/>
    </w:pPr>
    <w:r>
      <w:t>Attachment 5</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BB6D8" w14:textId="4E5533C5" w:rsidR="00180206" w:rsidRDefault="00180206" w:rsidP="0080151D">
    <w:pPr>
      <w:pStyle w:val="Heading3"/>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3CCFA" w14:textId="38822B0C" w:rsidR="008372B8" w:rsidRPr="00455CF0" w:rsidRDefault="00CB276B" w:rsidP="0080151D">
    <w:pPr>
      <w:pStyle w:val="Heading3"/>
      <w:jc w:val="right"/>
    </w:pPr>
    <w:r>
      <w:rPr>
        <w:noProof/>
      </w:rPr>
      <w:drawing>
        <wp:anchor distT="0" distB="0" distL="0" distR="0" simplePos="0" relativeHeight="251658241" behindDoc="1" locked="0" layoutInCell="1" allowOverlap="1" wp14:anchorId="74BA4FC3" wp14:editId="378A4FD5">
          <wp:simplePos x="0" y="0"/>
          <wp:positionH relativeFrom="page">
            <wp:posOffset>685800</wp:posOffset>
          </wp:positionH>
          <wp:positionV relativeFrom="page">
            <wp:posOffset>449580</wp:posOffset>
          </wp:positionV>
          <wp:extent cx="1575435" cy="535939"/>
          <wp:effectExtent l="0" t="0" r="0" b="0"/>
          <wp:wrapNone/>
          <wp:docPr id="587511541" name="Image 6" descr="This is the logo of PKF, the firm that audited the financial state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7511541" name="Image 6" descr="This is the logo of PKF, the firm that audited the financial statements."/>
                  <pic:cNvPicPr/>
                </pic:nvPicPr>
                <pic:blipFill>
                  <a:blip r:embed="rId1" cstate="print"/>
                  <a:stretch>
                    <a:fillRect/>
                  </a:stretch>
                </pic:blipFill>
                <pic:spPr>
                  <a:xfrm>
                    <a:off x="0" y="0"/>
                    <a:ext cx="1575435" cy="535939"/>
                  </a:xfrm>
                  <a:prstGeom prst="rect">
                    <a:avLst/>
                  </a:prstGeom>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04FF5" w14:textId="76248620" w:rsidR="00EC1478" w:rsidRPr="003E0B45" w:rsidRDefault="00396043" w:rsidP="00396043">
    <w:pPr>
      <w:pStyle w:val="Heading3"/>
    </w:pPr>
    <w:r>
      <w:rPr>
        <w:noProof/>
      </w:rPr>
      <w:drawing>
        <wp:anchor distT="0" distB="0" distL="0" distR="0" simplePos="0" relativeHeight="251658240" behindDoc="1" locked="0" layoutInCell="1" allowOverlap="1" wp14:anchorId="723A7208" wp14:editId="42A10DB0">
          <wp:simplePos x="0" y="0"/>
          <wp:positionH relativeFrom="page">
            <wp:posOffset>685800</wp:posOffset>
          </wp:positionH>
          <wp:positionV relativeFrom="page">
            <wp:posOffset>449580</wp:posOffset>
          </wp:positionV>
          <wp:extent cx="1575435" cy="535939"/>
          <wp:effectExtent l="0" t="0" r="0" b="0"/>
          <wp:wrapNone/>
          <wp:docPr id="6" name="Image 6" descr="This is the logo of PKF, the firm that audited the financial state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his is the logo of PKF, the firm that audited the financial statements."/>
                  <pic:cNvPicPr/>
                </pic:nvPicPr>
                <pic:blipFill>
                  <a:blip r:embed="rId1" cstate="print"/>
                  <a:stretch>
                    <a:fillRect/>
                  </a:stretch>
                </pic:blipFill>
                <pic:spPr>
                  <a:xfrm>
                    <a:off x="0" y="0"/>
                    <a:ext cx="1575435" cy="535939"/>
                  </a:xfrm>
                  <a:prstGeom prst="rect">
                    <a:avLst/>
                  </a:prstGeom>
                </pic:spPr>
              </pic:pic>
            </a:graphicData>
          </a:graphic>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FA316" w14:textId="50636721" w:rsidR="00D239BB" w:rsidRDefault="00D239BB" w:rsidP="0080151D">
    <w:pPr>
      <w:pStyle w:val="Heading3"/>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68482" w14:textId="540DFAB2" w:rsidR="00CE5B90" w:rsidRPr="00213927" w:rsidRDefault="00CE5B90" w:rsidP="00213927">
    <w:pPr>
      <w:pStyle w:val="Footer"/>
      <w:rPr>
        <w:rFonts w:asciiTheme="minorHAnsi" w:hAnsiTheme="minorHAnsi" w:cstheme="minorHAnsi"/>
        <w:sz w:val="16"/>
        <w:szCs w:val="16"/>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06B4E" w14:textId="03DCF7EB" w:rsidR="00EC66B3" w:rsidRDefault="00EC66B3" w:rsidP="0080151D">
    <w:pPr>
      <w:pStyle w:val="Heading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E44E6" w14:textId="2B01D47D" w:rsidR="00983C5A" w:rsidRPr="0086668C" w:rsidRDefault="00983C5A" w:rsidP="00983C5A">
    <w:pPr>
      <w:pStyle w:val="Footer"/>
      <w:rPr>
        <w:rFonts w:asciiTheme="minorHAnsi" w:hAnsiTheme="minorHAnsi" w:cstheme="minorHAnsi"/>
        <w:sz w:val="16"/>
        <w:szCs w:val="16"/>
      </w:rPr>
    </w:pPr>
    <w:r>
      <w:rPr>
        <w:rFonts w:asciiTheme="minorHAnsi" w:hAnsiTheme="minorHAnsi" w:cstheme="minorHAnsi"/>
        <w:sz w:val="16"/>
        <w:szCs w:val="16"/>
      </w:rPr>
      <w:t xml:space="preserve">   </w:t>
    </w:r>
    <w:r w:rsidRPr="00732301">
      <w:rPr>
        <w:color w:val="808080" w:themeColor="background1" w:themeShade="80"/>
      </w:rPr>
      <w:fldChar w:fldCharType="begin"/>
    </w:r>
    <w:r w:rsidRPr="00732301">
      <w:rPr>
        <w:color w:val="808080" w:themeColor="background1" w:themeShade="80"/>
      </w:rPr>
      <w:instrText xml:space="preserve"> PAGE   \* MERGEFORMAT </w:instrText>
    </w:r>
    <w:r w:rsidRPr="00732301">
      <w:rPr>
        <w:color w:val="808080" w:themeColor="background1" w:themeShade="80"/>
      </w:rPr>
      <w:fldChar w:fldCharType="separate"/>
    </w:r>
    <w:r>
      <w:rPr>
        <w:color w:val="808080" w:themeColor="background1" w:themeShade="80"/>
      </w:rPr>
      <w:t>22</w:t>
    </w:r>
    <w:r w:rsidRPr="00732301">
      <w:rPr>
        <w:noProof/>
        <w:color w:val="808080" w:themeColor="background1" w:themeShade="80"/>
      </w:rPr>
      <w:fldChar w:fldCharType="end"/>
    </w:r>
  </w:p>
  <w:p w14:paraId="48BF99ED" w14:textId="77777777" w:rsidR="00FC7170" w:rsidRPr="00FC7170" w:rsidRDefault="00FC7170" w:rsidP="00FC71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50215" w14:textId="5A43A249" w:rsidR="00827446" w:rsidRDefault="0066006D" w:rsidP="0080151D">
    <w:pPr>
      <w:pStyle w:val="Heading3"/>
      <w:jc w:val="right"/>
    </w:pPr>
    <w:r>
      <w:t xml:space="preserve">Attachment </w:t>
    </w:r>
    <w:r w:rsidR="008F1460">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F7D29" w14:textId="0C136F72" w:rsidR="00A869B2" w:rsidRPr="00A869B2" w:rsidRDefault="00981F63" w:rsidP="00A869B2">
    <w:pPr>
      <w:pStyle w:val="Footer"/>
      <w:rPr>
        <w:rFonts w:asciiTheme="minorHAnsi" w:hAnsiTheme="minorHAnsi" w:cstheme="minorHAnsi"/>
        <w:sz w:val="16"/>
        <w:szCs w:val="16"/>
      </w:rPr>
    </w:pPr>
    <w:sdt>
      <w:sdtPr>
        <w:rPr>
          <w:rFonts w:asciiTheme="minorHAnsi" w:hAnsiTheme="minorHAnsi" w:cstheme="minorHAnsi"/>
          <w:sz w:val="16"/>
          <w:szCs w:val="16"/>
        </w:rPr>
        <w:id w:val="1793793210"/>
        <w:docPartObj>
          <w:docPartGallery w:val="Page Numbers (Bottom of Page)"/>
          <w:docPartUnique/>
        </w:docPartObj>
      </w:sdtPr>
      <w:sdtEndPr>
        <w:rPr>
          <w:noProof/>
        </w:rPr>
      </w:sdtEndPr>
      <w:sdtContent>
        <w:r w:rsidR="00A869B2" w:rsidRPr="00213B13">
          <w:rPr>
            <w:rFonts w:asciiTheme="minorHAnsi" w:hAnsiTheme="minorHAnsi" w:cstheme="minorHAnsi"/>
            <w:b/>
            <w:bCs/>
            <w:noProof/>
            <w:sz w:val="16"/>
            <w:szCs w:val="16"/>
          </w:rPr>
          <w:t xml:space="preserve">Attachment </w:t>
        </w:r>
        <w:r w:rsidR="00A869B2">
          <w:rPr>
            <w:rFonts w:asciiTheme="minorHAnsi" w:hAnsiTheme="minorHAnsi" w:cstheme="minorHAnsi"/>
            <w:b/>
            <w:bCs/>
            <w:noProof/>
            <w:sz w:val="16"/>
            <w:szCs w:val="16"/>
          </w:rPr>
          <w:t>1</w:t>
        </w:r>
        <w:r w:rsidR="00A869B2" w:rsidRPr="00213B13">
          <w:rPr>
            <w:rFonts w:asciiTheme="minorHAnsi" w:hAnsiTheme="minorHAnsi" w:cstheme="minorHAnsi"/>
            <w:noProof/>
            <w:sz w:val="16"/>
            <w:szCs w:val="16"/>
          </w:rPr>
          <w:t xml:space="preserve"> </w:t>
        </w:r>
        <w:r w:rsidR="0031523D" w:rsidRPr="0031523D">
          <w:rPr>
            <w:rFonts w:asciiTheme="minorHAnsi" w:hAnsiTheme="minorHAnsi" w:cstheme="minorHAnsi"/>
            <w:noProof/>
            <w:sz w:val="16"/>
            <w:szCs w:val="16"/>
          </w:rPr>
          <w:t>State and Territory Regulatory Authorities and administrative units</w:t>
        </w:r>
      </w:sdtContent>
    </w:sdt>
    <w:r w:rsidR="00A869B2">
      <w:rPr>
        <w:rFonts w:asciiTheme="minorHAnsi" w:hAnsiTheme="minorHAnsi" w:cstheme="minorHAnsi"/>
        <w:sz w:val="16"/>
        <w:szCs w:val="16"/>
      </w:rPr>
      <w:tab/>
      <w:t xml:space="preserve">   </w:t>
    </w:r>
    <w:r w:rsidR="00A869B2" w:rsidRPr="00732301">
      <w:rPr>
        <w:color w:val="808080" w:themeColor="background1" w:themeShade="80"/>
      </w:rPr>
      <w:fldChar w:fldCharType="begin"/>
    </w:r>
    <w:r w:rsidR="00A869B2" w:rsidRPr="00732301">
      <w:rPr>
        <w:color w:val="808080" w:themeColor="background1" w:themeShade="80"/>
      </w:rPr>
      <w:instrText xml:space="preserve"> PAGE   \* MERGEFORMAT </w:instrText>
    </w:r>
    <w:r w:rsidR="00A869B2" w:rsidRPr="00732301">
      <w:rPr>
        <w:color w:val="808080" w:themeColor="background1" w:themeShade="80"/>
      </w:rPr>
      <w:fldChar w:fldCharType="separate"/>
    </w:r>
    <w:r w:rsidR="00A869B2">
      <w:rPr>
        <w:color w:val="808080" w:themeColor="background1" w:themeShade="80"/>
      </w:rPr>
      <w:t>15</w:t>
    </w:r>
    <w:r w:rsidR="00A869B2" w:rsidRPr="00732301">
      <w:rPr>
        <w:noProof/>
        <w:color w:val="808080" w:themeColor="background1" w:themeShade="8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2606C" w14:textId="77777777" w:rsidR="00A869B2" w:rsidRPr="0086668C" w:rsidRDefault="00981F63" w:rsidP="00983C5A">
    <w:pPr>
      <w:pStyle w:val="Footer"/>
      <w:rPr>
        <w:rFonts w:asciiTheme="minorHAnsi" w:hAnsiTheme="minorHAnsi" w:cstheme="minorHAnsi"/>
        <w:sz w:val="16"/>
        <w:szCs w:val="16"/>
      </w:rPr>
    </w:pPr>
    <w:sdt>
      <w:sdtPr>
        <w:rPr>
          <w:rFonts w:asciiTheme="minorHAnsi" w:hAnsiTheme="minorHAnsi" w:cstheme="minorHAnsi"/>
          <w:sz w:val="16"/>
          <w:szCs w:val="16"/>
        </w:rPr>
        <w:id w:val="-1622687020"/>
        <w:docPartObj>
          <w:docPartGallery w:val="Page Numbers (Bottom of Page)"/>
          <w:docPartUnique/>
        </w:docPartObj>
      </w:sdtPr>
      <w:sdtEndPr>
        <w:rPr>
          <w:noProof/>
        </w:rPr>
      </w:sdtEndPr>
      <w:sdtContent>
        <w:r w:rsidR="00A869B2" w:rsidRPr="00213B13">
          <w:rPr>
            <w:rFonts w:asciiTheme="minorHAnsi" w:hAnsiTheme="minorHAnsi" w:cstheme="minorHAnsi"/>
            <w:b/>
            <w:bCs/>
            <w:noProof/>
            <w:sz w:val="16"/>
            <w:szCs w:val="16"/>
          </w:rPr>
          <w:t xml:space="preserve">Attachment </w:t>
        </w:r>
        <w:r w:rsidR="00A869B2">
          <w:rPr>
            <w:rFonts w:asciiTheme="minorHAnsi" w:hAnsiTheme="minorHAnsi" w:cstheme="minorHAnsi"/>
            <w:b/>
            <w:bCs/>
            <w:noProof/>
            <w:sz w:val="16"/>
            <w:szCs w:val="16"/>
          </w:rPr>
          <w:t>3</w:t>
        </w:r>
        <w:r w:rsidR="00A869B2" w:rsidRPr="00213B13">
          <w:rPr>
            <w:rFonts w:asciiTheme="minorHAnsi" w:hAnsiTheme="minorHAnsi" w:cstheme="minorHAnsi"/>
            <w:noProof/>
            <w:sz w:val="16"/>
            <w:szCs w:val="16"/>
          </w:rPr>
          <w:t xml:space="preserve"> </w:t>
        </w:r>
        <w:r w:rsidR="00A869B2" w:rsidRPr="003E0B45">
          <w:rPr>
            <w:rFonts w:asciiTheme="minorHAnsi" w:hAnsiTheme="minorHAnsi" w:cstheme="minorHAnsi"/>
            <w:noProof/>
            <w:sz w:val="16"/>
            <w:szCs w:val="16"/>
          </w:rPr>
          <w:t>Updated Instrument adopting the Freedom of Information Guidelines</w:t>
        </w:r>
      </w:sdtContent>
    </w:sdt>
    <w:r w:rsidR="00A869B2">
      <w:rPr>
        <w:rFonts w:asciiTheme="minorHAnsi" w:hAnsiTheme="minorHAnsi" w:cstheme="minorHAnsi"/>
        <w:sz w:val="16"/>
        <w:szCs w:val="16"/>
      </w:rPr>
      <w:tab/>
      <w:t xml:space="preserve">   </w:t>
    </w:r>
    <w:r w:rsidR="00A869B2" w:rsidRPr="00732301">
      <w:rPr>
        <w:color w:val="808080" w:themeColor="background1" w:themeShade="80"/>
      </w:rPr>
      <w:fldChar w:fldCharType="begin"/>
    </w:r>
    <w:r w:rsidR="00A869B2" w:rsidRPr="00732301">
      <w:rPr>
        <w:color w:val="808080" w:themeColor="background1" w:themeShade="80"/>
      </w:rPr>
      <w:instrText xml:space="preserve"> PAGE   \* MERGEFORMAT </w:instrText>
    </w:r>
    <w:r w:rsidR="00A869B2" w:rsidRPr="00732301">
      <w:rPr>
        <w:color w:val="808080" w:themeColor="background1" w:themeShade="80"/>
      </w:rPr>
      <w:fldChar w:fldCharType="separate"/>
    </w:r>
    <w:r w:rsidR="00A869B2">
      <w:rPr>
        <w:color w:val="808080" w:themeColor="background1" w:themeShade="80"/>
      </w:rPr>
      <w:t>22</w:t>
    </w:r>
    <w:r w:rsidR="00A869B2" w:rsidRPr="00732301">
      <w:rPr>
        <w:noProof/>
        <w:color w:val="808080" w:themeColor="background1" w:themeShade="80"/>
      </w:rPr>
      <w:fldChar w:fldCharType="end"/>
    </w:r>
  </w:p>
  <w:p w14:paraId="4329E481" w14:textId="77777777" w:rsidR="00A869B2" w:rsidRPr="00FC7170" w:rsidRDefault="00A869B2" w:rsidP="00FC71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FBB45" w14:textId="05D1DD29" w:rsidR="00B02C49" w:rsidRDefault="00B02C49" w:rsidP="0080151D">
    <w:pPr>
      <w:pStyle w:val="Heading3"/>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B1F2" w14:textId="0F4B2B6C" w:rsidR="00A869B2" w:rsidRPr="00A869B2" w:rsidRDefault="00224FB2" w:rsidP="0080151D">
    <w:pPr>
      <w:pStyle w:val="Heading3"/>
      <w:jc w:val="right"/>
    </w:pPr>
    <w:r>
      <w:t>Attachment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BFE0F" w14:textId="4E6AA252" w:rsidR="00983C5A" w:rsidRPr="00983C5A" w:rsidRDefault="00981F63" w:rsidP="00983C5A">
    <w:pPr>
      <w:pStyle w:val="Footer"/>
      <w:rPr>
        <w:rFonts w:asciiTheme="minorHAnsi" w:hAnsiTheme="minorHAnsi" w:cstheme="minorHAnsi"/>
        <w:sz w:val="16"/>
        <w:szCs w:val="16"/>
      </w:rPr>
    </w:pPr>
    <w:sdt>
      <w:sdtPr>
        <w:rPr>
          <w:rFonts w:asciiTheme="minorHAnsi" w:hAnsiTheme="minorHAnsi" w:cstheme="minorHAnsi"/>
          <w:sz w:val="16"/>
          <w:szCs w:val="16"/>
        </w:rPr>
        <w:id w:val="-1708404885"/>
        <w:docPartObj>
          <w:docPartGallery w:val="Page Numbers (Bottom of Page)"/>
          <w:docPartUnique/>
        </w:docPartObj>
      </w:sdtPr>
      <w:sdtEndPr>
        <w:rPr>
          <w:noProof/>
        </w:rPr>
      </w:sdtEndPr>
      <w:sdtContent>
        <w:r w:rsidR="00983C5A" w:rsidRPr="00213B13">
          <w:rPr>
            <w:rFonts w:asciiTheme="minorHAnsi" w:hAnsiTheme="minorHAnsi" w:cstheme="minorHAnsi"/>
            <w:b/>
            <w:bCs/>
            <w:noProof/>
            <w:sz w:val="16"/>
            <w:szCs w:val="16"/>
          </w:rPr>
          <w:t xml:space="preserve">Attachment </w:t>
        </w:r>
        <w:r w:rsidR="00983C5A">
          <w:rPr>
            <w:rFonts w:asciiTheme="minorHAnsi" w:hAnsiTheme="minorHAnsi" w:cstheme="minorHAnsi"/>
            <w:b/>
            <w:bCs/>
            <w:noProof/>
            <w:sz w:val="16"/>
            <w:szCs w:val="16"/>
          </w:rPr>
          <w:t>2</w:t>
        </w:r>
        <w:r w:rsidR="00983C5A" w:rsidRPr="00213B13">
          <w:rPr>
            <w:rFonts w:asciiTheme="minorHAnsi" w:hAnsiTheme="minorHAnsi" w:cstheme="minorHAnsi"/>
            <w:noProof/>
            <w:sz w:val="16"/>
            <w:szCs w:val="16"/>
          </w:rPr>
          <w:t xml:space="preserve"> </w:t>
        </w:r>
        <w:r w:rsidR="00A869B2" w:rsidRPr="00A869B2">
          <w:rPr>
            <w:rFonts w:asciiTheme="minorHAnsi" w:hAnsiTheme="minorHAnsi" w:cstheme="minorHAnsi"/>
            <w:noProof/>
            <w:sz w:val="16"/>
            <w:szCs w:val="16"/>
          </w:rPr>
          <w:t>Updated Instrument adopting the Australian Privacy Principles Guidelines</w:t>
        </w:r>
      </w:sdtContent>
    </w:sdt>
    <w:r w:rsidR="00983C5A">
      <w:rPr>
        <w:rFonts w:asciiTheme="minorHAnsi" w:hAnsiTheme="minorHAnsi" w:cstheme="minorHAnsi"/>
        <w:sz w:val="16"/>
        <w:szCs w:val="16"/>
      </w:rPr>
      <w:tab/>
      <w:t xml:space="preserve">   </w:t>
    </w:r>
    <w:r w:rsidR="00983C5A" w:rsidRPr="00732301">
      <w:rPr>
        <w:color w:val="808080" w:themeColor="background1" w:themeShade="80"/>
      </w:rPr>
      <w:fldChar w:fldCharType="begin"/>
    </w:r>
    <w:r w:rsidR="00983C5A" w:rsidRPr="00732301">
      <w:rPr>
        <w:color w:val="808080" w:themeColor="background1" w:themeShade="80"/>
      </w:rPr>
      <w:instrText xml:space="preserve"> PAGE   \* MERGEFORMAT </w:instrText>
    </w:r>
    <w:r w:rsidR="00983C5A" w:rsidRPr="00732301">
      <w:rPr>
        <w:color w:val="808080" w:themeColor="background1" w:themeShade="80"/>
      </w:rPr>
      <w:fldChar w:fldCharType="separate"/>
    </w:r>
    <w:r w:rsidR="00983C5A">
      <w:rPr>
        <w:color w:val="808080" w:themeColor="background1" w:themeShade="80"/>
      </w:rPr>
      <w:t>22</w:t>
    </w:r>
    <w:r w:rsidR="00983C5A" w:rsidRPr="00732301">
      <w:rPr>
        <w:noProof/>
        <w:color w:val="808080" w:themeColor="background1" w:themeShade="80"/>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2hUkQ823" int2:invalidationBookmarkName="" int2:hashCode="Jzm7JgzkWlrVYA" int2:id="9Pwb62N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38B2"/>
    <w:multiLevelType w:val="multilevel"/>
    <w:tmpl w:val="6940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F21DF"/>
    <w:multiLevelType w:val="hybridMultilevel"/>
    <w:tmpl w:val="59CEA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F3031E7"/>
    <w:multiLevelType w:val="hybridMultilevel"/>
    <w:tmpl w:val="415A6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5D1AD5"/>
    <w:multiLevelType w:val="hybridMultilevel"/>
    <w:tmpl w:val="21589F10"/>
    <w:lvl w:ilvl="0" w:tplc="C758051E">
      <w:numFmt w:val="bullet"/>
      <w:lvlText w:val=""/>
      <w:lvlJc w:val="left"/>
      <w:pPr>
        <w:ind w:left="547" w:hanging="382"/>
      </w:pPr>
      <w:rPr>
        <w:rFonts w:ascii="Symbol" w:eastAsia="Symbol" w:hAnsi="Symbol" w:cs="Symbol" w:hint="default"/>
        <w:b w:val="0"/>
        <w:bCs w:val="0"/>
        <w:i w:val="0"/>
        <w:iCs w:val="0"/>
        <w:spacing w:val="0"/>
        <w:w w:val="100"/>
        <w:sz w:val="18"/>
        <w:szCs w:val="18"/>
        <w:lang w:val="en-US" w:eastAsia="en-US" w:bidi="ar-SA"/>
      </w:rPr>
    </w:lvl>
    <w:lvl w:ilvl="1" w:tplc="BD0E7436">
      <w:numFmt w:val="bullet"/>
      <w:lvlText w:val="•"/>
      <w:lvlJc w:val="left"/>
      <w:pPr>
        <w:ind w:left="1418" w:hanging="382"/>
      </w:pPr>
      <w:rPr>
        <w:rFonts w:hint="default"/>
        <w:lang w:val="en-US" w:eastAsia="en-US" w:bidi="ar-SA"/>
      </w:rPr>
    </w:lvl>
    <w:lvl w:ilvl="2" w:tplc="B39AB462">
      <w:numFmt w:val="bullet"/>
      <w:lvlText w:val="•"/>
      <w:lvlJc w:val="left"/>
      <w:pPr>
        <w:ind w:left="2297" w:hanging="382"/>
      </w:pPr>
      <w:rPr>
        <w:rFonts w:hint="default"/>
        <w:lang w:val="en-US" w:eastAsia="en-US" w:bidi="ar-SA"/>
      </w:rPr>
    </w:lvl>
    <w:lvl w:ilvl="3" w:tplc="C15A1DBA">
      <w:numFmt w:val="bullet"/>
      <w:lvlText w:val="•"/>
      <w:lvlJc w:val="left"/>
      <w:pPr>
        <w:ind w:left="3175" w:hanging="382"/>
      </w:pPr>
      <w:rPr>
        <w:rFonts w:hint="default"/>
        <w:lang w:val="en-US" w:eastAsia="en-US" w:bidi="ar-SA"/>
      </w:rPr>
    </w:lvl>
    <w:lvl w:ilvl="4" w:tplc="C4600D24">
      <w:numFmt w:val="bullet"/>
      <w:lvlText w:val="•"/>
      <w:lvlJc w:val="left"/>
      <w:pPr>
        <w:ind w:left="4054" w:hanging="382"/>
      </w:pPr>
      <w:rPr>
        <w:rFonts w:hint="default"/>
        <w:lang w:val="en-US" w:eastAsia="en-US" w:bidi="ar-SA"/>
      </w:rPr>
    </w:lvl>
    <w:lvl w:ilvl="5" w:tplc="7BC47DAA">
      <w:numFmt w:val="bullet"/>
      <w:lvlText w:val="•"/>
      <w:lvlJc w:val="left"/>
      <w:pPr>
        <w:ind w:left="4933" w:hanging="382"/>
      </w:pPr>
      <w:rPr>
        <w:rFonts w:hint="default"/>
        <w:lang w:val="en-US" w:eastAsia="en-US" w:bidi="ar-SA"/>
      </w:rPr>
    </w:lvl>
    <w:lvl w:ilvl="6" w:tplc="886ADE40">
      <w:numFmt w:val="bullet"/>
      <w:lvlText w:val="•"/>
      <w:lvlJc w:val="left"/>
      <w:pPr>
        <w:ind w:left="5811" w:hanging="382"/>
      </w:pPr>
      <w:rPr>
        <w:rFonts w:hint="default"/>
        <w:lang w:val="en-US" w:eastAsia="en-US" w:bidi="ar-SA"/>
      </w:rPr>
    </w:lvl>
    <w:lvl w:ilvl="7" w:tplc="E7E4B272">
      <w:numFmt w:val="bullet"/>
      <w:lvlText w:val="•"/>
      <w:lvlJc w:val="left"/>
      <w:pPr>
        <w:ind w:left="6690" w:hanging="382"/>
      </w:pPr>
      <w:rPr>
        <w:rFonts w:hint="default"/>
        <w:lang w:val="en-US" w:eastAsia="en-US" w:bidi="ar-SA"/>
      </w:rPr>
    </w:lvl>
    <w:lvl w:ilvl="8" w:tplc="39664D20">
      <w:numFmt w:val="bullet"/>
      <w:lvlText w:val="•"/>
      <w:lvlJc w:val="left"/>
      <w:pPr>
        <w:ind w:left="7569" w:hanging="382"/>
      </w:pPr>
      <w:rPr>
        <w:rFonts w:hint="default"/>
        <w:lang w:val="en-US" w:eastAsia="en-US" w:bidi="ar-SA"/>
      </w:rPr>
    </w:lvl>
  </w:abstractNum>
  <w:abstractNum w:abstractNumId="4" w15:restartNumberingAfterBreak="0">
    <w:nsid w:val="40EB2FCB"/>
    <w:multiLevelType w:val="hybridMultilevel"/>
    <w:tmpl w:val="7CE0398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F6091D"/>
    <w:multiLevelType w:val="hybridMultilevel"/>
    <w:tmpl w:val="E6FAA8A8"/>
    <w:lvl w:ilvl="0" w:tplc="2EF2839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546017"/>
    <w:multiLevelType w:val="hybridMultilevel"/>
    <w:tmpl w:val="35F2D7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68C22F9"/>
    <w:multiLevelType w:val="hybridMultilevel"/>
    <w:tmpl w:val="D1843A9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BA1E5A"/>
    <w:multiLevelType w:val="multilevel"/>
    <w:tmpl w:val="83C238FA"/>
    <w:styleLink w:val="ZZBullets"/>
    <w:lvl w:ilvl="0">
      <w:start w:val="1"/>
      <w:numFmt w:val="bullet"/>
      <w:pStyle w:val="NHPOPCbullet1"/>
      <w:lvlText w:val="•"/>
      <w:lvlJc w:val="left"/>
      <w:pPr>
        <w:ind w:left="284" w:hanging="284"/>
      </w:pPr>
      <w:rPr>
        <w:rFonts w:ascii="Calibri" w:hAnsi="Calibri" w:hint="default"/>
      </w:rPr>
    </w:lvl>
    <w:lvl w:ilvl="1">
      <w:start w:val="1"/>
      <w:numFmt w:val="bullet"/>
      <w:lvlRestart w:val="0"/>
      <w:pStyle w:val="NHPOPCbullet1lastline"/>
      <w:lvlText w:val="•"/>
      <w:lvlJc w:val="left"/>
      <w:pPr>
        <w:ind w:left="284" w:hanging="284"/>
      </w:pPr>
      <w:rPr>
        <w:rFonts w:ascii="Calibri" w:hAnsi="Calibri" w:hint="default"/>
      </w:rPr>
    </w:lvl>
    <w:lvl w:ilvl="2">
      <w:start w:val="1"/>
      <w:numFmt w:val="bullet"/>
      <w:lvlRestart w:val="0"/>
      <w:pStyle w:val="NHPOPCbullet2"/>
      <w:lvlText w:val="–"/>
      <w:lvlJc w:val="left"/>
      <w:pPr>
        <w:ind w:left="567" w:hanging="283"/>
      </w:pPr>
      <w:rPr>
        <w:rFonts w:ascii="Arial" w:hAnsi="Arial" w:hint="default"/>
      </w:rPr>
    </w:lvl>
    <w:lvl w:ilvl="3">
      <w:start w:val="1"/>
      <w:numFmt w:val="bullet"/>
      <w:lvlRestart w:val="0"/>
      <w:pStyle w:val="NHPOPCbullet2lastline"/>
      <w:lvlText w:val="–"/>
      <w:lvlJc w:val="left"/>
      <w:pPr>
        <w:ind w:left="567" w:hanging="283"/>
      </w:pPr>
      <w:rPr>
        <w:rFonts w:ascii="Arial" w:hAnsi="Arial" w:hint="default"/>
      </w:rPr>
    </w:lvl>
    <w:lvl w:ilvl="4">
      <w:start w:val="1"/>
      <w:numFmt w:val="bullet"/>
      <w:lvlRestart w:val="0"/>
      <w:pStyle w:val="NHPOPCbulletindent"/>
      <w:lvlText w:val="•"/>
      <w:lvlJc w:val="left"/>
      <w:pPr>
        <w:ind w:left="680" w:hanging="283"/>
      </w:pPr>
      <w:rPr>
        <w:rFonts w:ascii="Calibri" w:hAnsi="Calibri" w:hint="default"/>
      </w:rPr>
    </w:lvl>
    <w:lvl w:ilvl="5">
      <w:start w:val="1"/>
      <w:numFmt w:val="bullet"/>
      <w:lvlRestart w:val="0"/>
      <w:pStyle w:val="NHPOPCbulletindentlastline"/>
      <w:lvlText w:val="•"/>
      <w:lvlJc w:val="left"/>
      <w:pPr>
        <w:ind w:left="680" w:hanging="283"/>
      </w:pPr>
      <w:rPr>
        <w:rFonts w:ascii="Calibri" w:hAnsi="Calibri" w:hint="default"/>
      </w:rPr>
    </w:lvl>
    <w:lvl w:ilvl="6">
      <w:start w:val="1"/>
      <w:numFmt w:val="bullet"/>
      <w:lvlRestart w:val="0"/>
      <w:pStyle w:val="NHPO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83F1647"/>
    <w:multiLevelType w:val="hybridMultilevel"/>
    <w:tmpl w:val="64045352"/>
    <w:lvl w:ilvl="0" w:tplc="CB32E168">
      <w:start w:val="1"/>
      <w:numFmt w:val="decimal"/>
      <w:lvlText w:val="%1."/>
      <w:lvlJc w:val="right"/>
      <w:pPr>
        <w:ind w:left="720" w:hanging="360"/>
      </w:pPr>
      <w:rPr>
        <w:rFonts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B9732D0"/>
    <w:multiLevelType w:val="hybridMultilevel"/>
    <w:tmpl w:val="021675C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9424669">
    <w:abstractNumId w:val="8"/>
  </w:num>
  <w:num w:numId="2" w16cid:durableId="1376613085">
    <w:abstractNumId w:val="0"/>
  </w:num>
  <w:num w:numId="3" w16cid:durableId="219754130">
    <w:abstractNumId w:val="7"/>
  </w:num>
  <w:num w:numId="4" w16cid:durableId="1342859516">
    <w:abstractNumId w:val="9"/>
  </w:num>
  <w:num w:numId="5" w16cid:durableId="1277374526">
    <w:abstractNumId w:val="5"/>
  </w:num>
  <w:num w:numId="6" w16cid:durableId="1454666928">
    <w:abstractNumId w:val="4"/>
  </w:num>
  <w:num w:numId="7" w16cid:durableId="1231843817">
    <w:abstractNumId w:val="10"/>
  </w:num>
  <w:num w:numId="8" w16cid:durableId="572391881">
    <w:abstractNumId w:val="2"/>
  </w:num>
  <w:num w:numId="9" w16cid:durableId="120611264">
    <w:abstractNumId w:val="6"/>
  </w:num>
  <w:num w:numId="10" w16cid:durableId="723483356">
    <w:abstractNumId w:val="1"/>
  </w:num>
  <w:num w:numId="11" w16cid:durableId="78291757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DCC"/>
    <w:rsid w:val="00000EEB"/>
    <w:rsid w:val="000010AF"/>
    <w:rsid w:val="00001612"/>
    <w:rsid w:val="00001E3E"/>
    <w:rsid w:val="0000267B"/>
    <w:rsid w:val="00002DC5"/>
    <w:rsid w:val="000030AE"/>
    <w:rsid w:val="0000322A"/>
    <w:rsid w:val="000051F6"/>
    <w:rsid w:val="00006083"/>
    <w:rsid w:val="00007626"/>
    <w:rsid w:val="00013B24"/>
    <w:rsid w:val="000165AE"/>
    <w:rsid w:val="000202BC"/>
    <w:rsid w:val="000225A9"/>
    <w:rsid w:val="00022A90"/>
    <w:rsid w:val="00022DD3"/>
    <w:rsid w:val="00023414"/>
    <w:rsid w:val="000248A3"/>
    <w:rsid w:val="00024DCE"/>
    <w:rsid w:val="00025065"/>
    <w:rsid w:val="0002550B"/>
    <w:rsid w:val="0002558C"/>
    <w:rsid w:val="0002565A"/>
    <w:rsid w:val="00025C56"/>
    <w:rsid w:val="00026038"/>
    <w:rsid w:val="00026A59"/>
    <w:rsid w:val="00026DFE"/>
    <w:rsid w:val="000323CA"/>
    <w:rsid w:val="00032676"/>
    <w:rsid w:val="000328CC"/>
    <w:rsid w:val="000345E5"/>
    <w:rsid w:val="000359E6"/>
    <w:rsid w:val="0003755C"/>
    <w:rsid w:val="0003768E"/>
    <w:rsid w:val="00040DF6"/>
    <w:rsid w:val="00041A9E"/>
    <w:rsid w:val="00043064"/>
    <w:rsid w:val="000433EF"/>
    <w:rsid w:val="00043492"/>
    <w:rsid w:val="00043A69"/>
    <w:rsid w:val="00044A4D"/>
    <w:rsid w:val="00046303"/>
    <w:rsid w:val="00046A29"/>
    <w:rsid w:val="00046E34"/>
    <w:rsid w:val="00050124"/>
    <w:rsid w:val="00050304"/>
    <w:rsid w:val="00050BE4"/>
    <w:rsid w:val="00050ED9"/>
    <w:rsid w:val="000525F4"/>
    <w:rsid w:val="00052A0D"/>
    <w:rsid w:val="00052FB0"/>
    <w:rsid w:val="000530CD"/>
    <w:rsid w:val="00054A43"/>
    <w:rsid w:val="00057595"/>
    <w:rsid w:val="00060596"/>
    <w:rsid w:val="00060AF7"/>
    <w:rsid w:val="000619E2"/>
    <w:rsid w:val="00064892"/>
    <w:rsid w:val="00064CD9"/>
    <w:rsid w:val="00067039"/>
    <w:rsid w:val="00067488"/>
    <w:rsid w:val="000674D5"/>
    <w:rsid w:val="0006750B"/>
    <w:rsid w:val="00067837"/>
    <w:rsid w:val="00067A10"/>
    <w:rsid w:val="00067F68"/>
    <w:rsid w:val="000716E4"/>
    <w:rsid w:val="00071A97"/>
    <w:rsid w:val="00072F46"/>
    <w:rsid w:val="00073513"/>
    <w:rsid w:val="0007447D"/>
    <w:rsid w:val="00075B90"/>
    <w:rsid w:val="000761F3"/>
    <w:rsid w:val="00080334"/>
    <w:rsid w:val="000826A2"/>
    <w:rsid w:val="00082896"/>
    <w:rsid w:val="00082C88"/>
    <w:rsid w:val="00083020"/>
    <w:rsid w:val="00083861"/>
    <w:rsid w:val="000847C3"/>
    <w:rsid w:val="00084C7E"/>
    <w:rsid w:val="00085801"/>
    <w:rsid w:val="000859C9"/>
    <w:rsid w:val="00085DFF"/>
    <w:rsid w:val="00086330"/>
    <w:rsid w:val="000864D4"/>
    <w:rsid w:val="0008739A"/>
    <w:rsid w:val="00087BBF"/>
    <w:rsid w:val="000934C3"/>
    <w:rsid w:val="00093547"/>
    <w:rsid w:val="00095BF2"/>
    <w:rsid w:val="00095C5A"/>
    <w:rsid w:val="000A0696"/>
    <w:rsid w:val="000A089C"/>
    <w:rsid w:val="000A1032"/>
    <w:rsid w:val="000A2159"/>
    <w:rsid w:val="000A2FDB"/>
    <w:rsid w:val="000A333B"/>
    <w:rsid w:val="000A335E"/>
    <w:rsid w:val="000A3658"/>
    <w:rsid w:val="000B254C"/>
    <w:rsid w:val="000B3688"/>
    <w:rsid w:val="000B3E60"/>
    <w:rsid w:val="000B3EE7"/>
    <w:rsid w:val="000B465A"/>
    <w:rsid w:val="000B48A7"/>
    <w:rsid w:val="000B4E3E"/>
    <w:rsid w:val="000B5030"/>
    <w:rsid w:val="000B505B"/>
    <w:rsid w:val="000B5B18"/>
    <w:rsid w:val="000B7133"/>
    <w:rsid w:val="000B73B8"/>
    <w:rsid w:val="000B7EB0"/>
    <w:rsid w:val="000C05F5"/>
    <w:rsid w:val="000C065F"/>
    <w:rsid w:val="000C0F94"/>
    <w:rsid w:val="000C2420"/>
    <w:rsid w:val="000C24D3"/>
    <w:rsid w:val="000C4F7E"/>
    <w:rsid w:val="000C543C"/>
    <w:rsid w:val="000C625C"/>
    <w:rsid w:val="000C697D"/>
    <w:rsid w:val="000C6A6C"/>
    <w:rsid w:val="000C6AE1"/>
    <w:rsid w:val="000C6CC7"/>
    <w:rsid w:val="000C6F09"/>
    <w:rsid w:val="000C74D7"/>
    <w:rsid w:val="000C75D6"/>
    <w:rsid w:val="000C7697"/>
    <w:rsid w:val="000D026C"/>
    <w:rsid w:val="000D0D4C"/>
    <w:rsid w:val="000D23F1"/>
    <w:rsid w:val="000D3213"/>
    <w:rsid w:val="000D4207"/>
    <w:rsid w:val="000D48D5"/>
    <w:rsid w:val="000D4CE6"/>
    <w:rsid w:val="000E0768"/>
    <w:rsid w:val="000E18FB"/>
    <w:rsid w:val="000E249E"/>
    <w:rsid w:val="000E2CB9"/>
    <w:rsid w:val="000E4046"/>
    <w:rsid w:val="000E52B7"/>
    <w:rsid w:val="000E5ECE"/>
    <w:rsid w:val="000E6085"/>
    <w:rsid w:val="000E6CA2"/>
    <w:rsid w:val="000E6F6D"/>
    <w:rsid w:val="000E7366"/>
    <w:rsid w:val="000F1655"/>
    <w:rsid w:val="000F23EA"/>
    <w:rsid w:val="000F28FC"/>
    <w:rsid w:val="000F4345"/>
    <w:rsid w:val="000F463C"/>
    <w:rsid w:val="000F4663"/>
    <w:rsid w:val="000F6FBE"/>
    <w:rsid w:val="000F7A79"/>
    <w:rsid w:val="001008E3"/>
    <w:rsid w:val="00100EEE"/>
    <w:rsid w:val="001024A6"/>
    <w:rsid w:val="00102882"/>
    <w:rsid w:val="00102F20"/>
    <w:rsid w:val="00102FD4"/>
    <w:rsid w:val="001032F2"/>
    <w:rsid w:val="001052B6"/>
    <w:rsid w:val="0010694B"/>
    <w:rsid w:val="00110711"/>
    <w:rsid w:val="00111DB3"/>
    <w:rsid w:val="00111F6F"/>
    <w:rsid w:val="00112A98"/>
    <w:rsid w:val="00113457"/>
    <w:rsid w:val="00113A35"/>
    <w:rsid w:val="00114E7B"/>
    <w:rsid w:val="00117315"/>
    <w:rsid w:val="00120842"/>
    <w:rsid w:val="001232C1"/>
    <w:rsid w:val="00123722"/>
    <w:rsid w:val="001249C4"/>
    <w:rsid w:val="001259F8"/>
    <w:rsid w:val="00125DBB"/>
    <w:rsid w:val="00126DF3"/>
    <w:rsid w:val="00127919"/>
    <w:rsid w:val="001300DF"/>
    <w:rsid w:val="0013244E"/>
    <w:rsid w:val="001329AD"/>
    <w:rsid w:val="001333AD"/>
    <w:rsid w:val="00133763"/>
    <w:rsid w:val="00134844"/>
    <w:rsid w:val="001349C6"/>
    <w:rsid w:val="001369C4"/>
    <w:rsid w:val="00136A1D"/>
    <w:rsid w:val="001374FF"/>
    <w:rsid w:val="00137E65"/>
    <w:rsid w:val="00140A8C"/>
    <w:rsid w:val="00142F9E"/>
    <w:rsid w:val="00143DD7"/>
    <w:rsid w:val="0014445F"/>
    <w:rsid w:val="001447F7"/>
    <w:rsid w:val="00144D77"/>
    <w:rsid w:val="00145B0A"/>
    <w:rsid w:val="00147886"/>
    <w:rsid w:val="0015033F"/>
    <w:rsid w:val="00151F64"/>
    <w:rsid w:val="001522FC"/>
    <w:rsid w:val="0015269B"/>
    <w:rsid w:val="001527EC"/>
    <w:rsid w:val="00152B36"/>
    <w:rsid w:val="00152D3F"/>
    <w:rsid w:val="00152F9D"/>
    <w:rsid w:val="00154404"/>
    <w:rsid w:val="0015540C"/>
    <w:rsid w:val="0015560F"/>
    <w:rsid w:val="001559D9"/>
    <w:rsid w:val="00155D03"/>
    <w:rsid w:val="0015740B"/>
    <w:rsid w:val="00163346"/>
    <w:rsid w:val="001634EA"/>
    <w:rsid w:val="00164647"/>
    <w:rsid w:val="00165DB9"/>
    <w:rsid w:val="001661CC"/>
    <w:rsid w:val="0016659E"/>
    <w:rsid w:val="00167CBB"/>
    <w:rsid w:val="00170F13"/>
    <w:rsid w:val="00171253"/>
    <w:rsid w:val="0017151C"/>
    <w:rsid w:val="001717DC"/>
    <w:rsid w:val="00172AE7"/>
    <w:rsid w:val="00172BCD"/>
    <w:rsid w:val="0017336D"/>
    <w:rsid w:val="001736E6"/>
    <w:rsid w:val="0017455A"/>
    <w:rsid w:val="001751E7"/>
    <w:rsid w:val="00175A27"/>
    <w:rsid w:val="0017631B"/>
    <w:rsid w:val="001774C0"/>
    <w:rsid w:val="00177AF2"/>
    <w:rsid w:val="0018008F"/>
    <w:rsid w:val="00180206"/>
    <w:rsid w:val="00182557"/>
    <w:rsid w:val="00182B39"/>
    <w:rsid w:val="00184DD8"/>
    <w:rsid w:val="001862C7"/>
    <w:rsid w:val="0018650A"/>
    <w:rsid w:val="0018687F"/>
    <w:rsid w:val="001923E3"/>
    <w:rsid w:val="00192405"/>
    <w:rsid w:val="00192DEB"/>
    <w:rsid w:val="00192F5F"/>
    <w:rsid w:val="00193884"/>
    <w:rsid w:val="001960E8"/>
    <w:rsid w:val="001964C0"/>
    <w:rsid w:val="00196FD1"/>
    <w:rsid w:val="001972A7"/>
    <w:rsid w:val="001A0A29"/>
    <w:rsid w:val="001A1735"/>
    <w:rsid w:val="001A327B"/>
    <w:rsid w:val="001A3EC6"/>
    <w:rsid w:val="001A404E"/>
    <w:rsid w:val="001A5BF7"/>
    <w:rsid w:val="001A5D96"/>
    <w:rsid w:val="001A704A"/>
    <w:rsid w:val="001A7C43"/>
    <w:rsid w:val="001B08BE"/>
    <w:rsid w:val="001B0C3F"/>
    <w:rsid w:val="001B0C52"/>
    <w:rsid w:val="001B0F89"/>
    <w:rsid w:val="001B145D"/>
    <w:rsid w:val="001B22A3"/>
    <w:rsid w:val="001B3BE8"/>
    <w:rsid w:val="001B3D81"/>
    <w:rsid w:val="001B405C"/>
    <w:rsid w:val="001B4FBD"/>
    <w:rsid w:val="001B5309"/>
    <w:rsid w:val="001B53D0"/>
    <w:rsid w:val="001B575F"/>
    <w:rsid w:val="001B6002"/>
    <w:rsid w:val="001B6837"/>
    <w:rsid w:val="001B6A31"/>
    <w:rsid w:val="001B740D"/>
    <w:rsid w:val="001B77D1"/>
    <w:rsid w:val="001B7BE6"/>
    <w:rsid w:val="001C0244"/>
    <w:rsid w:val="001C08E6"/>
    <w:rsid w:val="001C1A59"/>
    <w:rsid w:val="001C2BA9"/>
    <w:rsid w:val="001C4696"/>
    <w:rsid w:val="001C4B05"/>
    <w:rsid w:val="001C56C8"/>
    <w:rsid w:val="001C5B06"/>
    <w:rsid w:val="001C626C"/>
    <w:rsid w:val="001C66C2"/>
    <w:rsid w:val="001C684D"/>
    <w:rsid w:val="001D0550"/>
    <w:rsid w:val="001D25B3"/>
    <w:rsid w:val="001D33F9"/>
    <w:rsid w:val="001D3A9A"/>
    <w:rsid w:val="001D553D"/>
    <w:rsid w:val="001D6197"/>
    <w:rsid w:val="001D74EB"/>
    <w:rsid w:val="001E039E"/>
    <w:rsid w:val="001E20EA"/>
    <w:rsid w:val="001E2D33"/>
    <w:rsid w:val="001E3F8F"/>
    <w:rsid w:val="001E4C01"/>
    <w:rsid w:val="001E5A71"/>
    <w:rsid w:val="001E6B27"/>
    <w:rsid w:val="001F1DE9"/>
    <w:rsid w:val="001F259B"/>
    <w:rsid w:val="001F3424"/>
    <w:rsid w:val="001F3B48"/>
    <w:rsid w:val="001F405C"/>
    <w:rsid w:val="001F463B"/>
    <w:rsid w:val="001F5724"/>
    <w:rsid w:val="001F7564"/>
    <w:rsid w:val="001F7CCF"/>
    <w:rsid w:val="00200167"/>
    <w:rsid w:val="0020316C"/>
    <w:rsid w:val="002031AC"/>
    <w:rsid w:val="002033FB"/>
    <w:rsid w:val="00203746"/>
    <w:rsid w:val="00204A46"/>
    <w:rsid w:val="00204B44"/>
    <w:rsid w:val="00205239"/>
    <w:rsid w:val="00205CA3"/>
    <w:rsid w:val="0020706E"/>
    <w:rsid w:val="002070A5"/>
    <w:rsid w:val="0021015F"/>
    <w:rsid w:val="00211028"/>
    <w:rsid w:val="0021290B"/>
    <w:rsid w:val="00213645"/>
    <w:rsid w:val="00213927"/>
    <w:rsid w:val="00213A70"/>
    <w:rsid w:val="00213B13"/>
    <w:rsid w:val="00213C72"/>
    <w:rsid w:val="0021630C"/>
    <w:rsid w:val="002169C3"/>
    <w:rsid w:val="002172C8"/>
    <w:rsid w:val="002176C3"/>
    <w:rsid w:val="0022180C"/>
    <w:rsid w:val="00223513"/>
    <w:rsid w:val="00224FB2"/>
    <w:rsid w:val="00225388"/>
    <w:rsid w:val="002253A8"/>
    <w:rsid w:val="0022658D"/>
    <w:rsid w:val="00227411"/>
    <w:rsid w:val="002302CC"/>
    <w:rsid w:val="00231689"/>
    <w:rsid w:val="00233CDF"/>
    <w:rsid w:val="00233ED6"/>
    <w:rsid w:val="00233F25"/>
    <w:rsid w:val="00234137"/>
    <w:rsid w:val="002342ED"/>
    <w:rsid w:val="00234CD2"/>
    <w:rsid w:val="00234FB7"/>
    <w:rsid w:val="00237385"/>
    <w:rsid w:val="00240A86"/>
    <w:rsid w:val="0024125D"/>
    <w:rsid w:val="002415EF"/>
    <w:rsid w:val="0024163B"/>
    <w:rsid w:val="00244513"/>
    <w:rsid w:val="00244A52"/>
    <w:rsid w:val="00244CFE"/>
    <w:rsid w:val="0024578B"/>
    <w:rsid w:val="00245C2E"/>
    <w:rsid w:val="00245FF7"/>
    <w:rsid w:val="002461AB"/>
    <w:rsid w:val="00246668"/>
    <w:rsid w:val="0024751B"/>
    <w:rsid w:val="00247B41"/>
    <w:rsid w:val="00247F0C"/>
    <w:rsid w:val="00250151"/>
    <w:rsid w:val="0025255B"/>
    <w:rsid w:val="00253F1A"/>
    <w:rsid w:val="00254169"/>
    <w:rsid w:val="00254EE7"/>
    <w:rsid w:val="00257065"/>
    <w:rsid w:val="00257D58"/>
    <w:rsid w:val="00260C94"/>
    <w:rsid w:val="002610A9"/>
    <w:rsid w:val="002627A6"/>
    <w:rsid w:val="00262E6F"/>
    <w:rsid w:val="00262EDA"/>
    <w:rsid w:val="00263834"/>
    <w:rsid w:val="0026508F"/>
    <w:rsid w:val="00265666"/>
    <w:rsid w:val="00266F14"/>
    <w:rsid w:val="002672ED"/>
    <w:rsid w:val="002677BD"/>
    <w:rsid w:val="002677D2"/>
    <w:rsid w:val="00271A6B"/>
    <w:rsid w:val="00272EEC"/>
    <w:rsid w:val="0027530B"/>
    <w:rsid w:val="00275827"/>
    <w:rsid w:val="00275D3F"/>
    <w:rsid w:val="00276D8D"/>
    <w:rsid w:val="00276DA8"/>
    <w:rsid w:val="002829D6"/>
    <w:rsid w:val="00282F73"/>
    <w:rsid w:val="002839AB"/>
    <w:rsid w:val="002840D2"/>
    <w:rsid w:val="002860BC"/>
    <w:rsid w:val="0029079A"/>
    <w:rsid w:val="002916F0"/>
    <w:rsid w:val="00291A26"/>
    <w:rsid w:val="002927F6"/>
    <w:rsid w:val="002928F7"/>
    <w:rsid w:val="002942F0"/>
    <w:rsid w:val="00296AD4"/>
    <w:rsid w:val="00296BC5"/>
    <w:rsid w:val="00296E87"/>
    <w:rsid w:val="00297205"/>
    <w:rsid w:val="00297D21"/>
    <w:rsid w:val="00297DE1"/>
    <w:rsid w:val="002A07DC"/>
    <w:rsid w:val="002A0C4A"/>
    <w:rsid w:val="002A2C68"/>
    <w:rsid w:val="002A2F81"/>
    <w:rsid w:val="002A3368"/>
    <w:rsid w:val="002A3A01"/>
    <w:rsid w:val="002A4D38"/>
    <w:rsid w:val="002A567A"/>
    <w:rsid w:val="002A62CA"/>
    <w:rsid w:val="002A66C7"/>
    <w:rsid w:val="002A69F3"/>
    <w:rsid w:val="002B51B3"/>
    <w:rsid w:val="002B5D98"/>
    <w:rsid w:val="002B60F6"/>
    <w:rsid w:val="002B7AEE"/>
    <w:rsid w:val="002B7F47"/>
    <w:rsid w:val="002C0E74"/>
    <w:rsid w:val="002C176E"/>
    <w:rsid w:val="002C35FD"/>
    <w:rsid w:val="002C3C09"/>
    <w:rsid w:val="002C3ED7"/>
    <w:rsid w:val="002C4C04"/>
    <w:rsid w:val="002C678D"/>
    <w:rsid w:val="002C6B22"/>
    <w:rsid w:val="002C6D79"/>
    <w:rsid w:val="002D01EE"/>
    <w:rsid w:val="002D022D"/>
    <w:rsid w:val="002D0C52"/>
    <w:rsid w:val="002D0E8C"/>
    <w:rsid w:val="002D16F3"/>
    <w:rsid w:val="002D273E"/>
    <w:rsid w:val="002D53B0"/>
    <w:rsid w:val="002D5897"/>
    <w:rsid w:val="002D6A8D"/>
    <w:rsid w:val="002E22E4"/>
    <w:rsid w:val="002E3358"/>
    <w:rsid w:val="002E4517"/>
    <w:rsid w:val="002E4AB0"/>
    <w:rsid w:val="002E568C"/>
    <w:rsid w:val="002E5E89"/>
    <w:rsid w:val="002E60D5"/>
    <w:rsid w:val="002E6117"/>
    <w:rsid w:val="002E7352"/>
    <w:rsid w:val="002E7411"/>
    <w:rsid w:val="002E78AE"/>
    <w:rsid w:val="002E7A6F"/>
    <w:rsid w:val="002F0363"/>
    <w:rsid w:val="002F1602"/>
    <w:rsid w:val="002F1A10"/>
    <w:rsid w:val="002F344D"/>
    <w:rsid w:val="002F791D"/>
    <w:rsid w:val="002F7D93"/>
    <w:rsid w:val="00300819"/>
    <w:rsid w:val="00300BB9"/>
    <w:rsid w:val="00301154"/>
    <w:rsid w:val="003011A8"/>
    <w:rsid w:val="00301472"/>
    <w:rsid w:val="0030182C"/>
    <w:rsid w:val="00301A2D"/>
    <w:rsid w:val="003020B2"/>
    <w:rsid w:val="00303D44"/>
    <w:rsid w:val="00303E30"/>
    <w:rsid w:val="00305974"/>
    <w:rsid w:val="00305B99"/>
    <w:rsid w:val="0030617E"/>
    <w:rsid w:val="00306B76"/>
    <w:rsid w:val="00306ED9"/>
    <w:rsid w:val="00307429"/>
    <w:rsid w:val="00307A2A"/>
    <w:rsid w:val="00307F1E"/>
    <w:rsid w:val="00310156"/>
    <w:rsid w:val="0031058D"/>
    <w:rsid w:val="00310644"/>
    <w:rsid w:val="00312226"/>
    <w:rsid w:val="003130B0"/>
    <w:rsid w:val="0031523D"/>
    <w:rsid w:val="00315719"/>
    <w:rsid w:val="00315FD7"/>
    <w:rsid w:val="0031734E"/>
    <w:rsid w:val="00320EC4"/>
    <w:rsid w:val="00321FD5"/>
    <w:rsid w:val="00322B83"/>
    <w:rsid w:val="00325F2C"/>
    <w:rsid w:val="00327C85"/>
    <w:rsid w:val="00331662"/>
    <w:rsid w:val="00332198"/>
    <w:rsid w:val="00332A76"/>
    <w:rsid w:val="00332E76"/>
    <w:rsid w:val="003336FB"/>
    <w:rsid w:val="003337D8"/>
    <w:rsid w:val="00334271"/>
    <w:rsid w:val="003353FE"/>
    <w:rsid w:val="00335561"/>
    <w:rsid w:val="00335F61"/>
    <w:rsid w:val="00336B75"/>
    <w:rsid w:val="003372BE"/>
    <w:rsid w:val="00337BD8"/>
    <w:rsid w:val="0034013C"/>
    <w:rsid w:val="0034111A"/>
    <w:rsid w:val="00343D8E"/>
    <w:rsid w:val="00344D50"/>
    <w:rsid w:val="00346DA1"/>
    <w:rsid w:val="00350458"/>
    <w:rsid w:val="00351FDA"/>
    <w:rsid w:val="003521A5"/>
    <w:rsid w:val="0035265C"/>
    <w:rsid w:val="003535E0"/>
    <w:rsid w:val="003542FC"/>
    <w:rsid w:val="00355338"/>
    <w:rsid w:val="0035579B"/>
    <w:rsid w:val="00355EB1"/>
    <w:rsid w:val="0035613C"/>
    <w:rsid w:val="0035619A"/>
    <w:rsid w:val="00356A61"/>
    <w:rsid w:val="003575F6"/>
    <w:rsid w:val="00357D43"/>
    <w:rsid w:val="00357DE2"/>
    <w:rsid w:val="003602F5"/>
    <w:rsid w:val="003603D5"/>
    <w:rsid w:val="00361DCE"/>
    <w:rsid w:val="00362B3E"/>
    <w:rsid w:val="003643AB"/>
    <w:rsid w:val="00364E33"/>
    <w:rsid w:val="00364FB2"/>
    <w:rsid w:val="00366220"/>
    <w:rsid w:val="00370551"/>
    <w:rsid w:val="00370609"/>
    <w:rsid w:val="003708C6"/>
    <w:rsid w:val="00370D34"/>
    <w:rsid w:val="00371194"/>
    <w:rsid w:val="00371207"/>
    <w:rsid w:val="00372B21"/>
    <w:rsid w:val="003735AB"/>
    <w:rsid w:val="00373A1B"/>
    <w:rsid w:val="003740BA"/>
    <w:rsid w:val="003745C3"/>
    <w:rsid w:val="003762A7"/>
    <w:rsid w:val="00376470"/>
    <w:rsid w:val="00376B11"/>
    <w:rsid w:val="00376BA8"/>
    <w:rsid w:val="003776AD"/>
    <w:rsid w:val="00377908"/>
    <w:rsid w:val="00377CF8"/>
    <w:rsid w:val="00380952"/>
    <w:rsid w:val="00381BF1"/>
    <w:rsid w:val="00382A3E"/>
    <w:rsid w:val="0038379A"/>
    <w:rsid w:val="00383C91"/>
    <w:rsid w:val="00384B53"/>
    <w:rsid w:val="003855A2"/>
    <w:rsid w:val="00386AE1"/>
    <w:rsid w:val="003873F9"/>
    <w:rsid w:val="00390B96"/>
    <w:rsid w:val="00392CEA"/>
    <w:rsid w:val="00393866"/>
    <w:rsid w:val="003955E0"/>
    <w:rsid w:val="0039567D"/>
    <w:rsid w:val="00396043"/>
    <w:rsid w:val="00396904"/>
    <w:rsid w:val="00396973"/>
    <w:rsid w:val="00397921"/>
    <w:rsid w:val="003A04AE"/>
    <w:rsid w:val="003A0CA5"/>
    <w:rsid w:val="003A1229"/>
    <w:rsid w:val="003A21E4"/>
    <w:rsid w:val="003A331C"/>
    <w:rsid w:val="003A33B2"/>
    <w:rsid w:val="003A3FC9"/>
    <w:rsid w:val="003A433F"/>
    <w:rsid w:val="003A4630"/>
    <w:rsid w:val="003A517B"/>
    <w:rsid w:val="003A51C2"/>
    <w:rsid w:val="003A6063"/>
    <w:rsid w:val="003B0C22"/>
    <w:rsid w:val="003B0EA0"/>
    <w:rsid w:val="003B1157"/>
    <w:rsid w:val="003B1E9B"/>
    <w:rsid w:val="003B3180"/>
    <w:rsid w:val="003B364C"/>
    <w:rsid w:val="003B42E5"/>
    <w:rsid w:val="003B471D"/>
    <w:rsid w:val="003B503D"/>
    <w:rsid w:val="003B5F20"/>
    <w:rsid w:val="003B626A"/>
    <w:rsid w:val="003B69F8"/>
    <w:rsid w:val="003B6FC0"/>
    <w:rsid w:val="003B7089"/>
    <w:rsid w:val="003C005C"/>
    <w:rsid w:val="003C0573"/>
    <w:rsid w:val="003C06E7"/>
    <w:rsid w:val="003C0A34"/>
    <w:rsid w:val="003C11CD"/>
    <w:rsid w:val="003C155E"/>
    <w:rsid w:val="003C15B5"/>
    <w:rsid w:val="003C1C53"/>
    <w:rsid w:val="003C2262"/>
    <w:rsid w:val="003C261E"/>
    <w:rsid w:val="003C3DCB"/>
    <w:rsid w:val="003C4603"/>
    <w:rsid w:val="003C529B"/>
    <w:rsid w:val="003C596F"/>
    <w:rsid w:val="003C6B05"/>
    <w:rsid w:val="003C6DA8"/>
    <w:rsid w:val="003C742C"/>
    <w:rsid w:val="003D1009"/>
    <w:rsid w:val="003D40BF"/>
    <w:rsid w:val="003D498E"/>
    <w:rsid w:val="003D5882"/>
    <w:rsid w:val="003D5C61"/>
    <w:rsid w:val="003D5DC2"/>
    <w:rsid w:val="003D61AE"/>
    <w:rsid w:val="003E04CD"/>
    <w:rsid w:val="003E050B"/>
    <w:rsid w:val="003E0B45"/>
    <w:rsid w:val="003E1AF9"/>
    <w:rsid w:val="003E1C94"/>
    <w:rsid w:val="003E21B9"/>
    <w:rsid w:val="003E21E9"/>
    <w:rsid w:val="003E3395"/>
    <w:rsid w:val="003E3EA6"/>
    <w:rsid w:val="003E42C6"/>
    <w:rsid w:val="003E572F"/>
    <w:rsid w:val="003E7BF1"/>
    <w:rsid w:val="003F010B"/>
    <w:rsid w:val="003F03B5"/>
    <w:rsid w:val="003F148A"/>
    <w:rsid w:val="003F2739"/>
    <w:rsid w:val="003F364F"/>
    <w:rsid w:val="003F3C31"/>
    <w:rsid w:val="003F43F3"/>
    <w:rsid w:val="003F447E"/>
    <w:rsid w:val="003F6962"/>
    <w:rsid w:val="00400B1B"/>
    <w:rsid w:val="0040162C"/>
    <w:rsid w:val="00401978"/>
    <w:rsid w:val="0040289B"/>
    <w:rsid w:val="00402994"/>
    <w:rsid w:val="00402DB8"/>
    <w:rsid w:val="00403E4E"/>
    <w:rsid w:val="00406EB3"/>
    <w:rsid w:val="004070CB"/>
    <w:rsid w:val="0041001B"/>
    <w:rsid w:val="00410731"/>
    <w:rsid w:val="004115E9"/>
    <w:rsid w:val="0041176F"/>
    <w:rsid w:val="00411DB4"/>
    <w:rsid w:val="00415141"/>
    <w:rsid w:val="00415299"/>
    <w:rsid w:val="00417E6E"/>
    <w:rsid w:val="004208CB"/>
    <w:rsid w:val="00422F93"/>
    <w:rsid w:val="0042338F"/>
    <w:rsid w:val="00423EFB"/>
    <w:rsid w:val="00425010"/>
    <w:rsid w:val="004251E4"/>
    <w:rsid w:val="00425EA7"/>
    <w:rsid w:val="00427524"/>
    <w:rsid w:val="0043066B"/>
    <w:rsid w:val="00431034"/>
    <w:rsid w:val="004312BB"/>
    <w:rsid w:val="0043256F"/>
    <w:rsid w:val="004340E5"/>
    <w:rsid w:val="004343F5"/>
    <w:rsid w:val="00434CB9"/>
    <w:rsid w:val="00434CF9"/>
    <w:rsid w:val="00435CE7"/>
    <w:rsid w:val="0043614E"/>
    <w:rsid w:val="00440340"/>
    <w:rsid w:val="00440346"/>
    <w:rsid w:val="004404FD"/>
    <w:rsid w:val="00440843"/>
    <w:rsid w:val="00440D82"/>
    <w:rsid w:val="00441012"/>
    <w:rsid w:val="0044378E"/>
    <w:rsid w:val="004437E8"/>
    <w:rsid w:val="00444ECC"/>
    <w:rsid w:val="004451A4"/>
    <w:rsid w:val="00445576"/>
    <w:rsid w:val="004456B9"/>
    <w:rsid w:val="004456EC"/>
    <w:rsid w:val="0045083F"/>
    <w:rsid w:val="00451D79"/>
    <w:rsid w:val="00453182"/>
    <w:rsid w:val="004531A2"/>
    <w:rsid w:val="004535E3"/>
    <w:rsid w:val="00455098"/>
    <w:rsid w:val="004555EC"/>
    <w:rsid w:val="00455A8E"/>
    <w:rsid w:val="00455B8C"/>
    <w:rsid w:val="00455CF0"/>
    <w:rsid w:val="00457B32"/>
    <w:rsid w:val="00460579"/>
    <w:rsid w:val="00461C11"/>
    <w:rsid w:val="0046338A"/>
    <w:rsid w:val="004635AE"/>
    <w:rsid w:val="00464B5D"/>
    <w:rsid w:val="0046520B"/>
    <w:rsid w:val="00470451"/>
    <w:rsid w:val="0047064C"/>
    <w:rsid w:val="004708C5"/>
    <w:rsid w:val="0047210D"/>
    <w:rsid w:val="00473A31"/>
    <w:rsid w:val="00473CF9"/>
    <w:rsid w:val="004744C1"/>
    <w:rsid w:val="00474DEB"/>
    <w:rsid w:val="004751AE"/>
    <w:rsid w:val="004758A4"/>
    <w:rsid w:val="00476EF8"/>
    <w:rsid w:val="00480758"/>
    <w:rsid w:val="00481E37"/>
    <w:rsid w:val="00482568"/>
    <w:rsid w:val="0048291A"/>
    <w:rsid w:val="004835F8"/>
    <w:rsid w:val="00483A03"/>
    <w:rsid w:val="00483B32"/>
    <w:rsid w:val="00484FD1"/>
    <w:rsid w:val="00485827"/>
    <w:rsid w:val="00485951"/>
    <w:rsid w:val="00486587"/>
    <w:rsid w:val="00487574"/>
    <w:rsid w:val="00487927"/>
    <w:rsid w:val="00490829"/>
    <w:rsid w:val="00491AA6"/>
    <w:rsid w:val="004927BF"/>
    <w:rsid w:val="00492871"/>
    <w:rsid w:val="00493703"/>
    <w:rsid w:val="00493B20"/>
    <w:rsid w:val="00493F1D"/>
    <w:rsid w:val="00497533"/>
    <w:rsid w:val="00497A53"/>
    <w:rsid w:val="004A0C78"/>
    <w:rsid w:val="004A14DC"/>
    <w:rsid w:val="004A1B00"/>
    <w:rsid w:val="004A3B2F"/>
    <w:rsid w:val="004A59D3"/>
    <w:rsid w:val="004A659A"/>
    <w:rsid w:val="004A7957"/>
    <w:rsid w:val="004B2BDA"/>
    <w:rsid w:val="004B2ED6"/>
    <w:rsid w:val="004B3963"/>
    <w:rsid w:val="004B3D81"/>
    <w:rsid w:val="004B40A3"/>
    <w:rsid w:val="004B46B7"/>
    <w:rsid w:val="004B51A3"/>
    <w:rsid w:val="004B53C3"/>
    <w:rsid w:val="004B5CF5"/>
    <w:rsid w:val="004B618F"/>
    <w:rsid w:val="004B7093"/>
    <w:rsid w:val="004B7E8B"/>
    <w:rsid w:val="004C0764"/>
    <w:rsid w:val="004C1823"/>
    <w:rsid w:val="004C2BF8"/>
    <w:rsid w:val="004C2C91"/>
    <w:rsid w:val="004C3221"/>
    <w:rsid w:val="004D20ED"/>
    <w:rsid w:val="004D48E9"/>
    <w:rsid w:val="004D499F"/>
    <w:rsid w:val="004D6100"/>
    <w:rsid w:val="004D6A10"/>
    <w:rsid w:val="004E181C"/>
    <w:rsid w:val="004E19ED"/>
    <w:rsid w:val="004E29F2"/>
    <w:rsid w:val="004E3057"/>
    <w:rsid w:val="004E3FDD"/>
    <w:rsid w:val="004E49F8"/>
    <w:rsid w:val="004E56A3"/>
    <w:rsid w:val="004E6263"/>
    <w:rsid w:val="004E7C48"/>
    <w:rsid w:val="004E7D56"/>
    <w:rsid w:val="004F0199"/>
    <w:rsid w:val="004F40E5"/>
    <w:rsid w:val="004F4312"/>
    <w:rsid w:val="004F51EA"/>
    <w:rsid w:val="004F63EB"/>
    <w:rsid w:val="004F7358"/>
    <w:rsid w:val="004F7887"/>
    <w:rsid w:val="004F7B20"/>
    <w:rsid w:val="00500787"/>
    <w:rsid w:val="0050194C"/>
    <w:rsid w:val="00503422"/>
    <w:rsid w:val="0050496A"/>
    <w:rsid w:val="00507B1F"/>
    <w:rsid w:val="0051085A"/>
    <w:rsid w:val="0051179D"/>
    <w:rsid w:val="00512E04"/>
    <w:rsid w:val="00513868"/>
    <w:rsid w:val="00513F32"/>
    <w:rsid w:val="00514F60"/>
    <w:rsid w:val="005151ED"/>
    <w:rsid w:val="00515374"/>
    <w:rsid w:val="005158AF"/>
    <w:rsid w:val="00516EAB"/>
    <w:rsid w:val="00516F9C"/>
    <w:rsid w:val="00521C34"/>
    <w:rsid w:val="00525263"/>
    <w:rsid w:val="00527028"/>
    <w:rsid w:val="00527D7F"/>
    <w:rsid w:val="00530EF3"/>
    <w:rsid w:val="00532506"/>
    <w:rsid w:val="0053373E"/>
    <w:rsid w:val="00534EE6"/>
    <w:rsid w:val="00535987"/>
    <w:rsid w:val="00535DD5"/>
    <w:rsid w:val="00536E85"/>
    <w:rsid w:val="00536F81"/>
    <w:rsid w:val="005371E8"/>
    <w:rsid w:val="00540DD1"/>
    <w:rsid w:val="00540EF4"/>
    <w:rsid w:val="005417AC"/>
    <w:rsid w:val="005422E8"/>
    <w:rsid w:val="005435A9"/>
    <w:rsid w:val="005440AC"/>
    <w:rsid w:val="00544981"/>
    <w:rsid w:val="0055215F"/>
    <w:rsid w:val="00553115"/>
    <w:rsid w:val="005536D8"/>
    <w:rsid w:val="00553CDE"/>
    <w:rsid w:val="00553EA9"/>
    <w:rsid w:val="005544E9"/>
    <w:rsid w:val="00556EB1"/>
    <w:rsid w:val="00560761"/>
    <w:rsid w:val="00560BE6"/>
    <w:rsid w:val="00560C3C"/>
    <w:rsid w:val="0056266D"/>
    <w:rsid w:val="0056377E"/>
    <w:rsid w:val="00564722"/>
    <w:rsid w:val="00565ED3"/>
    <w:rsid w:val="00566159"/>
    <w:rsid w:val="005661DE"/>
    <w:rsid w:val="005666FF"/>
    <w:rsid w:val="00573244"/>
    <w:rsid w:val="005736A4"/>
    <w:rsid w:val="00573B0A"/>
    <w:rsid w:val="005771E2"/>
    <w:rsid w:val="00577363"/>
    <w:rsid w:val="0058001B"/>
    <w:rsid w:val="0058121F"/>
    <w:rsid w:val="005817FC"/>
    <w:rsid w:val="00581C6F"/>
    <w:rsid w:val="00582BFB"/>
    <w:rsid w:val="00583FDB"/>
    <w:rsid w:val="005852EC"/>
    <w:rsid w:val="00585EA1"/>
    <w:rsid w:val="00586A9C"/>
    <w:rsid w:val="00587E7B"/>
    <w:rsid w:val="0059002A"/>
    <w:rsid w:val="005916DA"/>
    <w:rsid w:val="005926CA"/>
    <w:rsid w:val="005930A4"/>
    <w:rsid w:val="005931DB"/>
    <w:rsid w:val="00593C5A"/>
    <w:rsid w:val="005942C5"/>
    <w:rsid w:val="005943EB"/>
    <w:rsid w:val="00594F71"/>
    <w:rsid w:val="00595200"/>
    <w:rsid w:val="0059558D"/>
    <w:rsid w:val="00595F8F"/>
    <w:rsid w:val="00595FDB"/>
    <w:rsid w:val="0059617E"/>
    <w:rsid w:val="00597AC2"/>
    <w:rsid w:val="00597B61"/>
    <w:rsid w:val="00597FA2"/>
    <w:rsid w:val="005A0E25"/>
    <w:rsid w:val="005A17BF"/>
    <w:rsid w:val="005A1BD3"/>
    <w:rsid w:val="005A29F5"/>
    <w:rsid w:val="005A2F1B"/>
    <w:rsid w:val="005A4C1D"/>
    <w:rsid w:val="005A66EF"/>
    <w:rsid w:val="005A693B"/>
    <w:rsid w:val="005B00BF"/>
    <w:rsid w:val="005B0F2E"/>
    <w:rsid w:val="005B1722"/>
    <w:rsid w:val="005B234F"/>
    <w:rsid w:val="005B25FB"/>
    <w:rsid w:val="005B2D37"/>
    <w:rsid w:val="005B4EC3"/>
    <w:rsid w:val="005B55E3"/>
    <w:rsid w:val="005B5E04"/>
    <w:rsid w:val="005B64B1"/>
    <w:rsid w:val="005B6FCB"/>
    <w:rsid w:val="005C0901"/>
    <w:rsid w:val="005C0D05"/>
    <w:rsid w:val="005C1758"/>
    <w:rsid w:val="005C1997"/>
    <w:rsid w:val="005C20A2"/>
    <w:rsid w:val="005C217E"/>
    <w:rsid w:val="005C2381"/>
    <w:rsid w:val="005C2DF0"/>
    <w:rsid w:val="005C4B40"/>
    <w:rsid w:val="005C58B5"/>
    <w:rsid w:val="005C5C3B"/>
    <w:rsid w:val="005C70E6"/>
    <w:rsid w:val="005C784F"/>
    <w:rsid w:val="005D0659"/>
    <w:rsid w:val="005D07D1"/>
    <w:rsid w:val="005D1B44"/>
    <w:rsid w:val="005D20CC"/>
    <w:rsid w:val="005D22E3"/>
    <w:rsid w:val="005D27D5"/>
    <w:rsid w:val="005D4577"/>
    <w:rsid w:val="005D4ABF"/>
    <w:rsid w:val="005D525A"/>
    <w:rsid w:val="005D5321"/>
    <w:rsid w:val="005D54FA"/>
    <w:rsid w:val="005D7134"/>
    <w:rsid w:val="005D78E8"/>
    <w:rsid w:val="005E0D21"/>
    <w:rsid w:val="005E1938"/>
    <w:rsid w:val="005E32E7"/>
    <w:rsid w:val="005E3EC2"/>
    <w:rsid w:val="005E416E"/>
    <w:rsid w:val="005E70E2"/>
    <w:rsid w:val="005F031E"/>
    <w:rsid w:val="005F0ADE"/>
    <w:rsid w:val="005F2758"/>
    <w:rsid w:val="005F2E69"/>
    <w:rsid w:val="005F2F2E"/>
    <w:rsid w:val="005F3394"/>
    <w:rsid w:val="005F3575"/>
    <w:rsid w:val="005F5274"/>
    <w:rsid w:val="006008E8"/>
    <w:rsid w:val="00601C60"/>
    <w:rsid w:val="006021EE"/>
    <w:rsid w:val="006025BB"/>
    <w:rsid w:val="00602D45"/>
    <w:rsid w:val="00603582"/>
    <w:rsid w:val="0060600D"/>
    <w:rsid w:val="00607D8F"/>
    <w:rsid w:val="00610EAE"/>
    <w:rsid w:val="00611364"/>
    <w:rsid w:val="00611B48"/>
    <w:rsid w:val="00611EA3"/>
    <w:rsid w:val="00612488"/>
    <w:rsid w:val="0061297E"/>
    <w:rsid w:val="00613240"/>
    <w:rsid w:val="006144C8"/>
    <w:rsid w:val="00616F15"/>
    <w:rsid w:val="00620AF8"/>
    <w:rsid w:val="00620D6F"/>
    <w:rsid w:val="00620D72"/>
    <w:rsid w:val="00621008"/>
    <w:rsid w:val="0062105C"/>
    <w:rsid w:val="00621074"/>
    <w:rsid w:val="00621BEB"/>
    <w:rsid w:val="0062736E"/>
    <w:rsid w:val="006309D6"/>
    <w:rsid w:val="00631664"/>
    <w:rsid w:val="006319BF"/>
    <w:rsid w:val="0063267A"/>
    <w:rsid w:val="0063474B"/>
    <w:rsid w:val="00634BB6"/>
    <w:rsid w:val="00635806"/>
    <w:rsid w:val="00636099"/>
    <w:rsid w:val="00636E14"/>
    <w:rsid w:val="00637117"/>
    <w:rsid w:val="00637346"/>
    <w:rsid w:val="00640571"/>
    <w:rsid w:val="00640AF2"/>
    <w:rsid w:val="00640F4A"/>
    <w:rsid w:val="0064142D"/>
    <w:rsid w:val="006418EB"/>
    <w:rsid w:val="0064204B"/>
    <w:rsid w:val="006426C0"/>
    <w:rsid w:val="00642718"/>
    <w:rsid w:val="0064465E"/>
    <w:rsid w:val="006469E0"/>
    <w:rsid w:val="00646F09"/>
    <w:rsid w:val="006503B8"/>
    <w:rsid w:val="006508C4"/>
    <w:rsid w:val="006512DF"/>
    <w:rsid w:val="00651CBE"/>
    <w:rsid w:val="00651F68"/>
    <w:rsid w:val="00653CDD"/>
    <w:rsid w:val="00655617"/>
    <w:rsid w:val="00655CA9"/>
    <w:rsid w:val="00655E2D"/>
    <w:rsid w:val="00656259"/>
    <w:rsid w:val="00656762"/>
    <w:rsid w:val="006578FD"/>
    <w:rsid w:val="0066006D"/>
    <w:rsid w:val="0066034D"/>
    <w:rsid w:val="006606B7"/>
    <w:rsid w:val="00660BC6"/>
    <w:rsid w:val="006622CE"/>
    <w:rsid w:val="0066241E"/>
    <w:rsid w:val="0066285F"/>
    <w:rsid w:val="00662D0A"/>
    <w:rsid w:val="00663525"/>
    <w:rsid w:val="00663D04"/>
    <w:rsid w:val="0066442A"/>
    <w:rsid w:val="00665355"/>
    <w:rsid w:val="00665617"/>
    <w:rsid w:val="00665EC9"/>
    <w:rsid w:val="00666C2A"/>
    <w:rsid w:val="00667947"/>
    <w:rsid w:val="00667BFE"/>
    <w:rsid w:val="006711E8"/>
    <w:rsid w:val="006711E9"/>
    <w:rsid w:val="00671411"/>
    <w:rsid w:val="00673008"/>
    <w:rsid w:val="00673350"/>
    <w:rsid w:val="00674E5F"/>
    <w:rsid w:val="00675A0A"/>
    <w:rsid w:val="00676928"/>
    <w:rsid w:val="0068064E"/>
    <w:rsid w:val="00680EAD"/>
    <w:rsid w:val="006826FD"/>
    <w:rsid w:val="00683E00"/>
    <w:rsid w:val="006858C9"/>
    <w:rsid w:val="0068611B"/>
    <w:rsid w:val="006910C6"/>
    <w:rsid w:val="00692829"/>
    <w:rsid w:val="00692A47"/>
    <w:rsid w:val="00692BD1"/>
    <w:rsid w:val="00694FA9"/>
    <w:rsid w:val="00694FB3"/>
    <w:rsid w:val="006A04A5"/>
    <w:rsid w:val="006A0D26"/>
    <w:rsid w:val="006A2F8D"/>
    <w:rsid w:val="006A4649"/>
    <w:rsid w:val="006A535E"/>
    <w:rsid w:val="006A595A"/>
    <w:rsid w:val="006A5A8F"/>
    <w:rsid w:val="006A6164"/>
    <w:rsid w:val="006A695A"/>
    <w:rsid w:val="006B0778"/>
    <w:rsid w:val="006B16D2"/>
    <w:rsid w:val="006B1960"/>
    <w:rsid w:val="006B1F25"/>
    <w:rsid w:val="006B27DB"/>
    <w:rsid w:val="006B2AA8"/>
    <w:rsid w:val="006B3949"/>
    <w:rsid w:val="006B407B"/>
    <w:rsid w:val="006B6803"/>
    <w:rsid w:val="006B6A0C"/>
    <w:rsid w:val="006B70A9"/>
    <w:rsid w:val="006B7795"/>
    <w:rsid w:val="006C1738"/>
    <w:rsid w:val="006C43FD"/>
    <w:rsid w:val="006C4A3D"/>
    <w:rsid w:val="006C4A7B"/>
    <w:rsid w:val="006C62B6"/>
    <w:rsid w:val="006D0C31"/>
    <w:rsid w:val="006D0EC6"/>
    <w:rsid w:val="006D15A7"/>
    <w:rsid w:val="006D1D52"/>
    <w:rsid w:val="006D56A2"/>
    <w:rsid w:val="006D64DC"/>
    <w:rsid w:val="006D6CD4"/>
    <w:rsid w:val="006D7073"/>
    <w:rsid w:val="006D7FF5"/>
    <w:rsid w:val="006E2293"/>
    <w:rsid w:val="006E25F6"/>
    <w:rsid w:val="006E42BC"/>
    <w:rsid w:val="006E4DA2"/>
    <w:rsid w:val="006E4F99"/>
    <w:rsid w:val="006E73FE"/>
    <w:rsid w:val="006F03D3"/>
    <w:rsid w:val="006F05B5"/>
    <w:rsid w:val="006F373F"/>
    <w:rsid w:val="006F42AF"/>
    <w:rsid w:val="006F7229"/>
    <w:rsid w:val="006F7FAB"/>
    <w:rsid w:val="00701E72"/>
    <w:rsid w:val="00703303"/>
    <w:rsid w:val="0070333F"/>
    <w:rsid w:val="00704C47"/>
    <w:rsid w:val="00704CC3"/>
    <w:rsid w:val="00705FD5"/>
    <w:rsid w:val="007064FE"/>
    <w:rsid w:val="007077CD"/>
    <w:rsid w:val="0070781D"/>
    <w:rsid w:val="007101DF"/>
    <w:rsid w:val="007125C4"/>
    <w:rsid w:val="00713C98"/>
    <w:rsid w:val="00713DC1"/>
    <w:rsid w:val="00714294"/>
    <w:rsid w:val="0071460B"/>
    <w:rsid w:val="00714807"/>
    <w:rsid w:val="0071538D"/>
    <w:rsid w:val="00715B53"/>
    <w:rsid w:val="00715C87"/>
    <w:rsid w:val="007160EA"/>
    <w:rsid w:val="007176CD"/>
    <w:rsid w:val="007208CA"/>
    <w:rsid w:val="00720A8B"/>
    <w:rsid w:val="007216D9"/>
    <w:rsid w:val="00721E6B"/>
    <w:rsid w:val="00723646"/>
    <w:rsid w:val="00723677"/>
    <w:rsid w:val="00727522"/>
    <w:rsid w:val="00732301"/>
    <w:rsid w:val="00732ED9"/>
    <w:rsid w:val="007337E4"/>
    <w:rsid w:val="007340CA"/>
    <w:rsid w:val="00734177"/>
    <w:rsid w:val="00735DBF"/>
    <w:rsid w:val="007370E2"/>
    <w:rsid w:val="007374FD"/>
    <w:rsid w:val="00737CAC"/>
    <w:rsid w:val="00744A86"/>
    <w:rsid w:val="00744EDA"/>
    <w:rsid w:val="00745009"/>
    <w:rsid w:val="0074525F"/>
    <w:rsid w:val="00745991"/>
    <w:rsid w:val="0074620D"/>
    <w:rsid w:val="00746770"/>
    <w:rsid w:val="00746B43"/>
    <w:rsid w:val="0074717E"/>
    <w:rsid w:val="00750701"/>
    <w:rsid w:val="0075105B"/>
    <w:rsid w:val="00753284"/>
    <w:rsid w:val="00754C08"/>
    <w:rsid w:val="0075505C"/>
    <w:rsid w:val="00755CD5"/>
    <w:rsid w:val="007571A2"/>
    <w:rsid w:val="00757FCD"/>
    <w:rsid w:val="00761FA7"/>
    <w:rsid w:val="00762004"/>
    <w:rsid w:val="007625C3"/>
    <w:rsid w:val="007638DF"/>
    <w:rsid w:val="00763A32"/>
    <w:rsid w:val="007642CE"/>
    <w:rsid w:val="007661D3"/>
    <w:rsid w:val="0076684A"/>
    <w:rsid w:val="00766851"/>
    <w:rsid w:val="007671B7"/>
    <w:rsid w:val="00770613"/>
    <w:rsid w:val="00770703"/>
    <w:rsid w:val="00770A22"/>
    <w:rsid w:val="007715A4"/>
    <w:rsid w:val="00772009"/>
    <w:rsid w:val="007742A3"/>
    <w:rsid w:val="007763B2"/>
    <w:rsid w:val="00777868"/>
    <w:rsid w:val="00780872"/>
    <w:rsid w:val="00781872"/>
    <w:rsid w:val="00781D1E"/>
    <w:rsid w:val="00782C7C"/>
    <w:rsid w:val="00782C9B"/>
    <w:rsid w:val="007833F9"/>
    <w:rsid w:val="007868E3"/>
    <w:rsid w:val="007873A1"/>
    <w:rsid w:val="00787FD2"/>
    <w:rsid w:val="00790186"/>
    <w:rsid w:val="0079044C"/>
    <w:rsid w:val="00791798"/>
    <w:rsid w:val="007919F7"/>
    <w:rsid w:val="00792208"/>
    <w:rsid w:val="00792532"/>
    <w:rsid w:val="00793957"/>
    <w:rsid w:val="0079430B"/>
    <w:rsid w:val="00795C41"/>
    <w:rsid w:val="00797C99"/>
    <w:rsid w:val="007A02BA"/>
    <w:rsid w:val="007A07B5"/>
    <w:rsid w:val="007A0AF6"/>
    <w:rsid w:val="007A0B24"/>
    <w:rsid w:val="007A14F8"/>
    <w:rsid w:val="007A36E7"/>
    <w:rsid w:val="007A3805"/>
    <w:rsid w:val="007A3A3B"/>
    <w:rsid w:val="007A3ADA"/>
    <w:rsid w:val="007A49E0"/>
    <w:rsid w:val="007A5230"/>
    <w:rsid w:val="007A6DF7"/>
    <w:rsid w:val="007B0EF7"/>
    <w:rsid w:val="007B1722"/>
    <w:rsid w:val="007B1858"/>
    <w:rsid w:val="007B1D14"/>
    <w:rsid w:val="007B2F78"/>
    <w:rsid w:val="007B4A14"/>
    <w:rsid w:val="007B5817"/>
    <w:rsid w:val="007B5B3B"/>
    <w:rsid w:val="007B65FA"/>
    <w:rsid w:val="007C2020"/>
    <w:rsid w:val="007C22E7"/>
    <w:rsid w:val="007C5B99"/>
    <w:rsid w:val="007C5E58"/>
    <w:rsid w:val="007C7330"/>
    <w:rsid w:val="007D16C8"/>
    <w:rsid w:val="007D3D6A"/>
    <w:rsid w:val="007D3F39"/>
    <w:rsid w:val="007D406E"/>
    <w:rsid w:val="007D57EA"/>
    <w:rsid w:val="007D72D1"/>
    <w:rsid w:val="007E0007"/>
    <w:rsid w:val="007E14D3"/>
    <w:rsid w:val="007E1716"/>
    <w:rsid w:val="007E2CF7"/>
    <w:rsid w:val="007E30D6"/>
    <w:rsid w:val="007E3669"/>
    <w:rsid w:val="007E5082"/>
    <w:rsid w:val="007E510D"/>
    <w:rsid w:val="007E564C"/>
    <w:rsid w:val="007E65F7"/>
    <w:rsid w:val="007E6FD5"/>
    <w:rsid w:val="007E78B6"/>
    <w:rsid w:val="007F0298"/>
    <w:rsid w:val="007F1264"/>
    <w:rsid w:val="007F174A"/>
    <w:rsid w:val="007F1EC9"/>
    <w:rsid w:val="007F31CC"/>
    <w:rsid w:val="007F3375"/>
    <w:rsid w:val="007F383D"/>
    <w:rsid w:val="007F4600"/>
    <w:rsid w:val="00801100"/>
    <w:rsid w:val="0080151D"/>
    <w:rsid w:val="0080196C"/>
    <w:rsid w:val="00801E37"/>
    <w:rsid w:val="00801ECB"/>
    <w:rsid w:val="0080276D"/>
    <w:rsid w:val="00802833"/>
    <w:rsid w:val="008032D9"/>
    <w:rsid w:val="008035E6"/>
    <w:rsid w:val="00803A72"/>
    <w:rsid w:val="00803E24"/>
    <w:rsid w:val="008044EE"/>
    <w:rsid w:val="00805DB2"/>
    <w:rsid w:val="008106F0"/>
    <w:rsid w:val="0081138C"/>
    <w:rsid w:val="008113B8"/>
    <w:rsid w:val="008113DD"/>
    <w:rsid w:val="00811C05"/>
    <w:rsid w:val="008127D8"/>
    <w:rsid w:val="00814AD8"/>
    <w:rsid w:val="0081563D"/>
    <w:rsid w:val="00815B52"/>
    <w:rsid w:val="0081719D"/>
    <w:rsid w:val="008176D0"/>
    <w:rsid w:val="00820E69"/>
    <w:rsid w:val="0082591B"/>
    <w:rsid w:val="00827446"/>
    <w:rsid w:val="00830FFE"/>
    <w:rsid w:val="008339A5"/>
    <w:rsid w:val="008349BA"/>
    <w:rsid w:val="008367F2"/>
    <w:rsid w:val="00836E2D"/>
    <w:rsid w:val="008372B8"/>
    <w:rsid w:val="00837413"/>
    <w:rsid w:val="00837E5A"/>
    <w:rsid w:val="00840059"/>
    <w:rsid w:val="00841007"/>
    <w:rsid w:val="00842492"/>
    <w:rsid w:val="0084304B"/>
    <w:rsid w:val="008447E9"/>
    <w:rsid w:val="008453A2"/>
    <w:rsid w:val="00845DBA"/>
    <w:rsid w:val="00846C1E"/>
    <w:rsid w:val="008474C1"/>
    <w:rsid w:val="00850E52"/>
    <w:rsid w:val="0085255E"/>
    <w:rsid w:val="00852ED8"/>
    <w:rsid w:val="00853D76"/>
    <w:rsid w:val="008543E1"/>
    <w:rsid w:val="00855776"/>
    <w:rsid w:val="008558D1"/>
    <w:rsid w:val="00855BA8"/>
    <w:rsid w:val="0085623D"/>
    <w:rsid w:val="00860571"/>
    <w:rsid w:val="008606C6"/>
    <w:rsid w:val="008620A5"/>
    <w:rsid w:val="008621ED"/>
    <w:rsid w:val="008647E9"/>
    <w:rsid w:val="00865084"/>
    <w:rsid w:val="00865B5A"/>
    <w:rsid w:val="00866491"/>
    <w:rsid w:val="0086668C"/>
    <w:rsid w:val="008713CC"/>
    <w:rsid w:val="00871BB5"/>
    <w:rsid w:val="00872B79"/>
    <w:rsid w:val="00873954"/>
    <w:rsid w:val="00874D76"/>
    <w:rsid w:val="0087704E"/>
    <w:rsid w:val="0087799F"/>
    <w:rsid w:val="00880983"/>
    <w:rsid w:val="00880D28"/>
    <w:rsid w:val="008825EE"/>
    <w:rsid w:val="00885CCA"/>
    <w:rsid w:val="00885FAE"/>
    <w:rsid w:val="0088620E"/>
    <w:rsid w:val="00886F90"/>
    <w:rsid w:val="00887121"/>
    <w:rsid w:val="00887160"/>
    <w:rsid w:val="00887D41"/>
    <w:rsid w:val="00890DC6"/>
    <w:rsid w:val="00890F60"/>
    <w:rsid w:val="0089164B"/>
    <w:rsid w:val="008936B5"/>
    <w:rsid w:val="00894604"/>
    <w:rsid w:val="008956D5"/>
    <w:rsid w:val="00895AC2"/>
    <w:rsid w:val="00896710"/>
    <w:rsid w:val="008973DC"/>
    <w:rsid w:val="008A0828"/>
    <w:rsid w:val="008A1945"/>
    <w:rsid w:val="008A2FF2"/>
    <w:rsid w:val="008A3A36"/>
    <w:rsid w:val="008A528F"/>
    <w:rsid w:val="008A55C0"/>
    <w:rsid w:val="008A573A"/>
    <w:rsid w:val="008A5B0D"/>
    <w:rsid w:val="008A6140"/>
    <w:rsid w:val="008A63E2"/>
    <w:rsid w:val="008B0F9D"/>
    <w:rsid w:val="008B25D1"/>
    <w:rsid w:val="008B481F"/>
    <w:rsid w:val="008B49E0"/>
    <w:rsid w:val="008B5B20"/>
    <w:rsid w:val="008B5E5F"/>
    <w:rsid w:val="008B687D"/>
    <w:rsid w:val="008B6C3A"/>
    <w:rsid w:val="008B7D1A"/>
    <w:rsid w:val="008C0A1A"/>
    <w:rsid w:val="008C0DBA"/>
    <w:rsid w:val="008C25B1"/>
    <w:rsid w:val="008C2787"/>
    <w:rsid w:val="008C2F22"/>
    <w:rsid w:val="008C3C4E"/>
    <w:rsid w:val="008C3E0A"/>
    <w:rsid w:val="008C3FEA"/>
    <w:rsid w:val="008C470E"/>
    <w:rsid w:val="008C4ACF"/>
    <w:rsid w:val="008C4C01"/>
    <w:rsid w:val="008C6266"/>
    <w:rsid w:val="008C64F3"/>
    <w:rsid w:val="008C79C4"/>
    <w:rsid w:val="008C7BEC"/>
    <w:rsid w:val="008D06C2"/>
    <w:rsid w:val="008D0D3F"/>
    <w:rsid w:val="008D0E6E"/>
    <w:rsid w:val="008D0EBA"/>
    <w:rsid w:val="008D0F54"/>
    <w:rsid w:val="008D1F60"/>
    <w:rsid w:val="008D3109"/>
    <w:rsid w:val="008D4010"/>
    <w:rsid w:val="008D46EE"/>
    <w:rsid w:val="008D4D63"/>
    <w:rsid w:val="008D690D"/>
    <w:rsid w:val="008D6BA7"/>
    <w:rsid w:val="008D6DA6"/>
    <w:rsid w:val="008D6DE3"/>
    <w:rsid w:val="008D7BA2"/>
    <w:rsid w:val="008D7CE3"/>
    <w:rsid w:val="008E05C1"/>
    <w:rsid w:val="008E12C4"/>
    <w:rsid w:val="008E1812"/>
    <w:rsid w:val="008E221F"/>
    <w:rsid w:val="008E28D4"/>
    <w:rsid w:val="008E2EE2"/>
    <w:rsid w:val="008E4B7A"/>
    <w:rsid w:val="008E4BF1"/>
    <w:rsid w:val="008E59B2"/>
    <w:rsid w:val="008E5A15"/>
    <w:rsid w:val="008E5D95"/>
    <w:rsid w:val="008E6E91"/>
    <w:rsid w:val="008E73D0"/>
    <w:rsid w:val="008F07AC"/>
    <w:rsid w:val="008F1460"/>
    <w:rsid w:val="008F2B21"/>
    <w:rsid w:val="008F2DBF"/>
    <w:rsid w:val="008F2E38"/>
    <w:rsid w:val="008F3463"/>
    <w:rsid w:val="008F4B3E"/>
    <w:rsid w:val="008F5905"/>
    <w:rsid w:val="008F6159"/>
    <w:rsid w:val="008F623C"/>
    <w:rsid w:val="008F73E8"/>
    <w:rsid w:val="0090030E"/>
    <w:rsid w:val="00901E82"/>
    <w:rsid w:val="0090212C"/>
    <w:rsid w:val="0090226D"/>
    <w:rsid w:val="00902BD9"/>
    <w:rsid w:val="009047A3"/>
    <w:rsid w:val="00905927"/>
    <w:rsid w:val="00906952"/>
    <w:rsid w:val="00910A7E"/>
    <w:rsid w:val="00910DA9"/>
    <w:rsid w:val="0091194B"/>
    <w:rsid w:val="00914678"/>
    <w:rsid w:val="00914AD3"/>
    <w:rsid w:val="0091564D"/>
    <w:rsid w:val="00915889"/>
    <w:rsid w:val="009161B8"/>
    <w:rsid w:val="009173B1"/>
    <w:rsid w:val="009175D6"/>
    <w:rsid w:val="00917725"/>
    <w:rsid w:val="00917D50"/>
    <w:rsid w:val="009211AC"/>
    <w:rsid w:val="00921B49"/>
    <w:rsid w:val="00922576"/>
    <w:rsid w:val="00925849"/>
    <w:rsid w:val="009263CE"/>
    <w:rsid w:val="009266A1"/>
    <w:rsid w:val="00930A51"/>
    <w:rsid w:val="00931350"/>
    <w:rsid w:val="00931669"/>
    <w:rsid w:val="00931824"/>
    <w:rsid w:val="00932824"/>
    <w:rsid w:val="00934515"/>
    <w:rsid w:val="009346F2"/>
    <w:rsid w:val="0093524E"/>
    <w:rsid w:val="00935704"/>
    <w:rsid w:val="00935CFE"/>
    <w:rsid w:val="00935E7B"/>
    <w:rsid w:val="00936779"/>
    <w:rsid w:val="00936E55"/>
    <w:rsid w:val="0093701C"/>
    <w:rsid w:val="0093734D"/>
    <w:rsid w:val="00937828"/>
    <w:rsid w:val="009410C3"/>
    <w:rsid w:val="009415C1"/>
    <w:rsid w:val="00941B8E"/>
    <w:rsid w:val="009427D0"/>
    <w:rsid w:val="00943C03"/>
    <w:rsid w:val="009453CF"/>
    <w:rsid w:val="00945559"/>
    <w:rsid w:val="00946EF1"/>
    <w:rsid w:val="0095036D"/>
    <w:rsid w:val="0095094D"/>
    <w:rsid w:val="0095240D"/>
    <w:rsid w:val="0095270B"/>
    <w:rsid w:val="009529B5"/>
    <w:rsid w:val="00952EE1"/>
    <w:rsid w:val="00953693"/>
    <w:rsid w:val="009561D6"/>
    <w:rsid w:val="009569F3"/>
    <w:rsid w:val="00957249"/>
    <w:rsid w:val="009579EA"/>
    <w:rsid w:val="0096399D"/>
    <w:rsid w:val="009653F8"/>
    <w:rsid w:val="00966193"/>
    <w:rsid w:val="009663EF"/>
    <w:rsid w:val="00966637"/>
    <w:rsid w:val="0096718F"/>
    <w:rsid w:val="0096749A"/>
    <w:rsid w:val="00970360"/>
    <w:rsid w:val="00970D0C"/>
    <w:rsid w:val="00971A07"/>
    <w:rsid w:val="00973712"/>
    <w:rsid w:val="00973A49"/>
    <w:rsid w:val="009749AE"/>
    <w:rsid w:val="009760A2"/>
    <w:rsid w:val="00977906"/>
    <w:rsid w:val="00981251"/>
    <w:rsid w:val="00981C9A"/>
    <w:rsid w:val="00981F63"/>
    <w:rsid w:val="0098284F"/>
    <w:rsid w:val="0098382B"/>
    <w:rsid w:val="00983A7E"/>
    <w:rsid w:val="00983C5A"/>
    <w:rsid w:val="0098607A"/>
    <w:rsid w:val="00986C25"/>
    <w:rsid w:val="009902E4"/>
    <w:rsid w:val="009902E7"/>
    <w:rsid w:val="009922ED"/>
    <w:rsid w:val="00992684"/>
    <w:rsid w:val="0099270A"/>
    <w:rsid w:val="00992A6C"/>
    <w:rsid w:val="009942C8"/>
    <w:rsid w:val="009946EC"/>
    <w:rsid w:val="00994A47"/>
    <w:rsid w:val="009956F9"/>
    <w:rsid w:val="009960C4"/>
    <w:rsid w:val="00997D00"/>
    <w:rsid w:val="009A01EF"/>
    <w:rsid w:val="009A173D"/>
    <w:rsid w:val="009A1D4D"/>
    <w:rsid w:val="009A3090"/>
    <w:rsid w:val="009A39D7"/>
    <w:rsid w:val="009A3ED8"/>
    <w:rsid w:val="009A42E7"/>
    <w:rsid w:val="009A47ED"/>
    <w:rsid w:val="009A51F5"/>
    <w:rsid w:val="009A5561"/>
    <w:rsid w:val="009A618D"/>
    <w:rsid w:val="009A6C18"/>
    <w:rsid w:val="009A78B3"/>
    <w:rsid w:val="009B36EA"/>
    <w:rsid w:val="009B4AC1"/>
    <w:rsid w:val="009B4ACB"/>
    <w:rsid w:val="009B4BED"/>
    <w:rsid w:val="009B5BB0"/>
    <w:rsid w:val="009B5FF2"/>
    <w:rsid w:val="009B66C2"/>
    <w:rsid w:val="009B6BAB"/>
    <w:rsid w:val="009B6EC4"/>
    <w:rsid w:val="009B7527"/>
    <w:rsid w:val="009B7586"/>
    <w:rsid w:val="009C0FA1"/>
    <w:rsid w:val="009C2CE7"/>
    <w:rsid w:val="009C31DF"/>
    <w:rsid w:val="009C6992"/>
    <w:rsid w:val="009C6A6E"/>
    <w:rsid w:val="009C7507"/>
    <w:rsid w:val="009C75FF"/>
    <w:rsid w:val="009D00E8"/>
    <w:rsid w:val="009D019A"/>
    <w:rsid w:val="009D1AA4"/>
    <w:rsid w:val="009D1E3E"/>
    <w:rsid w:val="009D2EEF"/>
    <w:rsid w:val="009D3AD9"/>
    <w:rsid w:val="009D3BB8"/>
    <w:rsid w:val="009D429E"/>
    <w:rsid w:val="009D56B4"/>
    <w:rsid w:val="009D7F99"/>
    <w:rsid w:val="009E2C68"/>
    <w:rsid w:val="009E2EFA"/>
    <w:rsid w:val="009E52F4"/>
    <w:rsid w:val="009E7D3E"/>
    <w:rsid w:val="009F1D02"/>
    <w:rsid w:val="009F3B55"/>
    <w:rsid w:val="009F473D"/>
    <w:rsid w:val="009F5EB1"/>
    <w:rsid w:val="009F744B"/>
    <w:rsid w:val="009F765A"/>
    <w:rsid w:val="00A001EB"/>
    <w:rsid w:val="00A01068"/>
    <w:rsid w:val="00A018D2"/>
    <w:rsid w:val="00A03405"/>
    <w:rsid w:val="00A03A4D"/>
    <w:rsid w:val="00A0449B"/>
    <w:rsid w:val="00A05416"/>
    <w:rsid w:val="00A065D8"/>
    <w:rsid w:val="00A07A1C"/>
    <w:rsid w:val="00A100A5"/>
    <w:rsid w:val="00A10160"/>
    <w:rsid w:val="00A10427"/>
    <w:rsid w:val="00A11026"/>
    <w:rsid w:val="00A11118"/>
    <w:rsid w:val="00A1212C"/>
    <w:rsid w:val="00A1225F"/>
    <w:rsid w:val="00A12591"/>
    <w:rsid w:val="00A15A7D"/>
    <w:rsid w:val="00A15BA3"/>
    <w:rsid w:val="00A162DA"/>
    <w:rsid w:val="00A1696C"/>
    <w:rsid w:val="00A16BB3"/>
    <w:rsid w:val="00A17940"/>
    <w:rsid w:val="00A17A3B"/>
    <w:rsid w:val="00A17BF1"/>
    <w:rsid w:val="00A2015B"/>
    <w:rsid w:val="00A24473"/>
    <w:rsid w:val="00A25037"/>
    <w:rsid w:val="00A27C40"/>
    <w:rsid w:val="00A30FE8"/>
    <w:rsid w:val="00A31F4D"/>
    <w:rsid w:val="00A3384D"/>
    <w:rsid w:val="00A33D14"/>
    <w:rsid w:val="00A33EC6"/>
    <w:rsid w:val="00A44559"/>
    <w:rsid w:val="00A4608C"/>
    <w:rsid w:val="00A501BB"/>
    <w:rsid w:val="00A51453"/>
    <w:rsid w:val="00A51AC3"/>
    <w:rsid w:val="00A51B25"/>
    <w:rsid w:val="00A52279"/>
    <w:rsid w:val="00A53646"/>
    <w:rsid w:val="00A53CD1"/>
    <w:rsid w:val="00A54B12"/>
    <w:rsid w:val="00A55836"/>
    <w:rsid w:val="00A558A4"/>
    <w:rsid w:val="00A560CB"/>
    <w:rsid w:val="00A56223"/>
    <w:rsid w:val="00A57C8B"/>
    <w:rsid w:val="00A60583"/>
    <w:rsid w:val="00A60D88"/>
    <w:rsid w:val="00A616DB"/>
    <w:rsid w:val="00A6286F"/>
    <w:rsid w:val="00A62BDE"/>
    <w:rsid w:val="00A632C7"/>
    <w:rsid w:val="00A648A7"/>
    <w:rsid w:val="00A65381"/>
    <w:rsid w:val="00A653DD"/>
    <w:rsid w:val="00A657DE"/>
    <w:rsid w:val="00A678C8"/>
    <w:rsid w:val="00A70D4B"/>
    <w:rsid w:val="00A71303"/>
    <w:rsid w:val="00A71CB4"/>
    <w:rsid w:val="00A71F14"/>
    <w:rsid w:val="00A72A1C"/>
    <w:rsid w:val="00A72AE1"/>
    <w:rsid w:val="00A74AD9"/>
    <w:rsid w:val="00A74F2D"/>
    <w:rsid w:val="00A77F4E"/>
    <w:rsid w:val="00A77F89"/>
    <w:rsid w:val="00A800E6"/>
    <w:rsid w:val="00A80386"/>
    <w:rsid w:val="00A813F5"/>
    <w:rsid w:val="00A81D37"/>
    <w:rsid w:val="00A82E3C"/>
    <w:rsid w:val="00A8412B"/>
    <w:rsid w:val="00A84863"/>
    <w:rsid w:val="00A85E87"/>
    <w:rsid w:val="00A85E9F"/>
    <w:rsid w:val="00A869B2"/>
    <w:rsid w:val="00A86C1F"/>
    <w:rsid w:val="00A8784B"/>
    <w:rsid w:val="00A87B63"/>
    <w:rsid w:val="00A87E69"/>
    <w:rsid w:val="00A90491"/>
    <w:rsid w:val="00A90C03"/>
    <w:rsid w:val="00A9181F"/>
    <w:rsid w:val="00A9280A"/>
    <w:rsid w:val="00A93C2D"/>
    <w:rsid w:val="00A9516D"/>
    <w:rsid w:val="00A9573F"/>
    <w:rsid w:val="00A958FA"/>
    <w:rsid w:val="00A95FF2"/>
    <w:rsid w:val="00A96461"/>
    <w:rsid w:val="00A97C28"/>
    <w:rsid w:val="00AA093B"/>
    <w:rsid w:val="00AA17F2"/>
    <w:rsid w:val="00AA1F8C"/>
    <w:rsid w:val="00AA338E"/>
    <w:rsid w:val="00AA44E4"/>
    <w:rsid w:val="00AA549C"/>
    <w:rsid w:val="00AA5761"/>
    <w:rsid w:val="00AA5D51"/>
    <w:rsid w:val="00AA6D0E"/>
    <w:rsid w:val="00AA7757"/>
    <w:rsid w:val="00AA79B9"/>
    <w:rsid w:val="00AA7CAD"/>
    <w:rsid w:val="00AB157D"/>
    <w:rsid w:val="00AB21F1"/>
    <w:rsid w:val="00AB2695"/>
    <w:rsid w:val="00AB26BD"/>
    <w:rsid w:val="00AB2754"/>
    <w:rsid w:val="00AB4C7F"/>
    <w:rsid w:val="00AB5C93"/>
    <w:rsid w:val="00AB6234"/>
    <w:rsid w:val="00AB6E43"/>
    <w:rsid w:val="00AB71DE"/>
    <w:rsid w:val="00AC04D2"/>
    <w:rsid w:val="00AC0B9D"/>
    <w:rsid w:val="00AC0F2A"/>
    <w:rsid w:val="00AC12FE"/>
    <w:rsid w:val="00AC2139"/>
    <w:rsid w:val="00AC2478"/>
    <w:rsid w:val="00AC3337"/>
    <w:rsid w:val="00AC49A8"/>
    <w:rsid w:val="00AC4D46"/>
    <w:rsid w:val="00AC6DF4"/>
    <w:rsid w:val="00AC7714"/>
    <w:rsid w:val="00AD000E"/>
    <w:rsid w:val="00AD09C1"/>
    <w:rsid w:val="00AD0A02"/>
    <w:rsid w:val="00AD143E"/>
    <w:rsid w:val="00AD14D6"/>
    <w:rsid w:val="00AD2205"/>
    <w:rsid w:val="00AD2D11"/>
    <w:rsid w:val="00AD5985"/>
    <w:rsid w:val="00AD6D48"/>
    <w:rsid w:val="00AD7758"/>
    <w:rsid w:val="00AE0379"/>
    <w:rsid w:val="00AE04FE"/>
    <w:rsid w:val="00AE0801"/>
    <w:rsid w:val="00AE15D2"/>
    <w:rsid w:val="00AE1F5F"/>
    <w:rsid w:val="00AE2AB0"/>
    <w:rsid w:val="00AE3D2A"/>
    <w:rsid w:val="00AF0977"/>
    <w:rsid w:val="00AF09E5"/>
    <w:rsid w:val="00AF1B96"/>
    <w:rsid w:val="00AF3635"/>
    <w:rsid w:val="00AF3718"/>
    <w:rsid w:val="00AF6090"/>
    <w:rsid w:val="00AF766E"/>
    <w:rsid w:val="00B003EF"/>
    <w:rsid w:val="00B01353"/>
    <w:rsid w:val="00B02C49"/>
    <w:rsid w:val="00B03079"/>
    <w:rsid w:val="00B03A62"/>
    <w:rsid w:val="00B05813"/>
    <w:rsid w:val="00B0629A"/>
    <w:rsid w:val="00B062F9"/>
    <w:rsid w:val="00B06C37"/>
    <w:rsid w:val="00B07C4C"/>
    <w:rsid w:val="00B104C0"/>
    <w:rsid w:val="00B11586"/>
    <w:rsid w:val="00B13B82"/>
    <w:rsid w:val="00B13E59"/>
    <w:rsid w:val="00B13FE6"/>
    <w:rsid w:val="00B148E2"/>
    <w:rsid w:val="00B14B98"/>
    <w:rsid w:val="00B14DBE"/>
    <w:rsid w:val="00B15536"/>
    <w:rsid w:val="00B173AC"/>
    <w:rsid w:val="00B17619"/>
    <w:rsid w:val="00B17625"/>
    <w:rsid w:val="00B17C0D"/>
    <w:rsid w:val="00B20001"/>
    <w:rsid w:val="00B201D2"/>
    <w:rsid w:val="00B20867"/>
    <w:rsid w:val="00B21342"/>
    <w:rsid w:val="00B215A0"/>
    <w:rsid w:val="00B21B0C"/>
    <w:rsid w:val="00B2380A"/>
    <w:rsid w:val="00B23A92"/>
    <w:rsid w:val="00B23D81"/>
    <w:rsid w:val="00B23FE5"/>
    <w:rsid w:val="00B2516C"/>
    <w:rsid w:val="00B259FE"/>
    <w:rsid w:val="00B26445"/>
    <w:rsid w:val="00B26F44"/>
    <w:rsid w:val="00B27E3A"/>
    <w:rsid w:val="00B30C31"/>
    <w:rsid w:val="00B30D07"/>
    <w:rsid w:val="00B30F85"/>
    <w:rsid w:val="00B3163E"/>
    <w:rsid w:val="00B32F33"/>
    <w:rsid w:val="00B3381E"/>
    <w:rsid w:val="00B349BD"/>
    <w:rsid w:val="00B34F78"/>
    <w:rsid w:val="00B37BCE"/>
    <w:rsid w:val="00B4019E"/>
    <w:rsid w:val="00B40855"/>
    <w:rsid w:val="00B41020"/>
    <w:rsid w:val="00B41181"/>
    <w:rsid w:val="00B4171B"/>
    <w:rsid w:val="00B41A86"/>
    <w:rsid w:val="00B41B64"/>
    <w:rsid w:val="00B41DCF"/>
    <w:rsid w:val="00B42765"/>
    <w:rsid w:val="00B44737"/>
    <w:rsid w:val="00B454A3"/>
    <w:rsid w:val="00B45507"/>
    <w:rsid w:val="00B45A5B"/>
    <w:rsid w:val="00B45E2A"/>
    <w:rsid w:val="00B4616B"/>
    <w:rsid w:val="00B4696D"/>
    <w:rsid w:val="00B472B2"/>
    <w:rsid w:val="00B477CF"/>
    <w:rsid w:val="00B477E9"/>
    <w:rsid w:val="00B50DE3"/>
    <w:rsid w:val="00B50E85"/>
    <w:rsid w:val="00B518F7"/>
    <w:rsid w:val="00B51BF2"/>
    <w:rsid w:val="00B523FD"/>
    <w:rsid w:val="00B53AE3"/>
    <w:rsid w:val="00B54DFC"/>
    <w:rsid w:val="00B5763E"/>
    <w:rsid w:val="00B57891"/>
    <w:rsid w:val="00B57965"/>
    <w:rsid w:val="00B6203F"/>
    <w:rsid w:val="00B62D63"/>
    <w:rsid w:val="00B63459"/>
    <w:rsid w:val="00B66BEA"/>
    <w:rsid w:val="00B66BF5"/>
    <w:rsid w:val="00B66E1B"/>
    <w:rsid w:val="00B67B14"/>
    <w:rsid w:val="00B67C69"/>
    <w:rsid w:val="00B702D5"/>
    <w:rsid w:val="00B7110E"/>
    <w:rsid w:val="00B71463"/>
    <w:rsid w:val="00B72349"/>
    <w:rsid w:val="00B73352"/>
    <w:rsid w:val="00B739BB"/>
    <w:rsid w:val="00B73BCF"/>
    <w:rsid w:val="00B74138"/>
    <w:rsid w:val="00B744F9"/>
    <w:rsid w:val="00B74D22"/>
    <w:rsid w:val="00B7625A"/>
    <w:rsid w:val="00B77D2B"/>
    <w:rsid w:val="00B8039F"/>
    <w:rsid w:val="00B80691"/>
    <w:rsid w:val="00B81095"/>
    <w:rsid w:val="00B8132D"/>
    <w:rsid w:val="00B81B50"/>
    <w:rsid w:val="00B8255B"/>
    <w:rsid w:val="00B84027"/>
    <w:rsid w:val="00B84559"/>
    <w:rsid w:val="00B8467C"/>
    <w:rsid w:val="00B847A0"/>
    <w:rsid w:val="00B85DC5"/>
    <w:rsid w:val="00B87B49"/>
    <w:rsid w:val="00B915AA"/>
    <w:rsid w:val="00B91608"/>
    <w:rsid w:val="00B93079"/>
    <w:rsid w:val="00B9384E"/>
    <w:rsid w:val="00B94039"/>
    <w:rsid w:val="00B94E60"/>
    <w:rsid w:val="00B96642"/>
    <w:rsid w:val="00BA0CC5"/>
    <w:rsid w:val="00BA2FEE"/>
    <w:rsid w:val="00BA48AA"/>
    <w:rsid w:val="00BA55E3"/>
    <w:rsid w:val="00BA7FB7"/>
    <w:rsid w:val="00BB06BB"/>
    <w:rsid w:val="00BB432B"/>
    <w:rsid w:val="00BB63EA"/>
    <w:rsid w:val="00BB72DA"/>
    <w:rsid w:val="00BB76BA"/>
    <w:rsid w:val="00BB77EF"/>
    <w:rsid w:val="00BC01FC"/>
    <w:rsid w:val="00BC1441"/>
    <w:rsid w:val="00BC218B"/>
    <w:rsid w:val="00BC21DC"/>
    <w:rsid w:val="00BC250D"/>
    <w:rsid w:val="00BC3A31"/>
    <w:rsid w:val="00BC44B1"/>
    <w:rsid w:val="00BC47C3"/>
    <w:rsid w:val="00BC5FFF"/>
    <w:rsid w:val="00BC6666"/>
    <w:rsid w:val="00BC6B74"/>
    <w:rsid w:val="00BC74A3"/>
    <w:rsid w:val="00BC7C45"/>
    <w:rsid w:val="00BD1673"/>
    <w:rsid w:val="00BD1DC5"/>
    <w:rsid w:val="00BD2169"/>
    <w:rsid w:val="00BD2791"/>
    <w:rsid w:val="00BD2F27"/>
    <w:rsid w:val="00BD311C"/>
    <w:rsid w:val="00BD65F2"/>
    <w:rsid w:val="00BD666E"/>
    <w:rsid w:val="00BD6884"/>
    <w:rsid w:val="00BE02EE"/>
    <w:rsid w:val="00BE164E"/>
    <w:rsid w:val="00BE1C10"/>
    <w:rsid w:val="00BE1CEF"/>
    <w:rsid w:val="00BE2BCF"/>
    <w:rsid w:val="00BE30AB"/>
    <w:rsid w:val="00BE3349"/>
    <w:rsid w:val="00BE3A6A"/>
    <w:rsid w:val="00BE3FA6"/>
    <w:rsid w:val="00BE4C27"/>
    <w:rsid w:val="00BE4E84"/>
    <w:rsid w:val="00BE4FA0"/>
    <w:rsid w:val="00BE5403"/>
    <w:rsid w:val="00BE563A"/>
    <w:rsid w:val="00BE5F3A"/>
    <w:rsid w:val="00BE61E0"/>
    <w:rsid w:val="00BE66F9"/>
    <w:rsid w:val="00BE6E73"/>
    <w:rsid w:val="00BF129F"/>
    <w:rsid w:val="00BF2007"/>
    <w:rsid w:val="00BF34FA"/>
    <w:rsid w:val="00BF3D72"/>
    <w:rsid w:val="00BF4E98"/>
    <w:rsid w:val="00BF68EA"/>
    <w:rsid w:val="00BF6DBC"/>
    <w:rsid w:val="00BF7732"/>
    <w:rsid w:val="00BF77B4"/>
    <w:rsid w:val="00C023E1"/>
    <w:rsid w:val="00C061BC"/>
    <w:rsid w:val="00C06622"/>
    <w:rsid w:val="00C06C81"/>
    <w:rsid w:val="00C07C78"/>
    <w:rsid w:val="00C07EAD"/>
    <w:rsid w:val="00C10B13"/>
    <w:rsid w:val="00C1107C"/>
    <w:rsid w:val="00C1183F"/>
    <w:rsid w:val="00C11F8B"/>
    <w:rsid w:val="00C12A78"/>
    <w:rsid w:val="00C13972"/>
    <w:rsid w:val="00C14590"/>
    <w:rsid w:val="00C15D76"/>
    <w:rsid w:val="00C21471"/>
    <w:rsid w:val="00C23058"/>
    <w:rsid w:val="00C23087"/>
    <w:rsid w:val="00C230BA"/>
    <w:rsid w:val="00C2324D"/>
    <w:rsid w:val="00C2503A"/>
    <w:rsid w:val="00C25225"/>
    <w:rsid w:val="00C26A96"/>
    <w:rsid w:val="00C26FD1"/>
    <w:rsid w:val="00C307B7"/>
    <w:rsid w:val="00C31D97"/>
    <w:rsid w:val="00C33540"/>
    <w:rsid w:val="00C34948"/>
    <w:rsid w:val="00C35234"/>
    <w:rsid w:val="00C35BE6"/>
    <w:rsid w:val="00C35C30"/>
    <w:rsid w:val="00C36FA4"/>
    <w:rsid w:val="00C3709A"/>
    <w:rsid w:val="00C4033C"/>
    <w:rsid w:val="00C406E3"/>
    <w:rsid w:val="00C424E1"/>
    <w:rsid w:val="00C46E40"/>
    <w:rsid w:val="00C46E87"/>
    <w:rsid w:val="00C47755"/>
    <w:rsid w:val="00C47C05"/>
    <w:rsid w:val="00C50486"/>
    <w:rsid w:val="00C50B85"/>
    <w:rsid w:val="00C51E4F"/>
    <w:rsid w:val="00C51E96"/>
    <w:rsid w:val="00C52816"/>
    <w:rsid w:val="00C52C18"/>
    <w:rsid w:val="00C53DA2"/>
    <w:rsid w:val="00C551D5"/>
    <w:rsid w:val="00C55509"/>
    <w:rsid w:val="00C55FF9"/>
    <w:rsid w:val="00C56C3D"/>
    <w:rsid w:val="00C57564"/>
    <w:rsid w:val="00C60313"/>
    <w:rsid w:val="00C60B36"/>
    <w:rsid w:val="00C615FD"/>
    <w:rsid w:val="00C63FFD"/>
    <w:rsid w:val="00C6440C"/>
    <w:rsid w:val="00C64E7E"/>
    <w:rsid w:val="00C64F0F"/>
    <w:rsid w:val="00C65DDB"/>
    <w:rsid w:val="00C67041"/>
    <w:rsid w:val="00C67213"/>
    <w:rsid w:val="00C67ED5"/>
    <w:rsid w:val="00C70F0A"/>
    <w:rsid w:val="00C72512"/>
    <w:rsid w:val="00C72844"/>
    <w:rsid w:val="00C72FBF"/>
    <w:rsid w:val="00C73202"/>
    <w:rsid w:val="00C73396"/>
    <w:rsid w:val="00C73E87"/>
    <w:rsid w:val="00C804A6"/>
    <w:rsid w:val="00C810F0"/>
    <w:rsid w:val="00C8170D"/>
    <w:rsid w:val="00C8248B"/>
    <w:rsid w:val="00C8293B"/>
    <w:rsid w:val="00C82AD6"/>
    <w:rsid w:val="00C82B87"/>
    <w:rsid w:val="00C8373D"/>
    <w:rsid w:val="00C84430"/>
    <w:rsid w:val="00C8490A"/>
    <w:rsid w:val="00C85C08"/>
    <w:rsid w:val="00C85E0A"/>
    <w:rsid w:val="00C86B5D"/>
    <w:rsid w:val="00C86EE7"/>
    <w:rsid w:val="00C87F28"/>
    <w:rsid w:val="00C9008F"/>
    <w:rsid w:val="00C901FD"/>
    <w:rsid w:val="00C92B21"/>
    <w:rsid w:val="00C93C9B"/>
    <w:rsid w:val="00C945B4"/>
    <w:rsid w:val="00C94EB9"/>
    <w:rsid w:val="00C95E31"/>
    <w:rsid w:val="00C95E90"/>
    <w:rsid w:val="00CA05A8"/>
    <w:rsid w:val="00CA0C26"/>
    <w:rsid w:val="00CA130E"/>
    <w:rsid w:val="00CA1E84"/>
    <w:rsid w:val="00CA26EF"/>
    <w:rsid w:val="00CA2A5B"/>
    <w:rsid w:val="00CA2E61"/>
    <w:rsid w:val="00CA4773"/>
    <w:rsid w:val="00CA5BA1"/>
    <w:rsid w:val="00CA737E"/>
    <w:rsid w:val="00CA79F2"/>
    <w:rsid w:val="00CA7D0B"/>
    <w:rsid w:val="00CB1224"/>
    <w:rsid w:val="00CB1F21"/>
    <w:rsid w:val="00CB21CA"/>
    <w:rsid w:val="00CB276B"/>
    <w:rsid w:val="00CB40DA"/>
    <w:rsid w:val="00CB4273"/>
    <w:rsid w:val="00CB53A2"/>
    <w:rsid w:val="00CB5CB3"/>
    <w:rsid w:val="00CB639A"/>
    <w:rsid w:val="00CC0789"/>
    <w:rsid w:val="00CC0966"/>
    <w:rsid w:val="00CC237D"/>
    <w:rsid w:val="00CC5C72"/>
    <w:rsid w:val="00CC6575"/>
    <w:rsid w:val="00CD117A"/>
    <w:rsid w:val="00CD1320"/>
    <w:rsid w:val="00CD1A8C"/>
    <w:rsid w:val="00CD2316"/>
    <w:rsid w:val="00CD4BFC"/>
    <w:rsid w:val="00CD592D"/>
    <w:rsid w:val="00CD66D4"/>
    <w:rsid w:val="00CD71E1"/>
    <w:rsid w:val="00CE0401"/>
    <w:rsid w:val="00CE1E95"/>
    <w:rsid w:val="00CE309E"/>
    <w:rsid w:val="00CE359A"/>
    <w:rsid w:val="00CE4A13"/>
    <w:rsid w:val="00CE54F9"/>
    <w:rsid w:val="00CE5ADB"/>
    <w:rsid w:val="00CE5B90"/>
    <w:rsid w:val="00CE7501"/>
    <w:rsid w:val="00CF1573"/>
    <w:rsid w:val="00CF178F"/>
    <w:rsid w:val="00CF17A6"/>
    <w:rsid w:val="00CF2BF6"/>
    <w:rsid w:val="00CF2F8C"/>
    <w:rsid w:val="00CF394B"/>
    <w:rsid w:val="00CF3A01"/>
    <w:rsid w:val="00CF4418"/>
    <w:rsid w:val="00CF4F54"/>
    <w:rsid w:val="00CF5214"/>
    <w:rsid w:val="00CF6FEA"/>
    <w:rsid w:val="00D015AC"/>
    <w:rsid w:val="00D01A0F"/>
    <w:rsid w:val="00D01C9F"/>
    <w:rsid w:val="00D02824"/>
    <w:rsid w:val="00D0377C"/>
    <w:rsid w:val="00D04130"/>
    <w:rsid w:val="00D05DB9"/>
    <w:rsid w:val="00D079AA"/>
    <w:rsid w:val="00D1139E"/>
    <w:rsid w:val="00D12495"/>
    <w:rsid w:val="00D134D9"/>
    <w:rsid w:val="00D14336"/>
    <w:rsid w:val="00D15012"/>
    <w:rsid w:val="00D151A3"/>
    <w:rsid w:val="00D16198"/>
    <w:rsid w:val="00D16710"/>
    <w:rsid w:val="00D168DB"/>
    <w:rsid w:val="00D16DFA"/>
    <w:rsid w:val="00D171A2"/>
    <w:rsid w:val="00D17806"/>
    <w:rsid w:val="00D2076A"/>
    <w:rsid w:val="00D21EF8"/>
    <w:rsid w:val="00D2246E"/>
    <w:rsid w:val="00D2281C"/>
    <w:rsid w:val="00D22C38"/>
    <w:rsid w:val="00D239BB"/>
    <w:rsid w:val="00D23E48"/>
    <w:rsid w:val="00D2410A"/>
    <w:rsid w:val="00D24209"/>
    <w:rsid w:val="00D24D16"/>
    <w:rsid w:val="00D258D4"/>
    <w:rsid w:val="00D25B0D"/>
    <w:rsid w:val="00D26790"/>
    <w:rsid w:val="00D273E1"/>
    <w:rsid w:val="00D279CB"/>
    <w:rsid w:val="00D3145C"/>
    <w:rsid w:val="00D331C0"/>
    <w:rsid w:val="00D33644"/>
    <w:rsid w:val="00D33E4A"/>
    <w:rsid w:val="00D36271"/>
    <w:rsid w:val="00D37A15"/>
    <w:rsid w:val="00D37EDB"/>
    <w:rsid w:val="00D403A2"/>
    <w:rsid w:val="00D41BCE"/>
    <w:rsid w:val="00D42704"/>
    <w:rsid w:val="00D43612"/>
    <w:rsid w:val="00D43B50"/>
    <w:rsid w:val="00D43FAF"/>
    <w:rsid w:val="00D4703D"/>
    <w:rsid w:val="00D50DEE"/>
    <w:rsid w:val="00D52C5F"/>
    <w:rsid w:val="00D53604"/>
    <w:rsid w:val="00D556D7"/>
    <w:rsid w:val="00D57C08"/>
    <w:rsid w:val="00D60FD5"/>
    <w:rsid w:val="00D614D8"/>
    <w:rsid w:val="00D61949"/>
    <w:rsid w:val="00D61A59"/>
    <w:rsid w:val="00D61EF3"/>
    <w:rsid w:val="00D62C50"/>
    <w:rsid w:val="00D63508"/>
    <w:rsid w:val="00D63AA1"/>
    <w:rsid w:val="00D63E87"/>
    <w:rsid w:val="00D642F4"/>
    <w:rsid w:val="00D65871"/>
    <w:rsid w:val="00D65AB2"/>
    <w:rsid w:val="00D709F2"/>
    <w:rsid w:val="00D728EA"/>
    <w:rsid w:val="00D73D82"/>
    <w:rsid w:val="00D74782"/>
    <w:rsid w:val="00D76612"/>
    <w:rsid w:val="00D774AD"/>
    <w:rsid w:val="00D77996"/>
    <w:rsid w:val="00D8095D"/>
    <w:rsid w:val="00D8100D"/>
    <w:rsid w:val="00D812EA"/>
    <w:rsid w:val="00D81331"/>
    <w:rsid w:val="00D81654"/>
    <w:rsid w:val="00D8251B"/>
    <w:rsid w:val="00D8307C"/>
    <w:rsid w:val="00D83F4D"/>
    <w:rsid w:val="00D85CDB"/>
    <w:rsid w:val="00D876B3"/>
    <w:rsid w:val="00D91756"/>
    <w:rsid w:val="00D91D9A"/>
    <w:rsid w:val="00D921AC"/>
    <w:rsid w:val="00D93DCE"/>
    <w:rsid w:val="00D93FBF"/>
    <w:rsid w:val="00D9517D"/>
    <w:rsid w:val="00D96B9D"/>
    <w:rsid w:val="00DA20D2"/>
    <w:rsid w:val="00DA290B"/>
    <w:rsid w:val="00DA3D35"/>
    <w:rsid w:val="00DA4018"/>
    <w:rsid w:val="00DA44CD"/>
    <w:rsid w:val="00DA4994"/>
    <w:rsid w:val="00DA4E22"/>
    <w:rsid w:val="00DA538B"/>
    <w:rsid w:val="00DA5868"/>
    <w:rsid w:val="00DB003C"/>
    <w:rsid w:val="00DB04B8"/>
    <w:rsid w:val="00DB0B57"/>
    <w:rsid w:val="00DB2627"/>
    <w:rsid w:val="00DB5202"/>
    <w:rsid w:val="00DB5566"/>
    <w:rsid w:val="00DB756D"/>
    <w:rsid w:val="00DB782A"/>
    <w:rsid w:val="00DB7CE8"/>
    <w:rsid w:val="00DC025F"/>
    <w:rsid w:val="00DC0C84"/>
    <w:rsid w:val="00DC24FD"/>
    <w:rsid w:val="00DC33C0"/>
    <w:rsid w:val="00DC3663"/>
    <w:rsid w:val="00DC4724"/>
    <w:rsid w:val="00DC4A8D"/>
    <w:rsid w:val="00DC5619"/>
    <w:rsid w:val="00DC6F69"/>
    <w:rsid w:val="00DC77E9"/>
    <w:rsid w:val="00DC7AFF"/>
    <w:rsid w:val="00DC7B0F"/>
    <w:rsid w:val="00DD0680"/>
    <w:rsid w:val="00DD0840"/>
    <w:rsid w:val="00DD0C54"/>
    <w:rsid w:val="00DD0CF5"/>
    <w:rsid w:val="00DD2542"/>
    <w:rsid w:val="00DD2CA3"/>
    <w:rsid w:val="00DD38E4"/>
    <w:rsid w:val="00DE0D7F"/>
    <w:rsid w:val="00DE173E"/>
    <w:rsid w:val="00DE1BEC"/>
    <w:rsid w:val="00DE1DFE"/>
    <w:rsid w:val="00DE3495"/>
    <w:rsid w:val="00DE3AA3"/>
    <w:rsid w:val="00DE3B19"/>
    <w:rsid w:val="00DE3C76"/>
    <w:rsid w:val="00DE45E7"/>
    <w:rsid w:val="00DE61F6"/>
    <w:rsid w:val="00DE643D"/>
    <w:rsid w:val="00DF36E9"/>
    <w:rsid w:val="00DF3B0A"/>
    <w:rsid w:val="00DF4E90"/>
    <w:rsid w:val="00DF4F3B"/>
    <w:rsid w:val="00DF5264"/>
    <w:rsid w:val="00DF56A3"/>
    <w:rsid w:val="00DF5AE2"/>
    <w:rsid w:val="00DF7217"/>
    <w:rsid w:val="00DF78B5"/>
    <w:rsid w:val="00E00A26"/>
    <w:rsid w:val="00E00AD8"/>
    <w:rsid w:val="00E0144D"/>
    <w:rsid w:val="00E017E5"/>
    <w:rsid w:val="00E01917"/>
    <w:rsid w:val="00E03BDA"/>
    <w:rsid w:val="00E04608"/>
    <w:rsid w:val="00E04B10"/>
    <w:rsid w:val="00E04F26"/>
    <w:rsid w:val="00E05495"/>
    <w:rsid w:val="00E05C55"/>
    <w:rsid w:val="00E062AC"/>
    <w:rsid w:val="00E1023F"/>
    <w:rsid w:val="00E114EA"/>
    <w:rsid w:val="00E11AE8"/>
    <w:rsid w:val="00E11E8E"/>
    <w:rsid w:val="00E12924"/>
    <w:rsid w:val="00E129CD"/>
    <w:rsid w:val="00E13AD3"/>
    <w:rsid w:val="00E143A1"/>
    <w:rsid w:val="00E15A5E"/>
    <w:rsid w:val="00E15BBB"/>
    <w:rsid w:val="00E17AF7"/>
    <w:rsid w:val="00E17E24"/>
    <w:rsid w:val="00E20270"/>
    <w:rsid w:val="00E20B31"/>
    <w:rsid w:val="00E20FF5"/>
    <w:rsid w:val="00E212BD"/>
    <w:rsid w:val="00E2135C"/>
    <w:rsid w:val="00E236A8"/>
    <w:rsid w:val="00E23F39"/>
    <w:rsid w:val="00E24E74"/>
    <w:rsid w:val="00E25737"/>
    <w:rsid w:val="00E26AC3"/>
    <w:rsid w:val="00E27752"/>
    <w:rsid w:val="00E30F7A"/>
    <w:rsid w:val="00E30F84"/>
    <w:rsid w:val="00E32BDF"/>
    <w:rsid w:val="00E33274"/>
    <w:rsid w:val="00E33785"/>
    <w:rsid w:val="00E34561"/>
    <w:rsid w:val="00E34F8E"/>
    <w:rsid w:val="00E35648"/>
    <w:rsid w:val="00E36CF8"/>
    <w:rsid w:val="00E37D19"/>
    <w:rsid w:val="00E40185"/>
    <w:rsid w:val="00E410AD"/>
    <w:rsid w:val="00E41EB7"/>
    <w:rsid w:val="00E424C4"/>
    <w:rsid w:val="00E42D2F"/>
    <w:rsid w:val="00E42D6A"/>
    <w:rsid w:val="00E44848"/>
    <w:rsid w:val="00E448AB"/>
    <w:rsid w:val="00E44963"/>
    <w:rsid w:val="00E44E52"/>
    <w:rsid w:val="00E45AA0"/>
    <w:rsid w:val="00E45E66"/>
    <w:rsid w:val="00E465EF"/>
    <w:rsid w:val="00E4667C"/>
    <w:rsid w:val="00E503DE"/>
    <w:rsid w:val="00E50950"/>
    <w:rsid w:val="00E50C43"/>
    <w:rsid w:val="00E513E2"/>
    <w:rsid w:val="00E51669"/>
    <w:rsid w:val="00E51684"/>
    <w:rsid w:val="00E51755"/>
    <w:rsid w:val="00E5228F"/>
    <w:rsid w:val="00E525F9"/>
    <w:rsid w:val="00E532DA"/>
    <w:rsid w:val="00E5333F"/>
    <w:rsid w:val="00E56711"/>
    <w:rsid w:val="00E60B68"/>
    <w:rsid w:val="00E61BEF"/>
    <w:rsid w:val="00E64C1F"/>
    <w:rsid w:val="00E65222"/>
    <w:rsid w:val="00E7092F"/>
    <w:rsid w:val="00E715C8"/>
    <w:rsid w:val="00E71FDE"/>
    <w:rsid w:val="00E728F1"/>
    <w:rsid w:val="00E73E40"/>
    <w:rsid w:val="00E73E59"/>
    <w:rsid w:val="00E752E5"/>
    <w:rsid w:val="00E76755"/>
    <w:rsid w:val="00E81638"/>
    <w:rsid w:val="00E82117"/>
    <w:rsid w:val="00E861BD"/>
    <w:rsid w:val="00E8785D"/>
    <w:rsid w:val="00E9007C"/>
    <w:rsid w:val="00E915D4"/>
    <w:rsid w:val="00E9193C"/>
    <w:rsid w:val="00E92DCF"/>
    <w:rsid w:val="00E92F74"/>
    <w:rsid w:val="00E9383D"/>
    <w:rsid w:val="00E951B2"/>
    <w:rsid w:val="00E9552A"/>
    <w:rsid w:val="00E95DE8"/>
    <w:rsid w:val="00E96FC0"/>
    <w:rsid w:val="00E977F3"/>
    <w:rsid w:val="00E97DB2"/>
    <w:rsid w:val="00EA0DE5"/>
    <w:rsid w:val="00EA1C9F"/>
    <w:rsid w:val="00EA2056"/>
    <w:rsid w:val="00EA2124"/>
    <w:rsid w:val="00EA2984"/>
    <w:rsid w:val="00EA2A67"/>
    <w:rsid w:val="00EA5236"/>
    <w:rsid w:val="00EA52D9"/>
    <w:rsid w:val="00EA532A"/>
    <w:rsid w:val="00EA6B26"/>
    <w:rsid w:val="00EB0159"/>
    <w:rsid w:val="00EB277D"/>
    <w:rsid w:val="00EB2A52"/>
    <w:rsid w:val="00EB2BDC"/>
    <w:rsid w:val="00EB385C"/>
    <w:rsid w:val="00EB3BF1"/>
    <w:rsid w:val="00EB47CD"/>
    <w:rsid w:val="00EB4B7A"/>
    <w:rsid w:val="00EB5050"/>
    <w:rsid w:val="00EB5820"/>
    <w:rsid w:val="00EB5D7C"/>
    <w:rsid w:val="00EB66F5"/>
    <w:rsid w:val="00EB6CE0"/>
    <w:rsid w:val="00EB74C5"/>
    <w:rsid w:val="00EB7D8A"/>
    <w:rsid w:val="00EC04C3"/>
    <w:rsid w:val="00EC05D8"/>
    <w:rsid w:val="00EC0E79"/>
    <w:rsid w:val="00EC1478"/>
    <w:rsid w:val="00EC19A7"/>
    <w:rsid w:val="00EC1F6D"/>
    <w:rsid w:val="00EC35F9"/>
    <w:rsid w:val="00EC4238"/>
    <w:rsid w:val="00EC5648"/>
    <w:rsid w:val="00EC61A9"/>
    <w:rsid w:val="00EC66B3"/>
    <w:rsid w:val="00EC694A"/>
    <w:rsid w:val="00EC7A7B"/>
    <w:rsid w:val="00ED0F3C"/>
    <w:rsid w:val="00ED16A5"/>
    <w:rsid w:val="00ED3083"/>
    <w:rsid w:val="00ED3CE8"/>
    <w:rsid w:val="00ED3D45"/>
    <w:rsid w:val="00ED413B"/>
    <w:rsid w:val="00ED682D"/>
    <w:rsid w:val="00ED6D50"/>
    <w:rsid w:val="00EE13F5"/>
    <w:rsid w:val="00EE1481"/>
    <w:rsid w:val="00EE1818"/>
    <w:rsid w:val="00EE1F76"/>
    <w:rsid w:val="00EE2944"/>
    <w:rsid w:val="00EE33DC"/>
    <w:rsid w:val="00EE4BAE"/>
    <w:rsid w:val="00EE5C56"/>
    <w:rsid w:val="00EE620E"/>
    <w:rsid w:val="00EF4602"/>
    <w:rsid w:val="00EF4B05"/>
    <w:rsid w:val="00EF4F5A"/>
    <w:rsid w:val="00EF578F"/>
    <w:rsid w:val="00EF5AE9"/>
    <w:rsid w:val="00EF630B"/>
    <w:rsid w:val="00EF6542"/>
    <w:rsid w:val="00EF74AD"/>
    <w:rsid w:val="00F011C6"/>
    <w:rsid w:val="00F018A8"/>
    <w:rsid w:val="00F02F31"/>
    <w:rsid w:val="00F03686"/>
    <w:rsid w:val="00F054CE"/>
    <w:rsid w:val="00F05D83"/>
    <w:rsid w:val="00F061FC"/>
    <w:rsid w:val="00F07DB9"/>
    <w:rsid w:val="00F07E46"/>
    <w:rsid w:val="00F11B23"/>
    <w:rsid w:val="00F12D64"/>
    <w:rsid w:val="00F14131"/>
    <w:rsid w:val="00F14B15"/>
    <w:rsid w:val="00F16DA2"/>
    <w:rsid w:val="00F16DCC"/>
    <w:rsid w:val="00F215F0"/>
    <w:rsid w:val="00F21FC6"/>
    <w:rsid w:val="00F23F26"/>
    <w:rsid w:val="00F2422B"/>
    <w:rsid w:val="00F24E7F"/>
    <w:rsid w:val="00F264DC"/>
    <w:rsid w:val="00F27FE6"/>
    <w:rsid w:val="00F314DB"/>
    <w:rsid w:val="00F31BD0"/>
    <w:rsid w:val="00F31DCC"/>
    <w:rsid w:val="00F3367E"/>
    <w:rsid w:val="00F35042"/>
    <w:rsid w:val="00F35F6A"/>
    <w:rsid w:val="00F36105"/>
    <w:rsid w:val="00F3647F"/>
    <w:rsid w:val="00F36730"/>
    <w:rsid w:val="00F372FD"/>
    <w:rsid w:val="00F4120C"/>
    <w:rsid w:val="00F41DE6"/>
    <w:rsid w:val="00F41EC8"/>
    <w:rsid w:val="00F43B20"/>
    <w:rsid w:val="00F445DA"/>
    <w:rsid w:val="00F4486F"/>
    <w:rsid w:val="00F44DA3"/>
    <w:rsid w:val="00F4562D"/>
    <w:rsid w:val="00F51A20"/>
    <w:rsid w:val="00F5212B"/>
    <w:rsid w:val="00F551EE"/>
    <w:rsid w:val="00F55461"/>
    <w:rsid w:val="00F5685D"/>
    <w:rsid w:val="00F56DE9"/>
    <w:rsid w:val="00F570C3"/>
    <w:rsid w:val="00F60BA0"/>
    <w:rsid w:val="00F60DCA"/>
    <w:rsid w:val="00F61849"/>
    <w:rsid w:val="00F61AE5"/>
    <w:rsid w:val="00F62287"/>
    <w:rsid w:val="00F63908"/>
    <w:rsid w:val="00F66A10"/>
    <w:rsid w:val="00F676A6"/>
    <w:rsid w:val="00F701BF"/>
    <w:rsid w:val="00F70F4D"/>
    <w:rsid w:val="00F727D0"/>
    <w:rsid w:val="00F72C7D"/>
    <w:rsid w:val="00F72EB6"/>
    <w:rsid w:val="00F75490"/>
    <w:rsid w:val="00F76FD6"/>
    <w:rsid w:val="00F8012E"/>
    <w:rsid w:val="00F8043E"/>
    <w:rsid w:val="00F814C5"/>
    <w:rsid w:val="00F81DCC"/>
    <w:rsid w:val="00F81E6B"/>
    <w:rsid w:val="00F81FA4"/>
    <w:rsid w:val="00F82084"/>
    <w:rsid w:val="00F839B4"/>
    <w:rsid w:val="00F84FBD"/>
    <w:rsid w:val="00F868D0"/>
    <w:rsid w:val="00F909CF"/>
    <w:rsid w:val="00F91D67"/>
    <w:rsid w:val="00F934C4"/>
    <w:rsid w:val="00F934F9"/>
    <w:rsid w:val="00F93D96"/>
    <w:rsid w:val="00F940A7"/>
    <w:rsid w:val="00F954E8"/>
    <w:rsid w:val="00F9566C"/>
    <w:rsid w:val="00F9679B"/>
    <w:rsid w:val="00F96920"/>
    <w:rsid w:val="00FA0572"/>
    <w:rsid w:val="00FA0BF4"/>
    <w:rsid w:val="00FA2796"/>
    <w:rsid w:val="00FA4A4F"/>
    <w:rsid w:val="00FA63A2"/>
    <w:rsid w:val="00FA72FE"/>
    <w:rsid w:val="00FB2BF3"/>
    <w:rsid w:val="00FB2D30"/>
    <w:rsid w:val="00FB4489"/>
    <w:rsid w:val="00FB44A3"/>
    <w:rsid w:val="00FB479A"/>
    <w:rsid w:val="00FB4D58"/>
    <w:rsid w:val="00FB6795"/>
    <w:rsid w:val="00FB6A88"/>
    <w:rsid w:val="00FB6DAF"/>
    <w:rsid w:val="00FB7F90"/>
    <w:rsid w:val="00FB7FCC"/>
    <w:rsid w:val="00FC02F6"/>
    <w:rsid w:val="00FC0890"/>
    <w:rsid w:val="00FC0D9B"/>
    <w:rsid w:val="00FC2811"/>
    <w:rsid w:val="00FC2C34"/>
    <w:rsid w:val="00FC5194"/>
    <w:rsid w:val="00FC6DFE"/>
    <w:rsid w:val="00FC7170"/>
    <w:rsid w:val="00FD20EB"/>
    <w:rsid w:val="00FD2676"/>
    <w:rsid w:val="00FD3E92"/>
    <w:rsid w:val="00FD4D85"/>
    <w:rsid w:val="00FD5026"/>
    <w:rsid w:val="00FD68FB"/>
    <w:rsid w:val="00FD7445"/>
    <w:rsid w:val="00FE012E"/>
    <w:rsid w:val="00FE0863"/>
    <w:rsid w:val="00FE0D25"/>
    <w:rsid w:val="00FE22F9"/>
    <w:rsid w:val="00FE2A8A"/>
    <w:rsid w:val="00FE2FF3"/>
    <w:rsid w:val="00FE310B"/>
    <w:rsid w:val="00FE418D"/>
    <w:rsid w:val="00FE461D"/>
    <w:rsid w:val="00FE4DC7"/>
    <w:rsid w:val="00FE52C6"/>
    <w:rsid w:val="00FE61CB"/>
    <w:rsid w:val="00FE695D"/>
    <w:rsid w:val="00FF00A9"/>
    <w:rsid w:val="00FF038B"/>
    <w:rsid w:val="00FF04E6"/>
    <w:rsid w:val="00FF10DB"/>
    <w:rsid w:val="00FF1D17"/>
    <w:rsid w:val="00FF490A"/>
    <w:rsid w:val="00FF5D94"/>
    <w:rsid w:val="00FF6508"/>
    <w:rsid w:val="00FF6DDB"/>
    <w:rsid w:val="00FF7A6A"/>
    <w:rsid w:val="00FF7C6D"/>
    <w:rsid w:val="0162A789"/>
    <w:rsid w:val="0227F7E8"/>
    <w:rsid w:val="02D764F0"/>
    <w:rsid w:val="02D9D477"/>
    <w:rsid w:val="034873E2"/>
    <w:rsid w:val="03AAA9DC"/>
    <w:rsid w:val="04013387"/>
    <w:rsid w:val="04069183"/>
    <w:rsid w:val="041B3311"/>
    <w:rsid w:val="04634FA3"/>
    <w:rsid w:val="04C3008B"/>
    <w:rsid w:val="04E45662"/>
    <w:rsid w:val="055FE4EC"/>
    <w:rsid w:val="0580AD92"/>
    <w:rsid w:val="05D3F550"/>
    <w:rsid w:val="0646A159"/>
    <w:rsid w:val="067E8007"/>
    <w:rsid w:val="06A21F84"/>
    <w:rsid w:val="07869047"/>
    <w:rsid w:val="07BAA51D"/>
    <w:rsid w:val="081BF724"/>
    <w:rsid w:val="081FC0A5"/>
    <w:rsid w:val="086777BD"/>
    <w:rsid w:val="09236EE2"/>
    <w:rsid w:val="092FC790"/>
    <w:rsid w:val="0985569B"/>
    <w:rsid w:val="09C097E9"/>
    <w:rsid w:val="09D2B46C"/>
    <w:rsid w:val="0A48C150"/>
    <w:rsid w:val="0A4F057B"/>
    <w:rsid w:val="0A8A0599"/>
    <w:rsid w:val="0AA86034"/>
    <w:rsid w:val="0AD9D62C"/>
    <w:rsid w:val="0AE320EF"/>
    <w:rsid w:val="0B0EF624"/>
    <w:rsid w:val="0B207E3A"/>
    <w:rsid w:val="0B26CCC0"/>
    <w:rsid w:val="0BE94183"/>
    <w:rsid w:val="0BEFEF16"/>
    <w:rsid w:val="0CC5C6F9"/>
    <w:rsid w:val="0CE90329"/>
    <w:rsid w:val="0D0D1C2B"/>
    <w:rsid w:val="0D7B3420"/>
    <w:rsid w:val="0D9B9D31"/>
    <w:rsid w:val="0DB540AB"/>
    <w:rsid w:val="0DCA02DD"/>
    <w:rsid w:val="0DD6C694"/>
    <w:rsid w:val="0DEEB1DA"/>
    <w:rsid w:val="0E683B47"/>
    <w:rsid w:val="0FC351C8"/>
    <w:rsid w:val="10015EBF"/>
    <w:rsid w:val="1052CCF5"/>
    <w:rsid w:val="10CB7741"/>
    <w:rsid w:val="10D6402F"/>
    <w:rsid w:val="10E69F4E"/>
    <w:rsid w:val="1101A39F"/>
    <w:rsid w:val="11261641"/>
    <w:rsid w:val="1142E212"/>
    <w:rsid w:val="1149B753"/>
    <w:rsid w:val="129D7400"/>
    <w:rsid w:val="12EA04C8"/>
    <w:rsid w:val="133A9F8B"/>
    <w:rsid w:val="137F6DA1"/>
    <w:rsid w:val="13D67B39"/>
    <w:rsid w:val="13EBA136"/>
    <w:rsid w:val="145F152F"/>
    <w:rsid w:val="14636907"/>
    <w:rsid w:val="1499FB5F"/>
    <w:rsid w:val="15034A90"/>
    <w:rsid w:val="15E5FCE7"/>
    <w:rsid w:val="16015C11"/>
    <w:rsid w:val="17254654"/>
    <w:rsid w:val="18D1E4AF"/>
    <w:rsid w:val="1945F635"/>
    <w:rsid w:val="19CB8069"/>
    <w:rsid w:val="1A5FAE13"/>
    <w:rsid w:val="1AA885E5"/>
    <w:rsid w:val="1AFA945E"/>
    <w:rsid w:val="1BD218AF"/>
    <w:rsid w:val="1BD3C321"/>
    <w:rsid w:val="1C2B1498"/>
    <w:rsid w:val="1C6E7AEC"/>
    <w:rsid w:val="1CCE7A7D"/>
    <w:rsid w:val="1D047790"/>
    <w:rsid w:val="1D28B5C4"/>
    <w:rsid w:val="1D352483"/>
    <w:rsid w:val="1E301AE0"/>
    <w:rsid w:val="1E4413DC"/>
    <w:rsid w:val="1EB4C62F"/>
    <w:rsid w:val="1F45A128"/>
    <w:rsid w:val="1F99F132"/>
    <w:rsid w:val="1F9E3B17"/>
    <w:rsid w:val="1FEF69DF"/>
    <w:rsid w:val="20605686"/>
    <w:rsid w:val="20729B6D"/>
    <w:rsid w:val="2128C3B2"/>
    <w:rsid w:val="2236D932"/>
    <w:rsid w:val="2258BC28"/>
    <w:rsid w:val="226C914D"/>
    <w:rsid w:val="22D3D0D0"/>
    <w:rsid w:val="232D807C"/>
    <w:rsid w:val="239FACD4"/>
    <w:rsid w:val="23C76836"/>
    <w:rsid w:val="23FF98C1"/>
    <w:rsid w:val="240B8661"/>
    <w:rsid w:val="251473A4"/>
    <w:rsid w:val="258B8DFC"/>
    <w:rsid w:val="25AA1ECA"/>
    <w:rsid w:val="25B415E5"/>
    <w:rsid w:val="25BE6D66"/>
    <w:rsid w:val="25FC34D5"/>
    <w:rsid w:val="25FFF6A0"/>
    <w:rsid w:val="2645007C"/>
    <w:rsid w:val="264D9055"/>
    <w:rsid w:val="26A117DA"/>
    <w:rsid w:val="26BDE972"/>
    <w:rsid w:val="2765DFC2"/>
    <w:rsid w:val="276DE090"/>
    <w:rsid w:val="27C22B23"/>
    <w:rsid w:val="29E1BBC6"/>
    <w:rsid w:val="2A6B270E"/>
    <w:rsid w:val="2B5B00DF"/>
    <w:rsid w:val="2B89D915"/>
    <w:rsid w:val="2BBC2635"/>
    <w:rsid w:val="2BBC838B"/>
    <w:rsid w:val="2C0AA991"/>
    <w:rsid w:val="2CA62445"/>
    <w:rsid w:val="2CD6AC2B"/>
    <w:rsid w:val="2D074F30"/>
    <w:rsid w:val="2D560634"/>
    <w:rsid w:val="2D784A9B"/>
    <w:rsid w:val="2DA679F2"/>
    <w:rsid w:val="2E1B8EBB"/>
    <w:rsid w:val="2E8F31C2"/>
    <w:rsid w:val="2E92A1A1"/>
    <w:rsid w:val="2F000D55"/>
    <w:rsid w:val="2F082CB1"/>
    <w:rsid w:val="2F5AF8DC"/>
    <w:rsid w:val="2FC29C8A"/>
    <w:rsid w:val="2FCE6CE2"/>
    <w:rsid w:val="30510E70"/>
    <w:rsid w:val="307B35A9"/>
    <w:rsid w:val="30AD0E7B"/>
    <w:rsid w:val="3157D17A"/>
    <w:rsid w:val="315D66D2"/>
    <w:rsid w:val="31990722"/>
    <w:rsid w:val="31B11B01"/>
    <w:rsid w:val="31D9224E"/>
    <w:rsid w:val="32282DA4"/>
    <w:rsid w:val="32A52D37"/>
    <w:rsid w:val="32AA1308"/>
    <w:rsid w:val="32C93F40"/>
    <w:rsid w:val="32E2A563"/>
    <w:rsid w:val="32F3A1DB"/>
    <w:rsid w:val="331907C9"/>
    <w:rsid w:val="337D8009"/>
    <w:rsid w:val="343261AB"/>
    <w:rsid w:val="349008A0"/>
    <w:rsid w:val="34F24446"/>
    <w:rsid w:val="3509D0AB"/>
    <w:rsid w:val="3590D4B8"/>
    <w:rsid w:val="35F9F18E"/>
    <w:rsid w:val="36121A40"/>
    <w:rsid w:val="36296230"/>
    <w:rsid w:val="362B429D"/>
    <w:rsid w:val="36627C0E"/>
    <w:rsid w:val="369D6AD5"/>
    <w:rsid w:val="36A5A10C"/>
    <w:rsid w:val="36F8E8CA"/>
    <w:rsid w:val="37458D88"/>
    <w:rsid w:val="376CF0B7"/>
    <w:rsid w:val="37C2D833"/>
    <w:rsid w:val="37C53291"/>
    <w:rsid w:val="37F5931B"/>
    <w:rsid w:val="381CEBAB"/>
    <w:rsid w:val="3833BF5A"/>
    <w:rsid w:val="3877C74D"/>
    <w:rsid w:val="38832862"/>
    <w:rsid w:val="38DA1F16"/>
    <w:rsid w:val="3951E6E7"/>
    <w:rsid w:val="395EC5A8"/>
    <w:rsid w:val="39AF2F70"/>
    <w:rsid w:val="3A50A1AB"/>
    <w:rsid w:val="3AC64D2D"/>
    <w:rsid w:val="3AE58B63"/>
    <w:rsid w:val="3B14ADD8"/>
    <w:rsid w:val="3B79122F"/>
    <w:rsid w:val="3C372176"/>
    <w:rsid w:val="3C3F8254"/>
    <w:rsid w:val="3C5587D7"/>
    <w:rsid w:val="3C62FDD8"/>
    <w:rsid w:val="3E25580A"/>
    <w:rsid w:val="3E5C297F"/>
    <w:rsid w:val="3E6BE518"/>
    <w:rsid w:val="3E9F679F"/>
    <w:rsid w:val="3F9ACD46"/>
    <w:rsid w:val="3FDC1BB7"/>
    <w:rsid w:val="3FDF9487"/>
    <w:rsid w:val="3FFA593F"/>
    <w:rsid w:val="4027FD90"/>
    <w:rsid w:val="40A83689"/>
    <w:rsid w:val="411602C8"/>
    <w:rsid w:val="41885FB9"/>
    <w:rsid w:val="41A0312F"/>
    <w:rsid w:val="41AB329C"/>
    <w:rsid w:val="41D7ED37"/>
    <w:rsid w:val="4272EF45"/>
    <w:rsid w:val="4276F013"/>
    <w:rsid w:val="4295355B"/>
    <w:rsid w:val="43349584"/>
    <w:rsid w:val="43731C48"/>
    <w:rsid w:val="437C7F04"/>
    <w:rsid w:val="438483D5"/>
    <w:rsid w:val="44FB6EB3"/>
    <w:rsid w:val="455C4E55"/>
    <w:rsid w:val="45B982ED"/>
    <w:rsid w:val="4612FA4A"/>
    <w:rsid w:val="4636421C"/>
    <w:rsid w:val="46424CBB"/>
    <w:rsid w:val="46A46EFD"/>
    <w:rsid w:val="46BAFFBA"/>
    <w:rsid w:val="475C6005"/>
    <w:rsid w:val="48056DDB"/>
    <w:rsid w:val="48514CD0"/>
    <w:rsid w:val="48F68CBB"/>
    <w:rsid w:val="49120D18"/>
    <w:rsid w:val="4919DBCB"/>
    <w:rsid w:val="49D82E81"/>
    <w:rsid w:val="49F9A9C5"/>
    <w:rsid w:val="4A1C3830"/>
    <w:rsid w:val="4A580AED"/>
    <w:rsid w:val="4A72693D"/>
    <w:rsid w:val="4AEB239F"/>
    <w:rsid w:val="4BC842B5"/>
    <w:rsid w:val="4C20CA06"/>
    <w:rsid w:val="4DFBF852"/>
    <w:rsid w:val="4E271973"/>
    <w:rsid w:val="4E52D192"/>
    <w:rsid w:val="4E93F910"/>
    <w:rsid w:val="4EDDA091"/>
    <w:rsid w:val="4F18DB79"/>
    <w:rsid w:val="4F5C46EE"/>
    <w:rsid w:val="4F891D4F"/>
    <w:rsid w:val="4FDFB4B7"/>
    <w:rsid w:val="5052F855"/>
    <w:rsid w:val="505404C4"/>
    <w:rsid w:val="50B6EA73"/>
    <w:rsid w:val="5103424B"/>
    <w:rsid w:val="5166E567"/>
    <w:rsid w:val="519DBC38"/>
    <w:rsid w:val="51DA631B"/>
    <w:rsid w:val="51E39649"/>
    <w:rsid w:val="523C8A1E"/>
    <w:rsid w:val="52458B47"/>
    <w:rsid w:val="52A4D221"/>
    <w:rsid w:val="52EA9560"/>
    <w:rsid w:val="52F7D0CC"/>
    <w:rsid w:val="5307F204"/>
    <w:rsid w:val="547B7680"/>
    <w:rsid w:val="54F2BFBB"/>
    <w:rsid w:val="550CC94A"/>
    <w:rsid w:val="55AC819C"/>
    <w:rsid w:val="5610B2D5"/>
    <w:rsid w:val="5669ECA9"/>
    <w:rsid w:val="56ABDB47"/>
    <w:rsid w:val="56DCDF2D"/>
    <w:rsid w:val="570D039A"/>
    <w:rsid w:val="5740C051"/>
    <w:rsid w:val="5775720C"/>
    <w:rsid w:val="5788D040"/>
    <w:rsid w:val="578B24A2"/>
    <w:rsid w:val="57DE0204"/>
    <w:rsid w:val="5870659A"/>
    <w:rsid w:val="58873663"/>
    <w:rsid w:val="58FC4CCB"/>
    <w:rsid w:val="590D3B52"/>
    <w:rsid w:val="5926F503"/>
    <w:rsid w:val="5968ED4E"/>
    <w:rsid w:val="597EBCD8"/>
    <w:rsid w:val="59A6A476"/>
    <w:rsid w:val="5A58C911"/>
    <w:rsid w:val="5A5BF276"/>
    <w:rsid w:val="5AABAD1B"/>
    <w:rsid w:val="5AB4FEE5"/>
    <w:rsid w:val="5AE423F8"/>
    <w:rsid w:val="5AEC973E"/>
    <w:rsid w:val="5B59561F"/>
    <w:rsid w:val="5B7A16D3"/>
    <w:rsid w:val="5B8A498C"/>
    <w:rsid w:val="5BCF4F27"/>
    <w:rsid w:val="5C6F8DDD"/>
    <w:rsid w:val="5CC1E23D"/>
    <w:rsid w:val="5D883DEE"/>
    <w:rsid w:val="5D95C9C5"/>
    <w:rsid w:val="5E0E5EF4"/>
    <w:rsid w:val="5E40DFC3"/>
    <w:rsid w:val="5F240E4F"/>
    <w:rsid w:val="5FFD911B"/>
    <w:rsid w:val="60399530"/>
    <w:rsid w:val="604DDAC1"/>
    <w:rsid w:val="60558AEF"/>
    <w:rsid w:val="6108FF79"/>
    <w:rsid w:val="618D319B"/>
    <w:rsid w:val="61E9AB22"/>
    <w:rsid w:val="61F15B50"/>
    <w:rsid w:val="6359041B"/>
    <w:rsid w:val="64055412"/>
    <w:rsid w:val="644529A6"/>
    <w:rsid w:val="64657AE8"/>
    <w:rsid w:val="646E6E02"/>
    <w:rsid w:val="65C648E6"/>
    <w:rsid w:val="65EAD1FA"/>
    <w:rsid w:val="65FCFCBA"/>
    <w:rsid w:val="6640640D"/>
    <w:rsid w:val="66E3AC10"/>
    <w:rsid w:val="67812D0F"/>
    <w:rsid w:val="67E7C209"/>
    <w:rsid w:val="6869C107"/>
    <w:rsid w:val="68C86B89"/>
    <w:rsid w:val="691154D3"/>
    <w:rsid w:val="6983926A"/>
    <w:rsid w:val="699544D8"/>
    <w:rsid w:val="6A2E8576"/>
    <w:rsid w:val="6A5DB204"/>
    <w:rsid w:val="6A67F1E8"/>
    <w:rsid w:val="6ADDAF86"/>
    <w:rsid w:val="6ADDDB10"/>
    <w:rsid w:val="6AF88CAA"/>
    <w:rsid w:val="6B9AE2F1"/>
    <w:rsid w:val="6C48F595"/>
    <w:rsid w:val="6C57ADB0"/>
    <w:rsid w:val="6CCCE59A"/>
    <w:rsid w:val="6CD4F85B"/>
    <w:rsid w:val="6CEBC924"/>
    <w:rsid w:val="6D126E36"/>
    <w:rsid w:val="6FFFCEAC"/>
    <w:rsid w:val="70380304"/>
    <w:rsid w:val="70387C86"/>
    <w:rsid w:val="70A8537B"/>
    <w:rsid w:val="70C7A5ED"/>
    <w:rsid w:val="713DB7B2"/>
    <w:rsid w:val="719691D5"/>
    <w:rsid w:val="7246DEDC"/>
    <w:rsid w:val="725703D2"/>
    <w:rsid w:val="7299276A"/>
    <w:rsid w:val="72BE4414"/>
    <w:rsid w:val="72F8DBB5"/>
    <w:rsid w:val="72FDE768"/>
    <w:rsid w:val="738CCC79"/>
    <w:rsid w:val="73C88C0B"/>
    <w:rsid w:val="74B01E36"/>
    <w:rsid w:val="75702806"/>
    <w:rsid w:val="759331E3"/>
    <w:rsid w:val="75D2B469"/>
    <w:rsid w:val="760A60FE"/>
    <w:rsid w:val="764D5F14"/>
    <w:rsid w:val="766A02F8"/>
    <w:rsid w:val="7715D9E7"/>
    <w:rsid w:val="7717F4C0"/>
    <w:rsid w:val="774E92FA"/>
    <w:rsid w:val="77732FA6"/>
    <w:rsid w:val="7791759B"/>
    <w:rsid w:val="786CD353"/>
    <w:rsid w:val="787F6B2F"/>
    <w:rsid w:val="78CC7BC7"/>
    <w:rsid w:val="78F79D6F"/>
    <w:rsid w:val="7A618F7B"/>
    <w:rsid w:val="7B1BEF3C"/>
    <w:rsid w:val="7C9945FE"/>
    <w:rsid w:val="7CCE53C8"/>
    <w:rsid w:val="7D828D78"/>
    <w:rsid w:val="7D851B6B"/>
    <w:rsid w:val="7E0DEBE7"/>
    <w:rsid w:val="7E3678E3"/>
    <w:rsid w:val="7E9F3983"/>
    <w:rsid w:val="7EBB4065"/>
    <w:rsid w:val="7F47C1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1A1D26"/>
  <w15:docId w15:val="{FA719F5D-B8D3-43E5-8F34-072B26DC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CC"/>
    <w:rPr>
      <w:rFonts w:ascii="Calibri" w:eastAsia="Times New Roman" w:hAnsi="Calibri" w:cs="Times New Roman"/>
    </w:rPr>
  </w:style>
  <w:style w:type="paragraph" w:styleId="Heading1">
    <w:name w:val="heading 1"/>
    <w:basedOn w:val="Normal"/>
    <w:next w:val="Normal"/>
    <w:link w:val="Heading1Char"/>
    <w:uiPriority w:val="9"/>
    <w:qFormat/>
    <w:rsid w:val="00E017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17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C46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1DCC"/>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F81DCC"/>
    <w:rPr>
      <w:rFonts w:ascii="Times New Roman" w:eastAsia="Times New Roman" w:hAnsi="Times New Roman" w:cs="Times New Roman"/>
      <w:sz w:val="24"/>
      <w:szCs w:val="24"/>
    </w:rPr>
  </w:style>
  <w:style w:type="paragraph" w:styleId="Footer">
    <w:name w:val="footer"/>
    <w:basedOn w:val="Normal"/>
    <w:link w:val="FooterChar"/>
    <w:uiPriority w:val="99"/>
    <w:rsid w:val="00F81DCC"/>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F81DCC"/>
    <w:rPr>
      <w:rFonts w:ascii="Times New Roman" w:eastAsia="Times New Roman" w:hAnsi="Times New Roman" w:cs="Times New Roman"/>
      <w:sz w:val="24"/>
      <w:szCs w:val="24"/>
    </w:rPr>
  </w:style>
  <w:style w:type="paragraph" w:styleId="NoSpacing">
    <w:name w:val="No Spacing"/>
    <w:link w:val="NoSpacingChar"/>
    <w:uiPriority w:val="1"/>
    <w:qFormat/>
    <w:rsid w:val="00F81DCC"/>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locked/>
    <w:rsid w:val="00F81DCC"/>
    <w:rPr>
      <w:rFonts w:ascii="Calibri" w:eastAsia="Times New Roman" w:hAnsi="Calibri" w:cs="Times New Roman"/>
      <w:lang w:val="en-US"/>
    </w:rPr>
  </w:style>
  <w:style w:type="paragraph" w:styleId="FootnoteText">
    <w:name w:val="footnote text"/>
    <w:basedOn w:val="Normal"/>
    <w:link w:val="FootnoteTextChar"/>
    <w:uiPriority w:val="99"/>
    <w:rsid w:val="00F81DCC"/>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F81DCC"/>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F81DCC"/>
    <w:rPr>
      <w:rFonts w:cs="Times New Roman"/>
      <w:vertAlign w:val="superscript"/>
    </w:rPr>
  </w:style>
  <w:style w:type="paragraph" w:styleId="BalloonText">
    <w:name w:val="Balloon Text"/>
    <w:basedOn w:val="Normal"/>
    <w:link w:val="BalloonTextChar"/>
    <w:unhideWhenUsed/>
    <w:rsid w:val="00F81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81DCC"/>
    <w:rPr>
      <w:rFonts w:ascii="Tahoma" w:eastAsia="Times New Roman" w:hAnsi="Tahoma" w:cs="Tahoma"/>
      <w:sz w:val="16"/>
      <w:szCs w:val="16"/>
    </w:rPr>
  </w:style>
  <w:style w:type="character" w:styleId="Hyperlink">
    <w:name w:val="Hyperlink"/>
    <w:basedOn w:val="DefaultParagraphFont"/>
    <w:uiPriority w:val="99"/>
    <w:rsid w:val="00F81DCC"/>
    <w:rPr>
      <w:rFonts w:cs="Times New Roman"/>
      <w:color w:val="0000FF"/>
      <w:u w:val="single"/>
    </w:rPr>
  </w:style>
  <w:style w:type="paragraph" w:customStyle="1" w:styleId="Default">
    <w:name w:val="Default"/>
    <w:rsid w:val="00F81DCC"/>
    <w:pPr>
      <w:autoSpaceDE w:val="0"/>
      <w:autoSpaceDN w:val="0"/>
      <w:adjustRightInd w:val="0"/>
      <w:spacing w:after="0" w:line="240" w:lineRule="auto"/>
    </w:pPr>
    <w:rPr>
      <w:rFonts w:ascii="Calibri" w:eastAsia="Times New Roman" w:hAnsi="Calibri" w:cs="Calibri"/>
      <w:color w:val="000000"/>
      <w:sz w:val="24"/>
      <w:szCs w:val="24"/>
      <w:lang w:eastAsia="en-AU"/>
    </w:rPr>
  </w:style>
  <w:style w:type="table" w:styleId="TableGrid">
    <w:name w:val="Table Grid"/>
    <w:basedOn w:val="TableNormal"/>
    <w:uiPriority w:val="39"/>
    <w:rsid w:val="009047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41176F"/>
    <w:pPr>
      <w:ind w:left="720"/>
      <w:contextualSpacing/>
    </w:pPr>
  </w:style>
  <w:style w:type="paragraph" w:styleId="PlainText">
    <w:name w:val="Plain Text"/>
    <w:basedOn w:val="Normal"/>
    <w:link w:val="PlainTextChar"/>
    <w:uiPriority w:val="99"/>
    <w:unhideWhenUsed/>
    <w:rsid w:val="006A2F8D"/>
    <w:pPr>
      <w:spacing w:after="0" w:line="240" w:lineRule="auto"/>
    </w:pPr>
    <w:rPr>
      <w:rFonts w:ascii="Consolas" w:eastAsiaTheme="minorHAnsi" w:hAnsi="Consolas" w:cs="Consolas"/>
      <w:sz w:val="21"/>
      <w:szCs w:val="21"/>
      <w:lang w:eastAsia="en-AU"/>
    </w:rPr>
  </w:style>
  <w:style w:type="character" w:customStyle="1" w:styleId="PlainTextChar">
    <w:name w:val="Plain Text Char"/>
    <w:basedOn w:val="DefaultParagraphFont"/>
    <w:link w:val="PlainText"/>
    <w:uiPriority w:val="99"/>
    <w:rsid w:val="006A2F8D"/>
    <w:rPr>
      <w:rFonts w:ascii="Consolas" w:hAnsi="Consolas" w:cs="Consolas"/>
      <w:sz w:val="21"/>
      <w:szCs w:val="21"/>
      <w:lang w:eastAsia="en-AU"/>
    </w:rPr>
  </w:style>
  <w:style w:type="character" w:customStyle="1" w:styleId="Heading1Char">
    <w:name w:val="Heading 1 Char"/>
    <w:basedOn w:val="DefaultParagraphFont"/>
    <w:link w:val="Heading1"/>
    <w:uiPriority w:val="9"/>
    <w:rsid w:val="00E017E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17E5"/>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BC47C3"/>
    <w:pPr>
      <w:spacing w:line="259" w:lineRule="auto"/>
      <w:outlineLvl w:val="9"/>
    </w:pPr>
    <w:rPr>
      <w:lang w:val="en-US"/>
    </w:rPr>
  </w:style>
  <w:style w:type="paragraph" w:styleId="TOC1">
    <w:name w:val="toc 1"/>
    <w:basedOn w:val="Normal"/>
    <w:next w:val="Normal"/>
    <w:autoRedefine/>
    <w:uiPriority w:val="39"/>
    <w:unhideWhenUsed/>
    <w:rsid w:val="0080151D"/>
    <w:pPr>
      <w:tabs>
        <w:tab w:val="right" w:pos="9737"/>
      </w:tabs>
      <w:spacing w:before="360" w:after="120" w:line="240" w:lineRule="auto"/>
    </w:pPr>
    <w:rPr>
      <w:rFonts w:asciiTheme="majorHAnsi" w:hAnsiTheme="majorHAnsi"/>
      <w:b/>
      <w:bCs/>
      <w:caps/>
      <w:sz w:val="24"/>
      <w:szCs w:val="24"/>
    </w:rPr>
  </w:style>
  <w:style w:type="paragraph" w:styleId="TOC2">
    <w:name w:val="toc 2"/>
    <w:basedOn w:val="Normal"/>
    <w:next w:val="Normal"/>
    <w:autoRedefine/>
    <w:uiPriority w:val="39"/>
    <w:unhideWhenUsed/>
    <w:rsid w:val="00C06C81"/>
    <w:pPr>
      <w:tabs>
        <w:tab w:val="right" w:pos="9737"/>
      </w:tabs>
      <w:spacing w:after="120" w:line="240" w:lineRule="auto"/>
    </w:pPr>
    <w:rPr>
      <w:rFonts w:asciiTheme="minorHAnsi" w:hAnsiTheme="minorHAnsi" w:cstheme="minorHAnsi"/>
      <w:b/>
      <w:bCs/>
      <w:sz w:val="20"/>
      <w:szCs w:val="20"/>
    </w:rPr>
  </w:style>
  <w:style w:type="paragraph" w:styleId="TOC3">
    <w:name w:val="toc 3"/>
    <w:basedOn w:val="Normal"/>
    <w:next w:val="Normal"/>
    <w:autoRedefine/>
    <w:uiPriority w:val="39"/>
    <w:unhideWhenUsed/>
    <w:rsid w:val="00DB5202"/>
    <w:pPr>
      <w:spacing w:after="0"/>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DB5202"/>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DB5202"/>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DB5202"/>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DB5202"/>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DB5202"/>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DB5202"/>
    <w:pPr>
      <w:spacing w:after="0"/>
      <w:ind w:left="1540"/>
    </w:pPr>
    <w:rPr>
      <w:rFonts w:asciiTheme="minorHAnsi" w:hAnsiTheme="minorHAnsi" w:cstheme="minorHAnsi"/>
      <w:sz w:val="20"/>
      <w:szCs w:val="20"/>
    </w:rPr>
  </w:style>
  <w:style w:type="table" w:customStyle="1" w:styleId="GridTable5Dark-Accent11">
    <w:name w:val="Grid Table 5 Dark - Accent 11"/>
    <w:basedOn w:val="TableNormal"/>
    <w:uiPriority w:val="50"/>
    <w:rsid w:val="00837E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6Colorful-Accent61">
    <w:name w:val="Grid Table 6 Colorful - Accent 61"/>
    <w:basedOn w:val="TableNormal"/>
    <w:uiPriority w:val="51"/>
    <w:rsid w:val="00837E5A"/>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1">
    <w:name w:val="Grid Table 6 Colorful1"/>
    <w:basedOn w:val="TableNormal"/>
    <w:uiPriority w:val="51"/>
    <w:rsid w:val="00406E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406E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semiHidden/>
    <w:rsid w:val="000B7EB0"/>
  </w:style>
  <w:style w:type="character" w:customStyle="1" w:styleId="apple-converted-space">
    <w:name w:val="apple-converted-space"/>
    <w:basedOn w:val="DefaultParagraphFont"/>
    <w:rsid w:val="000B7EB0"/>
  </w:style>
  <w:style w:type="character" w:styleId="FollowedHyperlink">
    <w:name w:val="FollowedHyperlink"/>
    <w:rsid w:val="000B7EB0"/>
    <w:rPr>
      <w:color w:val="800080"/>
      <w:u w:val="single"/>
    </w:rPr>
  </w:style>
  <w:style w:type="paragraph" w:customStyle="1" w:styleId="NHPOPCbullet1">
    <w:name w:val="NHPOPC bullet 1"/>
    <w:basedOn w:val="Normal"/>
    <w:qFormat/>
    <w:rsid w:val="005B55E3"/>
    <w:pPr>
      <w:numPr>
        <w:numId w:val="1"/>
      </w:numPr>
      <w:spacing w:after="40" w:line="270" w:lineRule="atLeast"/>
    </w:pPr>
    <w:rPr>
      <w:rFonts w:ascii="Arial" w:eastAsia="Times" w:hAnsi="Arial"/>
      <w:sz w:val="20"/>
      <w:szCs w:val="20"/>
    </w:rPr>
  </w:style>
  <w:style w:type="paragraph" w:customStyle="1" w:styleId="NHPOPCbullet2">
    <w:name w:val="NHPOPC bullet 2"/>
    <w:basedOn w:val="Normal"/>
    <w:uiPriority w:val="2"/>
    <w:qFormat/>
    <w:rsid w:val="005B55E3"/>
    <w:pPr>
      <w:numPr>
        <w:ilvl w:val="2"/>
        <w:numId w:val="1"/>
      </w:numPr>
      <w:spacing w:after="40" w:line="270" w:lineRule="atLeast"/>
    </w:pPr>
    <w:rPr>
      <w:rFonts w:ascii="Arial" w:eastAsia="Times" w:hAnsi="Arial"/>
      <w:sz w:val="20"/>
      <w:szCs w:val="20"/>
    </w:rPr>
  </w:style>
  <w:style w:type="paragraph" w:customStyle="1" w:styleId="NHPOPCtablebullet">
    <w:name w:val="NHPOPC table bullet"/>
    <w:basedOn w:val="Normal"/>
    <w:uiPriority w:val="3"/>
    <w:qFormat/>
    <w:rsid w:val="005B55E3"/>
    <w:pPr>
      <w:numPr>
        <w:ilvl w:val="6"/>
        <w:numId w:val="1"/>
      </w:numPr>
      <w:spacing w:before="80" w:after="60" w:line="240" w:lineRule="auto"/>
    </w:pPr>
    <w:rPr>
      <w:rFonts w:ascii="Arial" w:hAnsi="Arial"/>
      <w:sz w:val="20"/>
      <w:szCs w:val="20"/>
    </w:rPr>
  </w:style>
  <w:style w:type="paragraph" w:customStyle="1" w:styleId="NHPOPCbulletindent">
    <w:name w:val="NHPOPC bullet indent"/>
    <w:basedOn w:val="Normal"/>
    <w:uiPriority w:val="4"/>
    <w:rsid w:val="005B55E3"/>
    <w:pPr>
      <w:numPr>
        <w:ilvl w:val="4"/>
        <w:numId w:val="1"/>
      </w:numPr>
      <w:spacing w:after="40" w:line="270" w:lineRule="atLeast"/>
    </w:pPr>
    <w:rPr>
      <w:rFonts w:ascii="Arial" w:eastAsia="Times" w:hAnsi="Arial"/>
      <w:sz w:val="20"/>
      <w:szCs w:val="20"/>
    </w:rPr>
  </w:style>
  <w:style w:type="paragraph" w:customStyle="1" w:styleId="NHPOPCbullet1lastline">
    <w:name w:val="NHPOPC bullet 1 last line"/>
    <w:basedOn w:val="NHPOPCbullet1"/>
    <w:qFormat/>
    <w:rsid w:val="005B55E3"/>
    <w:pPr>
      <w:numPr>
        <w:ilvl w:val="1"/>
      </w:numPr>
      <w:spacing w:after="120"/>
    </w:pPr>
  </w:style>
  <w:style w:type="paragraph" w:customStyle="1" w:styleId="NHPOPCbullet2lastline">
    <w:name w:val="NHPOPC bullet 2 last line"/>
    <w:basedOn w:val="NHPOPCbullet2"/>
    <w:uiPriority w:val="2"/>
    <w:qFormat/>
    <w:rsid w:val="005B55E3"/>
    <w:pPr>
      <w:numPr>
        <w:ilvl w:val="3"/>
      </w:numPr>
      <w:spacing w:after="120"/>
    </w:pPr>
  </w:style>
  <w:style w:type="numbering" w:customStyle="1" w:styleId="ZZBullets">
    <w:name w:val="ZZ Bullets"/>
    <w:rsid w:val="005B55E3"/>
    <w:pPr>
      <w:numPr>
        <w:numId w:val="1"/>
      </w:numPr>
    </w:pPr>
  </w:style>
  <w:style w:type="paragraph" w:customStyle="1" w:styleId="NHPOPCbulletindentlastline">
    <w:name w:val="NHPOPC bullet indent last line"/>
    <w:basedOn w:val="Normal"/>
    <w:uiPriority w:val="4"/>
    <w:rsid w:val="005B55E3"/>
    <w:pPr>
      <w:numPr>
        <w:ilvl w:val="5"/>
        <w:numId w:val="1"/>
      </w:numPr>
      <w:spacing w:after="120" w:line="270" w:lineRule="atLeast"/>
    </w:pPr>
    <w:rPr>
      <w:rFonts w:ascii="Arial" w:eastAsia="Times" w:hAnsi="Arial"/>
      <w:sz w:val="20"/>
      <w:szCs w:val="20"/>
    </w:rPr>
  </w:style>
  <w:style w:type="numbering" w:customStyle="1" w:styleId="ZZBullets1">
    <w:name w:val="ZZ Bullets1"/>
    <w:rsid w:val="000010AF"/>
  </w:style>
  <w:style w:type="numbering" w:customStyle="1" w:styleId="ZZBullets2">
    <w:name w:val="ZZ Bullets2"/>
    <w:rsid w:val="004D48E9"/>
  </w:style>
  <w:style w:type="paragraph" w:styleId="NormalWeb">
    <w:name w:val="Normal (Web)"/>
    <w:basedOn w:val="Normal"/>
    <w:uiPriority w:val="99"/>
    <w:unhideWhenUsed/>
    <w:rsid w:val="00493B20"/>
    <w:pPr>
      <w:spacing w:after="150" w:line="240" w:lineRule="auto"/>
    </w:pPr>
    <w:rPr>
      <w:rFonts w:ascii="Times New Roman" w:hAnsi="Times New Roman"/>
      <w:sz w:val="24"/>
      <w:szCs w:val="24"/>
      <w:lang w:eastAsia="en-AU"/>
    </w:rPr>
  </w:style>
  <w:style w:type="character" w:styleId="Mention">
    <w:name w:val="Mention"/>
    <w:basedOn w:val="DefaultParagraphFont"/>
    <w:uiPriority w:val="99"/>
    <w:semiHidden/>
    <w:unhideWhenUsed/>
    <w:rsid w:val="00D151A3"/>
    <w:rPr>
      <w:color w:val="2B579A"/>
      <w:shd w:val="clear" w:color="auto" w:fill="E6E6E6"/>
    </w:rPr>
  </w:style>
  <w:style w:type="character" w:styleId="UnresolvedMention">
    <w:name w:val="Unresolved Mention"/>
    <w:basedOn w:val="DefaultParagraphFont"/>
    <w:uiPriority w:val="99"/>
    <w:semiHidden/>
    <w:unhideWhenUsed/>
    <w:rsid w:val="00A9181F"/>
    <w:rPr>
      <w:color w:val="808080"/>
      <w:shd w:val="clear" w:color="auto" w:fill="E6E6E6"/>
    </w:rPr>
  </w:style>
  <w:style w:type="character" w:customStyle="1" w:styleId="Heading3Char">
    <w:name w:val="Heading 3 Char"/>
    <w:basedOn w:val="DefaultParagraphFont"/>
    <w:link w:val="Heading3"/>
    <w:uiPriority w:val="9"/>
    <w:rsid w:val="003C4603"/>
    <w:rPr>
      <w:rFonts w:asciiTheme="majorHAnsi" w:eastAsiaTheme="majorEastAsia" w:hAnsiTheme="majorHAnsi" w:cstheme="majorBidi"/>
      <w:color w:val="243F60" w:themeColor="accent1" w:themeShade="7F"/>
      <w:sz w:val="24"/>
      <w:szCs w:val="24"/>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rPr>
      <w:b/>
      <w:bCs/>
    </w:rPr>
  </w:style>
  <w:style w:type="table" w:styleId="GridTable6Colorful-Accent5">
    <w:name w:val="Grid Table 6 Colorful Accent 5"/>
    <w:basedOn w:val="TableNormal"/>
    <w:uiPriority w:val="51"/>
    <w:rsid w:val="00E15A5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1B3BE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Subtitle">
    <w:name w:val="Subtitle"/>
    <w:basedOn w:val="Normal"/>
    <w:next w:val="Normal"/>
    <w:link w:val="SubtitleChar"/>
    <w:uiPriority w:val="11"/>
    <w:qFormat/>
    <w:rsid w:val="00A27C4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27C40"/>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F1655"/>
    <w:rPr>
      <w:sz w:val="16"/>
      <w:szCs w:val="16"/>
    </w:rPr>
  </w:style>
  <w:style w:type="paragraph" w:styleId="CommentText">
    <w:name w:val="annotation text"/>
    <w:basedOn w:val="Normal"/>
    <w:link w:val="CommentTextChar"/>
    <w:uiPriority w:val="99"/>
    <w:unhideWhenUsed/>
    <w:rsid w:val="000F1655"/>
    <w:pPr>
      <w:spacing w:line="240" w:lineRule="auto"/>
    </w:pPr>
    <w:rPr>
      <w:sz w:val="20"/>
      <w:szCs w:val="20"/>
    </w:rPr>
  </w:style>
  <w:style w:type="character" w:customStyle="1" w:styleId="CommentTextChar">
    <w:name w:val="Comment Text Char"/>
    <w:basedOn w:val="DefaultParagraphFont"/>
    <w:link w:val="CommentText"/>
    <w:uiPriority w:val="99"/>
    <w:rsid w:val="000F165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1655"/>
    <w:rPr>
      <w:b/>
      <w:bCs/>
    </w:rPr>
  </w:style>
  <w:style w:type="character" w:customStyle="1" w:styleId="CommentSubjectChar">
    <w:name w:val="Comment Subject Char"/>
    <w:basedOn w:val="CommentTextChar"/>
    <w:link w:val="CommentSubject"/>
    <w:uiPriority w:val="99"/>
    <w:semiHidden/>
    <w:rsid w:val="000F1655"/>
    <w:rPr>
      <w:rFonts w:ascii="Calibri" w:eastAsia="Times New Roman" w:hAnsi="Calibri" w:cs="Times New Roman"/>
      <w:b/>
      <w:bCs/>
      <w:sz w:val="20"/>
      <w:szCs w:val="20"/>
    </w:rPr>
  </w:style>
  <w:style w:type="paragraph" w:styleId="Revision">
    <w:name w:val="Revision"/>
    <w:hidden/>
    <w:uiPriority w:val="99"/>
    <w:semiHidden/>
    <w:rsid w:val="001559D9"/>
    <w:pPr>
      <w:spacing w:after="0" w:line="240" w:lineRule="auto"/>
    </w:pPr>
    <w:rPr>
      <w:rFonts w:ascii="Calibri" w:eastAsia="Times New Roman" w:hAnsi="Calibri" w:cs="Times New Roman"/>
    </w:rPr>
  </w:style>
  <w:style w:type="paragraph" w:styleId="BodyText">
    <w:name w:val="Body Text"/>
    <w:basedOn w:val="Normal"/>
    <w:link w:val="BodyTextChar"/>
    <w:uiPriority w:val="1"/>
    <w:qFormat/>
    <w:rsid w:val="008A2FF2"/>
    <w:pPr>
      <w:widowControl w:val="0"/>
      <w:autoSpaceDE w:val="0"/>
      <w:autoSpaceDN w:val="0"/>
      <w:spacing w:after="0" w:line="240" w:lineRule="auto"/>
    </w:pPr>
    <w:rPr>
      <w:rFonts w:ascii="Century Gothic" w:eastAsia="Century Gothic" w:hAnsi="Century Gothic" w:cs="Century Gothic"/>
      <w:sz w:val="18"/>
      <w:szCs w:val="18"/>
      <w:lang w:val="en-US"/>
    </w:rPr>
  </w:style>
  <w:style w:type="character" w:customStyle="1" w:styleId="BodyTextChar">
    <w:name w:val="Body Text Char"/>
    <w:basedOn w:val="DefaultParagraphFont"/>
    <w:link w:val="BodyText"/>
    <w:uiPriority w:val="1"/>
    <w:rsid w:val="008A2FF2"/>
    <w:rPr>
      <w:rFonts w:ascii="Century Gothic" w:eastAsia="Century Gothic" w:hAnsi="Century Gothic" w:cs="Century Gothic"/>
      <w:sz w:val="18"/>
      <w:szCs w:val="18"/>
      <w:lang w:val="en-US"/>
    </w:rPr>
  </w:style>
  <w:style w:type="paragraph" w:customStyle="1" w:styleId="TableParagraph">
    <w:name w:val="Table Paragraph"/>
    <w:basedOn w:val="Normal"/>
    <w:uiPriority w:val="1"/>
    <w:qFormat/>
    <w:rsid w:val="008A2FF2"/>
    <w:pPr>
      <w:widowControl w:val="0"/>
      <w:autoSpaceDE w:val="0"/>
      <w:autoSpaceDN w:val="0"/>
      <w:spacing w:after="0" w:line="247" w:lineRule="exact"/>
    </w:pPr>
    <w:rPr>
      <w:rFonts w:eastAsia="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099608">
      <w:bodyDiv w:val="1"/>
      <w:marLeft w:val="0"/>
      <w:marRight w:val="0"/>
      <w:marTop w:val="0"/>
      <w:marBottom w:val="0"/>
      <w:divBdr>
        <w:top w:val="none" w:sz="0" w:space="0" w:color="auto"/>
        <w:left w:val="none" w:sz="0" w:space="0" w:color="auto"/>
        <w:bottom w:val="none" w:sz="0" w:space="0" w:color="auto"/>
        <w:right w:val="none" w:sz="0" w:space="0" w:color="auto"/>
      </w:divBdr>
    </w:div>
    <w:div w:id="160414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https://consultations.ag.gov.au/rights-and-protections/privacy-act-review-discussion-paper/" TargetMode="External"/><Relationship Id="rId42" Type="http://schemas.openxmlformats.org/officeDocument/2006/relationships/hyperlink" Target="https://content.legislation.vic.gov.au/sites/default/files/28ad6e97-8912-3602-a1cc-feb18c112f4f_10-69aa012%20authorised.pdf" TargetMode="External"/><Relationship Id="rId47" Type="http://schemas.openxmlformats.org/officeDocument/2006/relationships/header" Target="header8.xml"/><Relationship Id="rId63" Type="http://schemas.openxmlformats.org/officeDocument/2006/relationships/hyperlink" Target="http://www.thelaw.tas.gov.au/" TargetMode="External"/><Relationship Id="rId68" Type="http://schemas.openxmlformats.org/officeDocument/2006/relationships/header" Target="header13.xml"/><Relationship Id="rId84" Type="http://schemas.openxmlformats.org/officeDocument/2006/relationships/image" Target="media/image8.png"/><Relationship Id="rId89" Type="http://schemas.openxmlformats.org/officeDocument/2006/relationships/footer" Target="footer10.xml"/><Relationship Id="rId16" Type="http://schemas.openxmlformats.org/officeDocument/2006/relationships/image" Target="media/image1.wmf"/><Relationship Id="rId11" Type="http://schemas.openxmlformats.org/officeDocument/2006/relationships/endnotes" Target="endnotes.xml"/><Relationship Id="rId32" Type="http://schemas.openxmlformats.org/officeDocument/2006/relationships/image" Target="media/image5.jpeg"/><Relationship Id="rId37" Type="http://schemas.openxmlformats.org/officeDocument/2006/relationships/hyperlink" Target="https://content.legislation.vic.gov.au/sites/default/files/28ad6e97-8912-3602-a1cc-feb18c112f4f_10-69aa012%20authorised.pdf" TargetMode="External"/><Relationship Id="rId53" Type="http://schemas.openxmlformats.org/officeDocument/2006/relationships/hyperlink" Target="https://content.legislation.vic.gov.au/sites/default/files/28ad6e97-8912-3602-a1cc-feb18c112f4f_10-69aa012%20authorised.pdf" TargetMode="External"/><Relationship Id="rId58" Type="http://schemas.openxmlformats.org/officeDocument/2006/relationships/hyperlink" Target="https://legislation.nt.gov.au/en/Bills/Education-and-Care-Services-National-Uniform-Legislation-Bill-2011?format=assented" TargetMode="External"/><Relationship Id="rId74" Type="http://schemas.openxmlformats.org/officeDocument/2006/relationships/header" Target="header16.xml"/><Relationship Id="rId79" Type="http://schemas.openxmlformats.org/officeDocument/2006/relationships/header" Target="header19.xml"/><Relationship Id="rId5" Type="http://schemas.openxmlformats.org/officeDocument/2006/relationships/customXml" Target="../customXml/item5.xml"/><Relationship Id="rId90" Type="http://schemas.openxmlformats.org/officeDocument/2006/relationships/header" Target="header26.xml"/><Relationship Id="rId95" Type="http://schemas.microsoft.com/office/2020/10/relationships/intelligence" Target="intelligence2.xml"/><Relationship Id="rId22" Type="http://schemas.openxmlformats.org/officeDocument/2006/relationships/hyperlink" Target="https://www.legislation.gov.au/Details/F2019L00348" TargetMode="External"/><Relationship Id="rId27" Type="http://schemas.openxmlformats.org/officeDocument/2006/relationships/header" Target="header3.xml"/><Relationship Id="rId43" Type="http://schemas.openxmlformats.org/officeDocument/2006/relationships/hyperlink" Target="http://www.thelaw.tas.gov.au/" TargetMode="External"/><Relationship Id="rId48" Type="http://schemas.openxmlformats.org/officeDocument/2006/relationships/header" Target="header9.xml"/><Relationship Id="rId64" Type="http://schemas.openxmlformats.org/officeDocument/2006/relationships/hyperlink" Target="https://content.legislation.vic.gov.au/sites/default/files/28ad6e97-8912-3602-a1cc-feb18c112f4f_10-69aa012%20authorised.pdf" TargetMode="External"/><Relationship Id="rId69"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hyperlink" Target="https://www.oaic.gov.au" TargetMode="External"/><Relationship Id="rId72" Type="http://schemas.openxmlformats.org/officeDocument/2006/relationships/header" Target="header15.xml"/><Relationship Id="rId80" Type="http://schemas.openxmlformats.org/officeDocument/2006/relationships/header" Target="header20.xml"/><Relationship Id="rId85" Type="http://schemas.openxmlformats.org/officeDocument/2006/relationships/image" Target="media/image9.png"/><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4.xml"/><Relationship Id="rId33" Type="http://schemas.openxmlformats.org/officeDocument/2006/relationships/hyperlink" Target="https://content.legislation.vic.gov.au/sites/default/files/28ad6e97-8912-3602-a1cc-feb18c112f4f_10-69aa012%20authorised.pdf" TargetMode="External"/><Relationship Id="rId38" Type="http://schemas.openxmlformats.org/officeDocument/2006/relationships/hyperlink" Target="https://legislation.nt.gov.au/en/Bills/Education-and-Care-Services-National-Uniform-Legislation-Bill-2011?format=assented" TargetMode="External"/><Relationship Id="rId46" Type="http://schemas.openxmlformats.org/officeDocument/2006/relationships/header" Target="header7.xml"/><Relationship Id="rId59" Type="http://schemas.openxmlformats.org/officeDocument/2006/relationships/hyperlink" Target="https://content.legislation.vic.gov.au/sites/default/files/28ad6e97-8912-3602-a1cc-feb18c112f4f_10-69aa012%20authorised.pdf" TargetMode="External"/><Relationship Id="rId67" Type="http://schemas.openxmlformats.org/officeDocument/2006/relationships/header" Target="header12.xml"/><Relationship Id="rId20" Type="http://schemas.openxmlformats.org/officeDocument/2006/relationships/footer" Target="footer3.xml"/><Relationship Id="rId41" Type="http://schemas.openxmlformats.org/officeDocument/2006/relationships/hyperlink" Target="https://www.legislation.sa.gov.au/LZ/C/A/EDUCATION%20AND%20EARLY%20CHILDHOOD%20SERVICES%20(REGISTRATION%20AND%20STANDARDS)%20ACT%202011.aspx" TargetMode="External"/><Relationship Id="rId54" Type="http://schemas.openxmlformats.org/officeDocument/2006/relationships/hyperlink" Target="http://www.legislation.act.gov.au/a/2011-42/default.asp" TargetMode="External"/><Relationship Id="rId62" Type="http://schemas.openxmlformats.org/officeDocument/2006/relationships/hyperlink" Target="https://content.legislation.vic.gov.au/sites/default/files/28ad6e97-8912-3602-a1cc-feb18c112f4f_10-69aa012%20authorised.pdf" TargetMode="External"/><Relationship Id="rId70" Type="http://schemas.openxmlformats.org/officeDocument/2006/relationships/hyperlink" Target="https://www.oaic.gov.au/freedom-of-information/foi-guidelines/" TargetMode="External"/><Relationship Id="rId75" Type="http://schemas.openxmlformats.org/officeDocument/2006/relationships/header" Target="header17.xml"/><Relationship Id="rId83" Type="http://schemas.openxmlformats.org/officeDocument/2006/relationships/header" Target="header22.xml"/><Relationship Id="rId88" Type="http://schemas.openxmlformats.org/officeDocument/2006/relationships/header" Target="header25.xml"/><Relationship Id="rId9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necsopic.edu.au/" TargetMode="External"/><Relationship Id="rId28" Type="http://schemas.openxmlformats.org/officeDocument/2006/relationships/header" Target="header4.xml"/><Relationship Id="rId36" Type="http://schemas.openxmlformats.org/officeDocument/2006/relationships/hyperlink" Target="http://www.legislation.nsw.gov.au/" TargetMode="External"/><Relationship Id="rId49" Type="http://schemas.openxmlformats.org/officeDocument/2006/relationships/footer" Target="footer7.xml"/><Relationship Id="rId57" Type="http://schemas.openxmlformats.org/officeDocument/2006/relationships/hyperlink" Target="https://content.legislation.vic.gov.au/sites/default/files/28ad6e97-8912-3602-a1cc-feb18c112f4f_10-69aa012%20authorised.pdf" TargetMode="External"/><Relationship Id="rId10" Type="http://schemas.openxmlformats.org/officeDocument/2006/relationships/footnotes" Target="footnotes.xml"/><Relationship Id="rId31" Type="http://schemas.openxmlformats.org/officeDocument/2006/relationships/footer" Target="footer6.xml"/><Relationship Id="rId44" Type="http://schemas.openxmlformats.org/officeDocument/2006/relationships/hyperlink" Target="https://content.legislation.vic.gov.au/sites/default/files/28ad6e97-8912-3602-a1cc-feb18c112f4f_10-69aa012%20authorised.pdf" TargetMode="External"/><Relationship Id="rId52" Type="http://schemas.openxmlformats.org/officeDocument/2006/relationships/header" Target="header10.xml"/><Relationship Id="rId60" Type="http://schemas.openxmlformats.org/officeDocument/2006/relationships/hyperlink" Target="https://www.legislation.qld.gov.au/LEGISLTN/CURRENT/E/EduCareServNLawQ.pdf" TargetMode="External"/><Relationship Id="rId65" Type="http://schemas.openxmlformats.org/officeDocument/2006/relationships/hyperlink" Target="https://www.slp.wa.gov.au/legislation/statutes.nsf/main_mrtitle_12929_currencies.html" TargetMode="External"/><Relationship Id="rId73" Type="http://schemas.openxmlformats.org/officeDocument/2006/relationships/image" Target="media/image6.jpeg"/><Relationship Id="rId78" Type="http://schemas.openxmlformats.org/officeDocument/2006/relationships/hyperlink" Target="http://www.necopic.edu.au" TargetMode="External"/><Relationship Id="rId81" Type="http://schemas.openxmlformats.org/officeDocument/2006/relationships/image" Target="media/image7.jpeg"/><Relationship Id="rId86" Type="http://schemas.openxmlformats.org/officeDocument/2006/relationships/header" Target="header23.xm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39" Type="http://schemas.openxmlformats.org/officeDocument/2006/relationships/hyperlink" Target="https://content.legislation.vic.gov.au/sites/default/files/28ad6e97-8912-3602-a1cc-feb18c112f4f_10-69aa012%20authorised.pdf" TargetMode="External"/><Relationship Id="rId34" Type="http://schemas.openxmlformats.org/officeDocument/2006/relationships/hyperlink" Target="http://www.legislation.act.gov.au/a/2011-42/default.asp" TargetMode="External"/><Relationship Id="rId50" Type="http://schemas.openxmlformats.org/officeDocument/2006/relationships/hyperlink" Target="https://www.oaic.gov.au/privacy/australian-privacy-principles-guidelines/" TargetMode="External"/><Relationship Id="rId55" Type="http://schemas.openxmlformats.org/officeDocument/2006/relationships/hyperlink" Target="https://content.legislation.vic.gov.au/sites/default/files/28ad6e97-8912-3602-a1cc-feb18c112f4f_10-69aa012%20authorised.pdf" TargetMode="External"/><Relationship Id="rId76" Type="http://schemas.openxmlformats.org/officeDocument/2006/relationships/header" Target="header18.xml"/><Relationship Id="rId7" Type="http://schemas.openxmlformats.org/officeDocument/2006/relationships/styles" Target="styles.xml"/><Relationship Id="rId71" Type="http://schemas.openxmlformats.org/officeDocument/2006/relationships/header" Target="header14.xml"/><Relationship Id="rId92" Type="http://schemas.openxmlformats.org/officeDocument/2006/relationships/header" Target="header28.xml"/><Relationship Id="rId2" Type="http://schemas.openxmlformats.org/officeDocument/2006/relationships/customXml" Target="../customXml/item2.xml"/><Relationship Id="rId29" Type="http://schemas.openxmlformats.org/officeDocument/2006/relationships/header" Target="header5.xml"/><Relationship Id="rId24" Type="http://schemas.openxmlformats.org/officeDocument/2006/relationships/hyperlink" Target="http://www.necsopic.edu.au/" TargetMode="External"/><Relationship Id="rId40" Type="http://schemas.openxmlformats.org/officeDocument/2006/relationships/hyperlink" Target="https://www.legislation.qld.gov.au/LEGISLTN/CURRENT/E/EduCareServNLawQ.pdf" TargetMode="External"/><Relationship Id="rId45" Type="http://schemas.openxmlformats.org/officeDocument/2006/relationships/hyperlink" Target="https://www.slp.wa.gov.au/legislation/statutes.nsf/main_mrtitle_12929_currencies.html" TargetMode="External"/><Relationship Id="rId66" Type="http://schemas.openxmlformats.org/officeDocument/2006/relationships/header" Target="header11.xml"/><Relationship Id="rId87" Type="http://schemas.openxmlformats.org/officeDocument/2006/relationships/header" Target="header24.xml"/><Relationship Id="rId61" Type="http://schemas.openxmlformats.org/officeDocument/2006/relationships/hyperlink" Target="https://www.legislation.sa.gov.au/LZ/C/A/EDUCATION%20AND%20EARLY%20CHILDHOOD%20SERVICES%20(REGISTRATION%20AND%20STANDARDS)%20ACT%202011.aspx" TargetMode="External"/><Relationship Id="rId82" Type="http://schemas.openxmlformats.org/officeDocument/2006/relationships/header" Target="header21.xml"/><Relationship Id="rId19" Type="http://schemas.openxmlformats.org/officeDocument/2006/relationships/image" Target="media/image4.emf"/><Relationship Id="rId14" Type="http://schemas.openxmlformats.org/officeDocument/2006/relationships/footer" Target="footer1.xml"/><Relationship Id="rId30" Type="http://schemas.openxmlformats.org/officeDocument/2006/relationships/header" Target="header6.xml"/><Relationship Id="rId35" Type="http://schemas.openxmlformats.org/officeDocument/2006/relationships/hyperlink" Target="https://content.legislation.vic.gov.au/sites/default/files/28ad6e97-8912-3602-a1cc-feb18c112f4f_10-69aa012%20authorised.pdf" TargetMode="External"/><Relationship Id="rId56" Type="http://schemas.openxmlformats.org/officeDocument/2006/relationships/hyperlink" Target="http://www.legislation.nsw.gov.au/" TargetMode="External"/><Relationship Id="rId77" Type="http://schemas.openxmlformats.org/officeDocument/2006/relationships/footer" Target="footer9.xml"/></Relationships>
</file>

<file path=word/_rels/header24.xml.rels><?xml version="1.0" encoding="UTF-8" standalone="yes"?>
<Relationships xmlns="http://schemas.openxmlformats.org/package/2006/relationships"><Relationship Id="rId1" Type="http://schemas.openxmlformats.org/officeDocument/2006/relationships/image" Target="media/image10.png"/></Relationships>
</file>

<file path=word/_rels/header25.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2022–2023</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1" ma:contentTypeDescription="Create a new document." ma:contentTypeScope="" ma:versionID="251f9232299a8d5cc8f8ccfa443bb2ae">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42406e58d85bc1f47ce32f519df5a50a"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f4485f1-0608-40f2-b649-7dde6654a8bf">
      <Terms xmlns="http://schemas.microsoft.com/office/infopath/2007/PartnerControls"/>
    </lcf76f155ced4ddcb4097134ff3c332f>
    <TaxCatchAll xmlns="60988540-e91d-41bb-b7bc-24ab8c39df10" xsi:nil="true"/>
    <SharedWithUsers xmlns="60988540-e91d-41bb-b7bc-24ab8c39df10">
      <UserInfo>
        <DisplayName>Jackie Wilson</DisplayName>
        <AccountId>35</AccountId>
        <AccountType/>
      </UserInfo>
      <UserInfo>
        <DisplayName>Chris Matthies</DisplayName>
        <AccountId>34</AccountId>
        <AccountType/>
      </UserInfo>
    </SharedWithUsers>
    <Summary xmlns="5f4485f1-0608-40f2-b649-7dde6654a8bf" xsi:nil="true"/>
    <Topic xmlns="5f4485f1-0608-40f2-b649-7dde6654a8bf" xsi:nil="true"/>
    <_Flow_SignoffStatus xmlns="5f4485f1-0608-40f2-b649-7dde6654a8b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904F00-CD8F-4650-A126-433964A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D75FD-11B0-49F1-9E9B-EA805338E2BC}">
  <ds:schemaRefs>
    <ds:schemaRef ds:uri="http://schemas.microsoft.com/sharepoint/v3/contenttype/forms"/>
  </ds:schemaRefs>
</ds:datastoreItem>
</file>

<file path=customXml/itemProps4.xml><?xml version="1.0" encoding="utf-8"?>
<ds:datastoreItem xmlns:ds="http://schemas.openxmlformats.org/officeDocument/2006/customXml" ds:itemID="{DD37E622-D907-4D60-85D7-429FB1EE3C6B}">
  <ds:schemaRefs>
    <ds:schemaRef ds:uri="http://schemas.openxmlformats.org/officeDocument/2006/bibliography"/>
  </ds:schemaRefs>
</ds:datastoreItem>
</file>

<file path=customXml/itemProps5.xml><?xml version="1.0" encoding="utf-8"?>
<ds:datastoreItem xmlns:ds="http://schemas.openxmlformats.org/officeDocument/2006/customXml" ds:itemID="{035FBEAC-C3F8-4BC3-881B-7917BE7E21A6}">
  <ds:schemaRefs>
    <ds:schemaRef ds:uri="http://schemas.microsoft.com/office/2006/metadata/properties"/>
    <ds:schemaRef ds:uri="http://schemas.microsoft.com/office/infopath/2007/PartnerControls"/>
    <ds:schemaRef ds:uri="2323b31f-9536-4836-ab9c-23187fef022f"/>
    <ds:schemaRef ds:uri="663a120f-e442-458d-8881-e55a980a8ff4"/>
    <ds:schemaRef ds:uri="5f4485f1-0608-40f2-b649-7dde6654a8bf"/>
    <ds:schemaRef ds:uri="60988540-e91d-41bb-b7bc-24ab8c39df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13648</Words>
  <Characters>77794</Characters>
  <Application>Microsoft Office Word</Application>
  <DocSecurity>4</DocSecurity>
  <Lines>648</Lines>
  <Paragraphs>182</Paragraphs>
  <ScaleCrop>false</ScaleCrop>
  <HeadingPairs>
    <vt:vector size="2" baseType="variant">
      <vt:variant>
        <vt:lpstr>Title</vt:lpstr>
      </vt:variant>
      <vt:variant>
        <vt:i4>1</vt:i4>
      </vt:variant>
    </vt:vector>
  </HeadingPairs>
  <TitlesOfParts>
    <vt:vector size="1" baseType="lpstr">
      <vt:lpstr>Annual Report</vt:lpstr>
    </vt:vector>
  </TitlesOfParts>
  <Company/>
  <LinksUpToDate>false</LinksUpToDate>
  <CharactersWithSpaces>91260</CharactersWithSpaces>
  <SharedDoc>false</SharedDoc>
  <HLinks>
    <vt:vector size="390" baseType="variant">
      <vt:variant>
        <vt:i4>7012386</vt:i4>
      </vt:variant>
      <vt:variant>
        <vt:i4>270</vt:i4>
      </vt:variant>
      <vt:variant>
        <vt:i4>0</vt:i4>
      </vt:variant>
      <vt:variant>
        <vt:i4>5</vt:i4>
      </vt:variant>
      <vt:variant>
        <vt:lpwstr>http://www.necopic.edu.au/</vt:lpwstr>
      </vt:variant>
      <vt:variant>
        <vt:lpwstr/>
      </vt:variant>
      <vt:variant>
        <vt:i4>7995502</vt:i4>
      </vt:variant>
      <vt:variant>
        <vt:i4>267</vt:i4>
      </vt:variant>
      <vt:variant>
        <vt:i4>0</vt:i4>
      </vt:variant>
      <vt:variant>
        <vt:i4>5</vt:i4>
      </vt:variant>
      <vt:variant>
        <vt:lpwstr>https://www.oaic.gov.au/freedom-of-information/foi-guidelines/</vt:lpwstr>
      </vt:variant>
      <vt:variant>
        <vt:lpwstr/>
      </vt:variant>
      <vt:variant>
        <vt:i4>3473502</vt:i4>
      </vt:variant>
      <vt:variant>
        <vt:i4>264</vt:i4>
      </vt:variant>
      <vt:variant>
        <vt:i4>0</vt:i4>
      </vt:variant>
      <vt:variant>
        <vt:i4>5</vt:i4>
      </vt:variant>
      <vt:variant>
        <vt:lpwstr>https://www.slp.wa.gov.au/legislation/statutes.nsf/main_mrtitle_12929_currencies.html</vt:lpwstr>
      </vt:variant>
      <vt:variant>
        <vt:lpwstr/>
      </vt:variant>
      <vt:variant>
        <vt:i4>6881301</vt:i4>
      </vt:variant>
      <vt:variant>
        <vt:i4>261</vt:i4>
      </vt:variant>
      <vt:variant>
        <vt:i4>0</vt:i4>
      </vt:variant>
      <vt:variant>
        <vt:i4>5</vt:i4>
      </vt:variant>
      <vt:variant>
        <vt:lpwstr>https://content.legislation.vic.gov.au/sites/default/files/28ad6e97-8912-3602-a1cc-feb18c112f4f_10-69aa012 authorised.pdf</vt:lpwstr>
      </vt:variant>
      <vt:variant>
        <vt:lpwstr/>
      </vt:variant>
      <vt:variant>
        <vt:i4>917588</vt:i4>
      </vt:variant>
      <vt:variant>
        <vt:i4>258</vt:i4>
      </vt:variant>
      <vt:variant>
        <vt:i4>0</vt:i4>
      </vt:variant>
      <vt:variant>
        <vt:i4>5</vt:i4>
      </vt:variant>
      <vt:variant>
        <vt:lpwstr>http://www.thelaw.tas.gov.au/</vt:lpwstr>
      </vt:variant>
      <vt:variant>
        <vt:lpwstr/>
      </vt:variant>
      <vt:variant>
        <vt:i4>6881301</vt:i4>
      </vt:variant>
      <vt:variant>
        <vt:i4>255</vt:i4>
      </vt:variant>
      <vt:variant>
        <vt:i4>0</vt:i4>
      </vt:variant>
      <vt:variant>
        <vt:i4>5</vt:i4>
      </vt:variant>
      <vt:variant>
        <vt:lpwstr>https://content.legislation.vic.gov.au/sites/default/files/28ad6e97-8912-3602-a1cc-feb18c112f4f_10-69aa012 authorised.pdf</vt:lpwstr>
      </vt:variant>
      <vt:variant>
        <vt:lpwstr/>
      </vt:variant>
      <vt:variant>
        <vt:i4>6946876</vt:i4>
      </vt:variant>
      <vt:variant>
        <vt:i4>252</vt:i4>
      </vt:variant>
      <vt:variant>
        <vt:i4>0</vt:i4>
      </vt:variant>
      <vt:variant>
        <vt:i4>5</vt:i4>
      </vt:variant>
      <vt:variant>
        <vt:lpwstr>https://www.legislation.sa.gov.au/LZ/C/A/EDUCATION AND EARLY CHILDHOOD SERVICES (REGISTRATION AND STANDARDS) ACT 2011.aspx</vt:lpwstr>
      </vt:variant>
      <vt:variant>
        <vt:lpwstr/>
      </vt:variant>
      <vt:variant>
        <vt:i4>3997737</vt:i4>
      </vt:variant>
      <vt:variant>
        <vt:i4>249</vt:i4>
      </vt:variant>
      <vt:variant>
        <vt:i4>0</vt:i4>
      </vt:variant>
      <vt:variant>
        <vt:i4>5</vt:i4>
      </vt:variant>
      <vt:variant>
        <vt:lpwstr>https://www.legislation.qld.gov.au/LEGISLTN/CURRENT/E/EduCareServNLawQ.pdf</vt:lpwstr>
      </vt:variant>
      <vt:variant>
        <vt:lpwstr/>
      </vt:variant>
      <vt:variant>
        <vt:i4>6881301</vt:i4>
      </vt:variant>
      <vt:variant>
        <vt:i4>246</vt:i4>
      </vt:variant>
      <vt:variant>
        <vt:i4>0</vt:i4>
      </vt:variant>
      <vt:variant>
        <vt:i4>5</vt:i4>
      </vt:variant>
      <vt:variant>
        <vt:lpwstr>https://content.legislation.vic.gov.au/sites/default/files/28ad6e97-8912-3602-a1cc-feb18c112f4f_10-69aa012 authorised.pdf</vt:lpwstr>
      </vt:variant>
      <vt:variant>
        <vt:lpwstr/>
      </vt:variant>
      <vt:variant>
        <vt:i4>6160414</vt:i4>
      </vt:variant>
      <vt:variant>
        <vt:i4>243</vt:i4>
      </vt:variant>
      <vt:variant>
        <vt:i4>0</vt:i4>
      </vt:variant>
      <vt:variant>
        <vt:i4>5</vt:i4>
      </vt:variant>
      <vt:variant>
        <vt:lpwstr>https://legislation.nt.gov.au/en/Bills/Education-and-Care-Services-National-Uniform-Legislation-Bill-2011?format=assented</vt:lpwstr>
      </vt:variant>
      <vt:variant>
        <vt:lpwstr/>
      </vt:variant>
      <vt:variant>
        <vt:i4>6881301</vt:i4>
      </vt:variant>
      <vt:variant>
        <vt:i4>240</vt:i4>
      </vt:variant>
      <vt:variant>
        <vt:i4>0</vt:i4>
      </vt:variant>
      <vt:variant>
        <vt:i4>5</vt:i4>
      </vt:variant>
      <vt:variant>
        <vt:lpwstr>https://content.legislation.vic.gov.au/sites/default/files/28ad6e97-8912-3602-a1cc-feb18c112f4f_10-69aa012 authorised.pdf</vt:lpwstr>
      </vt:variant>
      <vt:variant>
        <vt:lpwstr/>
      </vt:variant>
      <vt:variant>
        <vt:i4>3145791</vt:i4>
      </vt:variant>
      <vt:variant>
        <vt:i4>237</vt:i4>
      </vt:variant>
      <vt:variant>
        <vt:i4>0</vt:i4>
      </vt:variant>
      <vt:variant>
        <vt:i4>5</vt:i4>
      </vt:variant>
      <vt:variant>
        <vt:lpwstr>http://www.legislation.nsw.gov.au/</vt:lpwstr>
      </vt:variant>
      <vt:variant>
        <vt:lpwstr>/view/act/2010/104a/full</vt:lpwstr>
      </vt:variant>
      <vt:variant>
        <vt:i4>6881301</vt:i4>
      </vt:variant>
      <vt:variant>
        <vt:i4>234</vt:i4>
      </vt:variant>
      <vt:variant>
        <vt:i4>0</vt:i4>
      </vt:variant>
      <vt:variant>
        <vt:i4>5</vt:i4>
      </vt:variant>
      <vt:variant>
        <vt:lpwstr>https://content.legislation.vic.gov.au/sites/default/files/28ad6e97-8912-3602-a1cc-feb18c112f4f_10-69aa012 authorised.pdf</vt:lpwstr>
      </vt:variant>
      <vt:variant>
        <vt:lpwstr/>
      </vt:variant>
      <vt:variant>
        <vt:i4>8323171</vt:i4>
      </vt:variant>
      <vt:variant>
        <vt:i4>231</vt:i4>
      </vt:variant>
      <vt:variant>
        <vt:i4>0</vt:i4>
      </vt:variant>
      <vt:variant>
        <vt:i4>5</vt:i4>
      </vt:variant>
      <vt:variant>
        <vt:lpwstr>http://www.legislation.act.gov.au/a/2011-42/default.asp</vt:lpwstr>
      </vt:variant>
      <vt:variant>
        <vt:lpwstr/>
      </vt:variant>
      <vt:variant>
        <vt:i4>6881301</vt:i4>
      </vt:variant>
      <vt:variant>
        <vt:i4>228</vt:i4>
      </vt:variant>
      <vt:variant>
        <vt:i4>0</vt:i4>
      </vt:variant>
      <vt:variant>
        <vt:i4>5</vt:i4>
      </vt:variant>
      <vt:variant>
        <vt:lpwstr>https://content.legislation.vic.gov.au/sites/default/files/28ad6e97-8912-3602-a1cc-feb18c112f4f_10-69aa012 authorised.pdf</vt:lpwstr>
      </vt:variant>
      <vt:variant>
        <vt:lpwstr/>
      </vt:variant>
      <vt:variant>
        <vt:i4>1376348</vt:i4>
      </vt:variant>
      <vt:variant>
        <vt:i4>225</vt:i4>
      </vt:variant>
      <vt:variant>
        <vt:i4>0</vt:i4>
      </vt:variant>
      <vt:variant>
        <vt:i4>5</vt:i4>
      </vt:variant>
      <vt:variant>
        <vt:lpwstr>https://www.oaic.gov.au/</vt:lpwstr>
      </vt:variant>
      <vt:variant>
        <vt:lpwstr/>
      </vt:variant>
      <vt:variant>
        <vt:i4>1638490</vt:i4>
      </vt:variant>
      <vt:variant>
        <vt:i4>222</vt:i4>
      </vt:variant>
      <vt:variant>
        <vt:i4>0</vt:i4>
      </vt:variant>
      <vt:variant>
        <vt:i4>5</vt:i4>
      </vt:variant>
      <vt:variant>
        <vt:lpwstr>https://www.oaic.gov.au/privacy/australian-privacy-principles-guidelines/</vt:lpwstr>
      </vt:variant>
      <vt:variant>
        <vt:lpwstr/>
      </vt:variant>
      <vt:variant>
        <vt:i4>3473502</vt:i4>
      </vt:variant>
      <vt:variant>
        <vt:i4>219</vt:i4>
      </vt:variant>
      <vt:variant>
        <vt:i4>0</vt:i4>
      </vt:variant>
      <vt:variant>
        <vt:i4>5</vt:i4>
      </vt:variant>
      <vt:variant>
        <vt:lpwstr>https://www.slp.wa.gov.au/legislation/statutes.nsf/main_mrtitle_12929_currencies.html</vt:lpwstr>
      </vt:variant>
      <vt:variant>
        <vt:lpwstr/>
      </vt:variant>
      <vt:variant>
        <vt:i4>6881301</vt:i4>
      </vt:variant>
      <vt:variant>
        <vt:i4>216</vt:i4>
      </vt:variant>
      <vt:variant>
        <vt:i4>0</vt:i4>
      </vt:variant>
      <vt:variant>
        <vt:i4>5</vt:i4>
      </vt:variant>
      <vt:variant>
        <vt:lpwstr>https://content.legislation.vic.gov.au/sites/default/files/28ad6e97-8912-3602-a1cc-feb18c112f4f_10-69aa012 authorised.pdf</vt:lpwstr>
      </vt:variant>
      <vt:variant>
        <vt:lpwstr/>
      </vt:variant>
      <vt:variant>
        <vt:i4>917588</vt:i4>
      </vt:variant>
      <vt:variant>
        <vt:i4>213</vt:i4>
      </vt:variant>
      <vt:variant>
        <vt:i4>0</vt:i4>
      </vt:variant>
      <vt:variant>
        <vt:i4>5</vt:i4>
      </vt:variant>
      <vt:variant>
        <vt:lpwstr>http://www.thelaw.tas.gov.au/</vt:lpwstr>
      </vt:variant>
      <vt:variant>
        <vt:lpwstr/>
      </vt:variant>
      <vt:variant>
        <vt:i4>6881301</vt:i4>
      </vt:variant>
      <vt:variant>
        <vt:i4>210</vt:i4>
      </vt:variant>
      <vt:variant>
        <vt:i4>0</vt:i4>
      </vt:variant>
      <vt:variant>
        <vt:i4>5</vt:i4>
      </vt:variant>
      <vt:variant>
        <vt:lpwstr>https://content.legislation.vic.gov.au/sites/default/files/28ad6e97-8912-3602-a1cc-feb18c112f4f_10-69aa012 authorised.pdf</vt:lpwstr>
      </vt:variant>
      <vt:variant>
        <vt:lpwstr/>
      </vt:variant>
      <vt:variant>
        <vt:i4>6946876</vt:i4>
      </vt:variant>
      <vt:variant>
        <vt:i4>207</vt:i4>
      </vt:variant>
      <vt:variant>
        <vt:i4>0</vt:i4>
      </vt:variant>
      <vt:variant>
        <vt:i4>5</vt:i4>
      </vt:variant>
      <vt:variant>
        <vt:lpwstr>https://www.legislation.sa.gov.au/LZ/C/A/EDUCATION AND EARLY CHILDHOOD SERVICES (REGISTRATION AND STANDARDS) ACT 2011.aspx</vt:lpwstr>
      </vt:variant>
      <vt:variant>
        <vt:lpwstr/>
      </vt:variant>
      <vt:variant>
        <vt:i4>3997737</vt:i4>
      </vt:variant>
      <vt:variant>
        <vt:i4>204</vt:i4>
      </vt:variant>
      <vt:variant>
        <vt:i4>0</vt:i4>
      </vt:variant>
      <vt:variant>
        <vt:i4>5</vt:i4>
      </vt:variant>
      <vt:variant>
        <vt:lpwstr>https://www.legislation.qld.gov.au/LEGISLTN/CURRENT/E/EduCareServNLawQ.pdf</vt:lpwstr>
      </vt:variant>
      <vt:variant>
        <vt:lpwstr/>
      </vt:variant>
      <vt:variant>
        <vt:i4>6881301</vt:i4>
      </vt:variant>
      <vt:variant>
        <vt:i4>201</vt:i4>
      </vt:variant>
      <vt:variant>
        <vt:i4>0</vt:i4>
      </vt:variant>
      <vt:variant>
        <vt:i4>5</vt:i4>
      </vt:variant>
      <vt:variant>
        <vt:lpwstr>https://content.legislation.vic.gov.au/sites/default/files/28ad6e97-8912-3602-a1cc-feb18c112f4f_10-69aa012 authorised.pdf</vt:lpwstr>
      </vt:variant>
      <vt:variant>
        <vt:lpwstr/>
      </vt:variant>
      <vt:variant>
        <vt:i4>6160414</vt:i4>
      </vt:variant>
      <vt:variant>
        <vt:i4>198</vt:i4>
      </vt:variant>
      <vt:variant>
        <vt:i4>0</vt:i4>
      </vt:variant>
      <vt:variant>
        <vt:i4>5</vt:i4>
      </vt:variant>
      <vt:variant>
        <vt:lpwstr>https://legislation.nt.gov.au/en/Bills/Education-and-Care-Services-National-Uniform-Legislation-Bill-2011?format=assented</vt:lpwstr>
      </vt:variant>
      <vt:variant>
        <vt:lpwstr/>
      </vt:variant>
      <vt:variant>
        <vt:i4>6881301</vt:i4>
      </vt:variant>
      <vt:variant>
        <vt:i4>195</vt:i4>
      </vt:variant>
      <vt:variant>
        <vt:i4>0</vt:i4>
      </vt:variant>
      <vt:variant>
        <vt:i4>5</vt:i4>
      </vt:variant>
      <vt:variant>
        <vt:lpwstr>https://content.legislation.vic.gov.au/sites/default/files/28ad6e97-8912-3602-a1cc-feb18c112f4f_10-69aa012 authorised.pdf</vt:lpwstr>
      </vt:variant>
      <vt:variant>
        <vt:lpwstr/>
      </vt:variant>
      <vt:variant>
        <vt:i4>3145791</vt:i4>
      </vt:variant>
      <vt:variant>
        <vt:i4>192</vt:i4>
      </vt:variant>
      <vt:variant>
        <vt:i4>0</vt:i4>
      </vt:variant>
      <vt:variant>
        <vt:i4>5</vt:i4>
      </vt:variant>
      <vt:variant>
        <vt:lpwstr>http://www.legislation.nsw.gov.au/</vt:lpwstr>
      </vt:variant>
      <vt:variant>
        <vt:lpwstr>/view/act/2010/104a/full</vt:lpwstr>
      </vt:variant>
      <vt:variant>
        <vt:i4>6881301</vt:i4>
      </vt:variant>
      <vt:variant>
        <vt:i4>189</vt:i4>
      </vt:variant>
      <vt:variant>
        <vt:i4>0</vt:i4>
      </vt:variant>
      <vt:variant>
        <vt:i4>5</vt:i4>
      </vt:variant>
      <vt:variant>
        <vt:lpwstr>https://content.legislation.vic.gov.au/sites/default/files/28ad6e97-8912-3602-a1cc-feb18c112f4f_10-69aa012 authorised.pdf</vt:lpwstr>
      </vt:variant>
      <vt:variant>
        <vt:lpwstr/>
      </vt:variant>
      <vt:variant>
        <vt:i4>8323171</vt:i4>
      </vt:variant>
      <vt:variant>
        <vt:i4>186</vt:i4>
      </vt:variant>
      <vt:variant>
        <vt:i4>0</vt:i4>
      </vt:variant>
      <vt:variant>
        <vt:i4>5</vt:i4>
      </vt:variant>
      <vt:variant>
        <vt:lpwstr>http://www.legislation.act.gov.au/a/2011-42/default.asp</vt:lpwstr>
      </vt:variant>
      <vt:variant>
        <vt:lpwstr/>
      </vt:variant>
      <vt:variant>
        <vt:i4>6881301</vt:i4>
      </vt:variant>
      <vt:variant>
        <vt:i4>183</vt:i4>
      </vt:variant>
      <vt:variant>
        <vt:i4>0</vt:i4>
      </vt:variant>
      <vt:variant>
        <vt:i4>5</vt:i4>
      </vt:variant>
      <vt:variant>
        <vt:lpwstr>https://content.legislation.vic.gov.au/sites/default/files/28ad6e97-8912-3602-a1cc-feb18c112f4f_10-69aa012 authorised.pdf</vt:lpwstr>
      </vt:variant>
      <vt:variant>
        <vt:lpwstr/>
      </vt:variant>
      <vt:variant>
        <vt:i4>5046379</vt:i4>
      </vt:variant>
      <vt:variant>
        <vt:i4>180</vt:i4>
      </vt:variant>
      <vt:variant>
        <vt:i4>0</vt:i4>
      </vt:variant>
      <vt:variant>
        <vt:i4>5</vt:i4>
      </vt:variant>
      <vt:variant>
        <vt:lpwstr/>
      </vt:variant>
      <vt:variant>
        <vt:lpwstr>_Freedom_of_Information</vt:lpwstr>
      </vt:variant>
      <vt:variant>
        <vt:i4>393254</vt:i4>
      </vt:variant>
      <vt:variant>
        <vt:i4>177</vt:i4>
      </vt:variant>
      <vt:variant>
        <vt:i4>0</vt:i4>
      </vt:variant>
      <vt:variant>
        <vt:i4>5</vt:i4>
      </vt:variant>
      <vt:variant>
        <vt:lpwstr/>
      </vt:variant>
      <vt:variant>
        <vt:lpwstr>_Audited_Financial_Report</vt:lpwstr>
      </vt:variant>
      <vt:variant>
        <vt:i4>6291573</vt:i4>
      </vt:variant>
      <vt:variant>
        <vt:i4>174</vt:i4>
      </vt:variant>
      <vt:variant>
        <vt:i4>0</vt:i4>
      </vt:variant>
      <vt:variant>
        <vt:i4>5</vt:i4>
      </vt:variant>
      <vt:variant>
        <vt:lpwstr/>
      </vt:variant>
      <vt:variant>
        <vt:lpwstr>_Strategic_Plan</vt:lpwstr>
      </vt:variant>
      <vt:variant>
        <vt:i4>6226047</vt:i4>
      </vt:variant>
      <vt:variant>
        <vt:i4>171</vt:i4>
      </vt:variant>
      <vt:variant>
        <vt:i4>0</vt:i4>
      </vt:variant>
      <vt:variant>
        <vt:i4>5</vt:i4>
      </vt:variant>
      <vt:variant>
        <vt:lpwstr/>
      </vt:variant>
      <vt:variant>
        <vt:lpwstr>_Instrument_adopting_parts</vt:lpwstr>
      </vt:variant>
      <vt:variant>
        <vt:i4>3735563</vt:i4>
      </vt:variant>
      <vt:variant>
        <vt:i4>168</vt:i4>
      </vt:variant>
      <vt:variant>
        <vt:i4>0</vt:i4>
      </vt:variant>
      <vt:variant>
        <vt:i4>5</vt:i4>
      </vt:variant>
      <vt:variant>
        <vt:lpwstr/>
      </vt:variant>
      <vt:variant>
        <vt:lpwstr>_Guideline_adopting_parts</vt:lpwstr>
      </vt:variant>
      <vt:variant>
        <vt:i4>720928</vt:i4>
      </vt:variant>
      <vt:variant>
        <vt:i4>165</vt:i4>
      </vt:variant>
      <vt:variant>
        <vt:i4>0</vt:i4>
      </vt:variant>
      <vt:variant>
        <vt:i4>5</vt:i4>
      </vt:variant>
      <vt:variant>
        <vt:lpwstr/>
      </vt:variant>
      <vt:variant>
        <vt:lpwstr>_State_and_Territory</vt:lpwstr>
      </vt:variant>
      <vt:variant>
        <vt:i4>3211300</vt:i4>
      </vt:variant>
      <vt:variant>
        <vt:i4>162</vt:i4>
      </vt:variant>
      <vt:variant>
        <vt:i4>0</vt:i4>
      </vt:variant>
      <vt:variant>
        <vt:i4>5</vt:i4>
      </vt:variant>
      <vt:variant>
        <vt:lpwstr>http://www.necsopic.edu.au/</vt:lpwstr>
      </vt:variant>
      <vt:variant>
        <vt:lpwstr/>
      </vt:variant>
      <vt:variant>
        <vt:i4>3211300</vt:i4>
      </vt:variant>
      <vt:variant>
        <vt:i4>159</vt:i4>
      </vt:variant>
      <vt:variant>
        <vt:i4>0</vt:i4>
      </vt:variant>
      <vt:variant>
        <vt:i4>5</vt:i4>
      </vt:variant>
      <vt:variant>
        <vt:lpwstr>http://www.necsopic.edu.au/</vt:lpwstr>
      </vt:variant>
      <vt:variant>
        <vt:lpwstr/>
      </vt:variant>
      <vt:variant>
        <vt:i4>7798829</vt:i4>
      </vt:variant>
      <vt:variant>
        <vt:i4>156</vt:i4>
      </vt:variant>
      <vt:variant>
        <vt:i4>0</vt:i4>
      </vt:variant>
      <vt:variant>
        <vt:i4>5</vt:i4>
      </vt:variant>
      <vt:variant>
        <vt:lpwstr>https://www.legislation.gov.au/Details/F2019L00348</vt:lpwstr>
      </vt:variant>
      <vt:variant>
        <vt:lpwstr/>
      </vt:variant>
      <vt:variant>
        <vt:i4>2097205</vt:i4>
      </vt:variant>
      <vt:variant>
        <vt:i4>153</vt:i4>
      </vt:variant>
      <vt:variant>
        <vt:i4>0</vt:i4>
      </vt:variant>
      <vt:variant>
        <vt:i4>5</vt:i4>
      </vt:variant>
      <vt:variant>
        <vt:lpwstr>https://consultations.ag.gov.au/rights-and-protections/privacy-act-review-discussion-paper/</vt:lpwstr>
      </vt:variant>
      <vt:variant>
        <vt:lpwstr/>
      </vt:variant>
      <vt:variant>
        <vt:i4>1507388</vt:i4>
      </vt:variant>
      <vt:variant>
        <vt:i4>146</vt:i4>
      </vt:variant>
      <vt:variant>
        <vt:i4>0</vt:i4>
      </vt:variant>
      <vt:variant>
        <vt:i4>5</vt:i4>
      </vt:variant>
      <vt:variant>
        <vt:lpwstr/>
      </vt:variant>
      <vt:variant>
        <vt:lpwstr>_Toc160544972</vt:lpwstr>
      </vt:variant>
      <vt:variant>
        <vt:i4>1507388</vt:i4>
      </vt:variant>
      <vt:variant>
        <vt:i4>140</vt:i4>
      </vt:variant>
      <vt:variant>
        <vt:i4>0</vt:i4>
      </vt:variant>
      <vt:variant>
        <vt:i4>5</vt:i4>
      </vt:variant>
      <vt:variant>
        <vt:lpwstr/>
      </vt:variant>
      <vt:variant>
        <vt:lpwstr>_Toc160544971</vt:lpwstr>
      </vt:variant>
      <vt:variant>
        <vt:i4>1507388</vt:i4>
      </vt:variant>
      <vt:variant>
        <vt:i4>134</vt:i4>
      </vt:variant>
      <vt:variant>
        <vt:i4>0</vt:i4>
      </vt:variant>
      <vt:variant>
        <vt:i4>5</vt:i4>
      </vt:variant>
      <vt:variant>
        <vt:lpwstr/>
      </vt:variant>
      <vt:variant>
        <vt:lpwstr>_Toc160544970</vt:lpwstr>
      </vt:variant>
      <vt:variant>
        <vt:i4>1441852</vt:i4>
      </vt:variant>
      <vt:variant>
        <vt:i4>128</vt:i4>
      </vt:variant>
      <vt:variant>
        <vt:i4>0</vt:i4>
      </vt:variant>
      <vt:variant>
        <vt:i4>5</vt:i4>
      </vt:variant>
      <vt:variant>
        <vt:lpwstr/>
      </vt:variant>
      <vt:variant>
        <vt:lpwstr>_Toc160544969</vt:lpwstr>
      </vt:variant>
      <vt:variant>
        <vt:i4>1441852</vt:i4>
      </vt:variant>
      <vt:variant>
        <vt:i4>122</vt:i4>
      </vt:variant>
      <vt:variant>
        <vt:i4>0</vt:i4>
      </vt:variant>
      <vt:variant>
        <vt:i4>5</vt:i4>
      </vt:variant>
      <vt:variant>
        <vt:lpwstr/>
      </vt:variant>
      <vt:variant>
        <vt:lpwstr>_Toc160544968</vt:lpwstr>
      </vt:variant>
      <vt:variant>
        <vt:i4>1441852</vt:i4>
      </vt:variant>
      <vt:variant>
        <vt:i4>116</vt:i4>
      </vt:variant>
      <vt:variant>
        <vt:i4>0</vt:i4>
      </vt:variant>
      <vt:variant>
        <vt:i4>5</vt:i4>
      </vt:variant>
      <vt:variant>
        <vt:lpwstr/>
      </vt:variant>
      <vt:variant>
        <vt:lpwstr>_Toc160544967</vt:lpwstr>
      </vt:variant>
      <vt:variant>
        <vt:i4>1441852</vt:i4>
      </vt:variant>
      <vt:variant>
        <vt:i4>110</vt:i4>
      </vt:variant>
      <vt:variant>
        <vt:i4>0</vt:i4>
      </vt:variant>
      <vt:variant>
        <vt:i4>5</vt:i4>
      </vt:variant>
      <vt:variant>
        <vt:lpwstr/>
      </vt:variant>
      <vt:variant>
        <vt:lpwstr>_Toc160544966</vt:lpwstr>
      </vt:variant>
      <vt:variant>
        <vt:i4>1441852</vt:i4>
      </vt:variant>
      <vt:variant>
        <vt:i4>104</vt:i4>
      </vt:variant>
      <vt:variant>
        <vt:i4>0</vt:i4>
      </vt:variant>
      <vt:variant>
        <vt:i4>5</vt:i4>
      </vt:variant>
      <vt:variant>
        <vt:lpwstr/>
      </vt:variant>
      <vt:variant>
        <vt:lpwstr>_Toc160544965</vt:lpwstr>
      </vt:variant>
      <vt:variant>
        <vt:i4>1441852</vt:i4>
      </vt:variant>
      <vt:variant>
        <vt:i4>98</vt:i4>
      </vt:variant>
      <vt:variant>
        <vt:i4>0</vt:i4>
      </vt:variant>
      <vt:variant>
        <vt:i4>5</vt:i4>
      </vt:variant>
      <vt:variant>
        <vt:lpwstr/>
      </vt:variant>
      <vt:variant>
        <vt:lpwstr>_Toc160544964</vt:lpwstr>
      </vt:variant>
      <vt:variant>
        <vt:i4>1441852</vt:i4>
      </vt:variant>
      <vt:variant>
        <vt:i4>92</vt:i4>
      </vt:variant>
      <vt:variant>
        <vt:i4>0</vt:i4>
      </vt:variant>
      <vt:variant>
        <vt:i4>5</vt:i4>
      </vt:variant>
      <vt:variant>
        <vt:lpwstr/>
      </vt:variant>
      <vt:variant>
        <vt:lpwstr>_Toc160544963</vt:lpwstr>
      </vt:variant>
      <vt:variant>
        <vt:i4>1441852</vt:i4>
      </vt:variant>
      <vt:variant>
        <vt:i4>86</vt:i4>
      </vt:variant>
      <vt:variant>
        <vt:i4>0</vt:i4>
      </vt:variant>
      <vt:variant>
        <vt:i4>5</vt:i4>
      </vt:variant>
      <vt:variant>
        <vt:lpwstr/>
      </vt:variant>
      <vt:variant>
        <vt:lpwstr>_Toc160544962</vt:lpwstr>
      </vt:variant>
      <vt:variant>
        <vt:i4>1441852</vt:i4>
      </vt:variant>
      <vt:variant>
        <vt:i4>80</vt:i4>
      </vt:variant>
      <vt:variant>
        <vt:i4>0</vt:i4>
      </vt:variant>
      <vt:variant>
        <vt:i4>5</vt:i4>
      </vt:variant>
      <vt:variant>
        <vt:lpwstr/>
      </vt:variant>
      <vt:variant>
        <vt:lpwstr>_Toc160544961</vt:lpwstr>
      </vt:variant>
      <vt:variant>
        <vt:i4>1441852</vt:i4>
      </vt:variant>
      <vt:variant>
        <vt:i4>74</vt:i4>
      </vt:variant>
      <vt:variant>
        <vt:i4>0</vt:i4>
      </vt:variant>
      <vt:variant>
        <vt:i4>5</vt:i4>
      </vt:variant>
      <vt:variant>
        <vt:lpwstr/>
      </vt:variant>
      <vt:variant>
        <vt:lpwstr>_Toc160544960</vt:lpwstr>
      </vt:variant>
      <vt:variant>
        <vt:i4>1376316</vt:i4>
      </vt:variant>
      <vt:variant>
        <vt:i4>68</vt:i4>
      </vt:variant>
      <vt:variant>
        <vt:i4>0</vt:i4>
      </vt:variant>
      <vt:variant>
        <vt:i4>5</vt:i4>
      </vt:variant>
      <vt:variant>
        <vt:lpwstr/>
      </vt:variant>
      <vt:variant>
        <vt:lpwstr>_Toc160544959</vt:lpwstr>
      </vt:variant>
      <vt:variant>
        <vt:i4>1376316</vt:i4>
      </vt:variant>
      <vt:variant>
        <vt:i4>62</vt:i4>
      </vt:variant>
      <vt:variant>
        <vt:i4>0</vt:i4>
      </vt:variant>
      <vt:variant>
        <vt:i4>5</vt:i4>
      </vt:variant>
      <vt:variant>
        <vt:lpwstr/>
      </vt:variant>
      <vt:variant>
        <vt:lpwstr>_Toc160544958</vt:lpwstr>
      </vt:variant>
      <vt:variant>
        <vt:i4>1376316</vt:i4>
      </vt:variant>
      <vt:variant>
        <vt:i4>56</vt:i4>
      </vt:variant>
      <vt:variant>
        <vt:i4>0</vt:i4>
      </vt:variant>
      <vt:variant>
        <vt:i4>5</vt:i4>
      </vt:variant>
      <vt:variant>
        <vt:lpwstr/>
      </vt:variant>
      <vt:variant>
        <vt:lpwstr>_Toc160544957</vt:lpwstr>
      </vt:variant>
      <vt:variant>
        <vt:i4>1376316</vt:i4>
      </vt:variant>
      <vt:variant>
        <vt:i4>50</vt:i4>
      </vt:variant>
      <vt:variant>
        <vt:i4>0</vt:i4>
      </vt:variant>
      <vt:variant>
        <vt:i4>5</vt:i4>
      </vt:variant>
      <vt:variant>
        <vt:lpwstr/>
      </vt:variant>
      <vt:variant>
        <vt:lpwstr>_Toc160544956</vt:lpwstr>
      </vt:variant>
      <vt:variant>
        <vt:i4>1376316</vt:i4>
      </vt:variant>
      <vt:variant>
        <vt:i4>44</vt:i4>
      </vt:variant>
      <vt:variant>
        <vt:i4>0</vt:i4>
      </vt:variant>
      <vt:variant>
        <vt:i4>5</vt:i4>
      </vt:variant>
      <vt:variant>
        <vt:lpwstr/>
      </vt:variant>
      <vt:variant>
        <vt:lpwstr>_Toc160544955</vt:lpwstr>
      </vt:variant>
      <vt:variant>
        <vt:i4>1376316</vt:i4>
      </vt:variant>
      <vt:variant>
        <vt:i4>38</vt:i4>
      </vt:variant>
      <vt:variant>
        <vt:i4>0</vt:i4>
      </vt:variant>
      <vt:variant>
        <vt:i4>5</vt:i4>
      </vt:variant>
      <vt:variant>
        <vt:lpwstr/>
      </vt:variant>
      <vt:variant>
        <vt:lpwstr>_Toc160544954</vt:lpwstr>
      </vt:variant>
      <vt:variant>
        <vt:i4>1376316</vt:i4>
      </vt:variant>
      <vt:variant>
        <vt:i4>32</vt:i4>
      </vt:variant>
      <vt:variant>
        <vt:i4>0</vt:i4>
      </vt:variant>
      <vt:variant>
        <vt:i4>5</vt:i4>
      </vt:variant>
      <vt:variant>
        <vt:lpwstr/>
      </vt:variant>
      <vt:variant>
        <vt:lpwstr>_Toc160544953</vt:lpwstr>
      </vt:variant>
      <vt:variant>
        <vt:i4>1376316</vt:i4>
      </vt:variant>
      <vt:variant>
        <vt:i4>26</vt:i4>
      </vt:variant>
      <vt:variant>
        <vt:i4>0</vt:i4>
      </vt:variant>
      <vt:variant>
        <vt:i4>5</vt:i4>
      </vt:variant>
      <vt:variant>
        <vt:lpwstr/>
      </vt:variant>
      <vt:variant>
        <vt:lpwstr>_Toc160544952</vt:lpwstr>
      </vt:variant>
      <vt:variant>
        <vt:i4>1376316</vt:i4>
      </vt:variant>
      <vt:variant>
        <vt:i4>20</vt:i4>
      </vt:variant>
      <vt:variant>
        <vt:i4>0</vt:i4>
      </vt:variant>
      <vt:variant>
        <vt:i4>5</vt:i4>
      </vt:variant>
      <vt:variant>
        <vt:lpwstr/>
      </vt:variant>
      <vt:variant>
        <vt:lpwstr>_Toc160544951</vt:lpwstr>
      </vt:variant>
      <vt:variant>
        <vt:i4>1376316</vt:i4>
      </vt:variant>
      <vt:variant>
        <vt:i4>14</vt:i4>
      </vt:variant>
      <vt:variant>
        <vt:i4>0</vt:i4>
      </vt:variant>
      <vt:variant>
        <vt:i4>5</vt:i4>
      </vt:variant>
      <vt:variant>
        <vt:lpwstr/>
      </vt:variant>
      <vt:variant>
        <vt:lpwstr>_Toc160544950</vt:lpwstr>
      </vt:variant>
      <vt:variant>
        <vt:i4>1310780</vt:i4>
      </vt:variant>
      <vt:variant>
        <vt:i4>8</vt:i4>
      </vt:variant>
      <vt:variant>
        <vt:i4>0</vt:i4>
      </vt:variant>
      <vt:variant>
        <vt:i4>5</vt:i4>
      </vt:variant>
      <vt:variant>
        <vt:lpwstr/>
      </vt:variant>
      <vt:variant>
        <vt:lpwstr>_Toc160544949</vt:lpwstr>
      </vt:variant>
      <vt:variant>
        <vt:i4>1310780</vt:i4>
      </vt:variant>
      <vt:variant>
        <vt:i4>2</vt:i4>
      </vt:variant>
      <vt:variant>
        <vt:i4>0</vt:i4>
      </vt:variant>
      <vt:variant>
        <vt:i4>5</vt:i4>
      </vt:variant>
      <vt:variant>
        <vt:lpwstr/>
      </vt:variant>
      <vt:variant>
        <vt:lpwstr>_Toc160544948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dc:title>
  <dc:subject>Education and Care Services Ombudsman and National Education and Care Services Freedom of Information &amp; Privacy Commissioners</dc:subject>
  <dc:creator>NECE Ombudsmen</dc:creator>
  <cp:lastModifiedBy>GOLDING,Kaitlyn</cp:lastModifiedBy>
  <cp:revision>2</cp:revision>
  <cp:lastPrinted>2024-03-13T23:55:00Z</cp:lastPrinted>
  <dcterms:created xsi:type="dcterms:W3CDTF">2024-08-28T05:48:00Z</dcterms:created>
  <dcterms:modified xsi:type="dcterms:W3CDTF">2024-08-28T05:48:00Z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0x010100DBE4CFC06C38FD429762EA454E4407CB</vt:lpwstr>
  </property>
  <property fmtid="{D5CDD505-2E9C-101B-9397-08002B2CF9AE}" pid="3" name="_dlc_DocIdItemGuid">
    <vt:lpwstr>e168458b-2fd4-4ead-87b3-2b0732b0a243</vt:lpwstr>
  </property>
  <property fmtid="{D5CDD505-2E9C-101B-9397-08002B2CF9AE}" pid="4" name="MediaServiceImageTags">
    <vt:lpwstr/>
  </property>
  <property fmtid="{D5CDD505-2E9C-101B-9397-08002B2CF9AE}" pid="5" name="MSIP_Label_79d889eb-932f-4752-8739-64d25806ef64_Enabled">
    <vt:lpwstr>true</vt:lpwstr>
  </property>
  <property fmtid="{D5CDD505-2E9C-101B-9397-08002B2CF9AE}" pid="6" name="MSIP_Label_79d889eb-932f-4752-8739-64d25806ef64_SetDate">
    <vt:lpwstr>2023-10-10T23:17:59Z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3f1f8ddc-fb0d-4286-af97-7da31584ebb0</vt:lpwstr>
  </property>
  <property fmtid="{D5CDD505-2E9C-101B-9397-08002B2CF9AE}" pid="11" name="MSIP_Label_79d889eb-932f-4752-8739-64d25806ef64_ContentBits">
    <vt:lpwstr>0</vt:lpwstr>
  </property>
</Properties>
</file>