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82" w:rsidRPr="00B6486D" w:rsidRDefault="00F7018A" w:rsidP="00F7018A">
      <w:pPr>
        <w:pStyle w:val="BodyText21"/>
        <w:spacing w:before="480" w:after="0"/>
        <w:ind w:left="0"/>
        <w:rPr>
          <w:noProof/>
          <w:szCs w:val="40"/>
        </w:rPr>
      </w:pPr>
      <w:bookmarkStart w:id="0" w:name="_Ref217107034"/>
      <w:bookmarkStart w:id="1" w:name="_Ref217293016"/>
      <w:bookmarkStart w:id="2" w:name="_Toc251924124"/>
      <w:bookmarkStart w:id="3" w:name="_Toc247698407"/>
      <w:bookmarkStart w:id="4" w:name="_Toc251924141"/>
      <w:bookmarkStart w:id="5" w:name="_Toc96678110"/>
      <w:bookmarkStart w:id="6" w:name="_Toc112733851"/>
      <w:bookmarkStart w:id="7" w:name="_Toc112734061"/>
      <w:bookmarkStart w:id="8" w:name="_Ref114285366"/>
      <w:bookmarkStart w:id="9" w:name="_Ref114297703"/>
      <w:bookmarkStart w:id="10" w:name="_Ref114302226"/>
      <w:bookmarkStart w:id="11" w:name="_Ref115750239"/>
      <w:bookmarkStart w:id="12" w:name="_Toc116183067"/>
      <w:bookmarkStart w:id="13" w:name="_Ref117478106"/>
      <w:bookmarkStart w:id="14" w:name="_Ref117503163"/>
      <w:bookmarkStart w:id="15" w:name="_Ref124302185"/>
      <w:bookmarkStart w:id="16" w:name="_Toc96678026"/>
      <w:r>
        <w:rPr>
          <w:noProof/>
        </w:rPr>
        <w:drawing>
          <wp:inline distT="0" distB="0" distL="0" distR="0" wp14:anchorId="6D5108A3" wp14:editId="58C55318">
            <wp:extent cx="2252345" cy="4039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345" cy="403915"/>
                    </a:xfrm>
                    <a:prstGeom prst="rect">
                      <a:avLst/>
                    </a:prstGeom>
                  </pic:spPr>
                </pic:pic>
              </a:graphicData>
            </a:graphic>
          </wp:inline>
        </w:drawing>
      </w:r>
    </w:p>
    <w:p w:rsidR="0016686E" w:rsidRDefault="0016686E" w:rsidP="00A31B5B">
      <w:pPr>
        <w:pStyle w:val="BodyText21"/>
        <w:spacing w:before="480" w:after="0"/>
        <w:ind w:left="0"/>
        <w:rPr>
          <w:b/>
          <w:sz w:val="40"/>
          <w:szCs w:val="40"/>
        </w:rPr>
      </w:pPr>
      <w:bookmarkStart w:id="17" w:name="_Toc406668847"/>
      <w:bookmarkStart w:id="18" w:name="_Toc406669235"/>
    </w:p>
    <w:bookmarkEnd w:id="17"/>
    <w:bookmarkEnd w:id="18"/>
    <w:p w:rsidR="002D03FE" w:rsidRPr="00A31B5B" w:rsidRDefault="002D03FE" w:rsidP="002D03FE">
      <w:pPr>
        <w:pStyle w:val="Subtitle"/>
        <w:tabs>
          <w:tab w:val="left" w:pos="993"/>
        </w:tabs>
        <w:ind w:left="142" w:right="-22"/>
        <w:jc w:val="center"/>
        <w:rPr>
          <w:sz w:val="52"/>
        </w:rPr>
      </w:pPr>
      <w:r w:rsidRPr="00A31B5B">
        <w:rPr>
          <w:sz w:val="52"/>
        </w:rPr>
        <w:t>2017</w:t>
      </w:r>
    </w:p>
    <w:p w:rsidR="002D03FE" w:rsidRPr="00A31B5B" w:rsidRDefault="002D03FE" w:rsidP="002D03FE">
      <w:pPr>
        <w:pStyle w:val="Subtitle"/>
        <w:tabs>
          <w:tab w:val="left" w:pos="993"/>
        </w:tabs>
        <w:ind w:left="142" w:right="-22"/>
        <w:jc w:val="center"/>
        <w:rPr>
          <w:sz w:val="52"/>
        </w:rPr>
      </w:pPr>
      <w:r w:rsidRPr="00A31B5B">
        <w:rPr>
          <w:sz w:val="52"/>
        </w:rPr>
        <w:t xml:space="preserve"> Higher Education Research</w:t>
      </w:r>
    </w:p>
    <w:p w:rsidR="002D03FE" w:rsidRPr="00A31B5B" w:rsidRDefault="002D03FE" w:rsidP="002D03FE">
      <w:pPr>
        <w:pStyle w:val="Subtitle"/>
        <w:tabs>
          <w:tab w:val="left" w:pos="993"/>
        </w:tabs>
        <w:ind w:left="142" w:right="-22"/>
        <w:jc w:val="center"/>
        <w:rPr>
          <w:sz w:val="52"/>
        </w:rPr>
      </w:pPr>
      <w:r w:rsidRPr="00A31B5B">
        <w:rPr>
          <w:sz w:val="52"/>
        </w:rPr>
        <w:t xml:space="preserve"> Data Collection </w:t>
      </w:r>
    </w:p>
    <w:p w:rsidR="002D03FE" w:rsidRPr="00A31B5B" w:rsidRDefault="002D03FE" w:rsidP="002D03FE">
      <w:pPr>
        <w:pStyle w:val="Subtitle"/>
        <w:tabs>
          <w:tab w:val="left" w:pos="993"/>
        </w:tabs>
        <w:ind w:left="142" w:right="-22"/>
        <w:jc w:val="center"/>
        <w:rPr>
          <w:sz w:val="52"/>
        </w:rPr>
      </w:pPr>
      <w:r w:rsidRPr="00A31B5B">
        <w:rPr>
          <w:sz w:val="52"/>
        </w:rPr>
        <w:t>Specifications for the collection of 2016 data</w:t>
      </w:r>
    </w:p>
    <w:p w:rsidR="00A31B5B" w:rsidRDefault="002D03FE" w:rsidP="00A31B5B">
      <w:pPr>
        <w:pStyle w:val="Subtitle"/>
        <w:tabs>
          <w:tab w:val="left" w:pos="993"/>
        </w:tabs>
        <w:spacing w:line="120" w:lineRule="auto"/>
        <w:ind w:left="142" w:right="-23"/>
        <w:jc w:val="center"/>
      </w:pPr>
      <w:r>
        <w:t xml:space="preserve"> </w:t>
      </w:r>
    </w:p>
    <w:p w:rsidR="008E71CF" w:rsidRPr="002D03FE" w:rsidRDefault="00A31B5B" w:rsidP="002D03FE">
      <w:pPr>
        <w:pStyle w:val="Subtitle"/>
        <w:tabs>
          <w:tab w:val="left" w:pos="993"/>
        </w:tabs>
        <w:ind w:left="142" w:right="-22"/>
        <w:jc w:val="center"/>
        <w:rPr>
          <w:b w:val="0"/>
        </w:rPr>
      </w:pPr>
      <w:bookmarkStart w:id="19" w:name="_GoBack"/>
      <w:bookmarkEnd w:id="19"/>
      <w:r>
        <w:rPr>
          <w:noProof/>
          <w:lang w:eastAsia="en-AU"/>
        </w:rPr>
        <w:drawing>
          <wp:anchor distT="0" distB="0" distL="114300" distR="114300" simplePos="0" relativeHeight="251659264" behindDoc="1" locked="0" layoutInCell="1" allowOverlap="1" wp14:anchorId="25119F8E" wp14:editId="3022CA47">
            <wp:simplePos x="0" y="0"/>
            <wp:positionH relativeFrom="page">
              <wp:posOffset>42530</wp:posOffset>
            </wp:positionH>
            <wp:positionV relativeFrom="page">
              <wp:posOffset>5709684</wp:posOffset>
            </wp:positionV>
            <wp:extent cx="7644810" cy="5195313"/>
            <wp:effectExtent l="0" t="0" r="0" b="571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0">
                      <a:extLst>
                        <a:ext uri="{28A0092B-C50C-407E-A947-70E740481C1C}">
                          <a14:useLocalDpi xmlns:a14="http://schemas.microsoft.com/office/drawing/2010/main" val="0"/>
                        </a:ext>
                      </a:extLst>
                    </a:blip>
                    <a:stretch>
                      <a:fillRect/>
                    </a:stretch>
                  </pic:blipFill>
                  <pic:spPr>
                    <a:xfrm>
                      <a:off x="0" y="0"/>
                      <a:ext cx="7653020" cy="5200892"/>
                    </a:xfrm>
                    <a:prstGeom prst="rect">
                      <a:avLst/>
                    </a:prstGeom>
                  </pic:spPr>
                </pic:pic>
              </a:graphicData>
            </a:graphic>
            <wp14:sizeRelH relativeFrom="page">
              <wp14:pctWidth>0</wp14:pctWidth>
            </wp14:sizeRelH>
            <wp14:sizeRelV relativeFrom="page">
              <wp14:pctHeight>0</wp14:pctHeight>
            </wp14:sizeRelV>
          </wp:anchor>
        </w:drawing>
      </w:r>
      <w:r w:rsidR="008E71CF" w:rsidRPr="002D03FE">
        <w:rPr>
          <w:b w:val="0"/>
        </w:rPr>
        <w:t>March 2017</w:t>
      </w:r>
    </w:p>
    <w:p w:rsidR="003D4DD8" w:rsidRPr="00A91DD7" w:rsidRDefault="003D4DD8" w:rsidP="00A91DD7">
      <w:pPr>
        <w:pStyle w:val="BodyText21"/>
        <w:spacing w:before="480" w:after="0"/>
        <w:ind w:left="0"/>
        <w:jc w:val="center"/>
        <w:rPr>
          <w:sz w:val="40"/>
          <w:szCs w:val="40"/>
        </w:rPr>
      </w:pPr>
    </w:p>
    <w:p w:rsidR="003D4DD8" w:rsidRPr="00A91DD7" w:rsidRDefault="003D4DD8" w:rsidP="00A91DD7">
      <w:pPr>
        <w:pStyle w:val="BodyText21"/>
        <w:spacing w:before="480" w:after="0"/>
        <w:ind w:left="0"/>
        <w:jc w:val="center"/>
        <w:rPr>
          <w:sz w:val="40"/>
          <w:szCs w:val="40"/>
        </w:rPr>
      </w:pPr>
    </w:p>
    <w:p w:rsidR="00D87929" w:rsidRDefault="008136CA" w:rsidP="00A91DD7">
      <w:pPr>
        <w:pStyle w:val="BodyText21"/>
        <w:spacing w:before="480" w:after="0"/>
        <w:ind w:left="0"/>
        <w:jc w:val="center"/>
        <w:rPr>
          <w:sz w:val="40"/>
          <w:szCs w:val="40"/>
        </w:rPr>
      </w:pPr>
      <w:r>
        <w:rPr>
          <w:sz w:val="40"/>
          <w:szCs w:val="40"/>
        </w:rPr>
        <w:t xml:space="preserve"> </w:t>
      </w:r>
      <w:bookmarkStart w:id="20" w:name="_Toc96679811"/>
    </w:p>
    <w:p w:rsidR="008E71CF" w:rsidRPr="008E71CF" w:rsidRDefault="008E71CF" w:rsidP="008E71CF">
      <w:pPr>
        <w:pStyle w:val="StrongUnderline"/>
        <w:sectPr w:rsidR="008E71CF" w:rsidRPr="008E71CF" w:rsidSect="00F73934">
          <w:headerReference w:type="even" r:id="rId11"/>
          <w:headerReference w:type="default" r:id="rId12"/>
          <w:footerReference w:type="even" r:id="rId13"/>
          <w:footerReference w:type="default" r:id="rId14"/>
          <w:headerReference w:type="first" r:id="rId15"/>
          <w:footerReference w:type="first" r:id="rId16"/>
          <w:pgSz w:w="11907" w:h="16840" w:code="9"/>
          <w:pgMar w:top="1233" w:right="1242" w:bottom="680" w:left="1701" w:header="720" w:footer="720" w:gutter="0"/>
          <w:cols w:space="720"/>
          <w:noEndnote/>
          <w:titlePg/>
          <w:docGrid w:linePitch="326"/>
        </w:sectPr>
      </w:pPr>
    </w:p>
    <w:p w:rsidR="00AF4E27" w:rsidRPr="005B7BC7" w:rsidRDefault="00F3703B" w:rsidP="00A20298">
      <w:pPr>
        <w:pStyle w:val="TOCTitle"/>
      </w:pPr>
      <w:r w:rsidRPr="005B7BC7">
        <w:lastRenderedPageBreak/>
        <w:t>Table of Contents</w:t>
      </w:r>
    </w:p>
    <w:p w:rsidR="00A838B4" w:rsidRPr="005B7BC7" w:rsidRDefault="00A838B4" w:rsidP="00D87929">
      <w:pPr>
        <w:pStyle w:val="BodyText1"/>
      </w:pPr>
    </w:p>
    <w:p w:rsidR="00D50538" w:rsidRDefault="008929F1">
      <w:pPr>
        <w:pStyle w:val="TOC1"/>
        <w:rPr>
          <w:rFonts w:asciiTheme="minorHAnsi" w:eastAsiaTheme="minorEastAsia" w:hAnsiTheme="minorHAnsi" w:cstheme="minorBidi"/>
          <w:b w:val="0"/>
          <w:bCs w:val="0"/>
          <w:caps w:val="0"/>
          <w:szCs w:val="22"/>
          <w:lang w:eastAsia="en-AU"/>
        </w:rPr>
      </w:pPr>
      <w:r w:rsidRPr="005B7BC7">
        <w:rPr>
          <w:b w:val="0"/>
          <w:bCs w:val="0"/>
        </w:rPr>
        <w:fldChar w:fldCharType="begin"/>
      </w:r>
      <w:r w:rsidR="00FD22BC" w:rsidRPr="005B7BC7">
        <w:rPr>
          <w:b w:val="0"/>
        </w:rPr>
        <w:instrText xml:space="preserve"> TOC \o "1-2" \h \z \u </w:instrText>
      </w:r>
      <w:r w:rsidRPr="005B7BC7">
        <w:rPr>
          <w:b w:val="0"/>
          <w:bCs w:val="0"/>
        </w:rPr>
        <w:fldChar w:fldCharType="separate"/>
      </w:r>
      <w:hyperlink w:anchor="_Toc440030042" w:history="1">
        <w:r w:rsidR="00D50538" w:rsidRPr="00C41D0B">
          <w:rPr>
            <w:rStyle w:val="Hyperlink"/>
          </w:rPr>
          <w:t>1.</w:t>
        </w:r>
        <w:r w:rsidR="00D50538">
          <w:rPr>
            <w:rFonts w:asciiTheme="minorHAnsi" w:eastAsiaTheme="minorEastAsia" w:hAnsiTheme="minorHAnsi" w:cstheme="minorBidi"/>
            <w:b w:val="0"/>
            <w:bCs w:val="0"/>
            <w:caps w:val="0"/>
            <w:szCs w:val="22"/>
            <w:lang w:eastAsia="en-AU"/>
          </w:rPr>
          <w:tab/>
        </w:r>
        <w:r w:rsidR="00D50538" w:rsidRPr="00C41D0B">
          <w:rPr>
            <w:rStyle w:val="Hyperlink"/>
          </w:rPr>
          <w:t>Introduction</w:t>
        </w:r>
        <w:r w:rsidR="00D50538">
          <w:rPr>
            <w:webHidden/>
          </w:rPr>
          <w:tab/>
        </w:r>
        <w:r w:rsidR="00D50538">
          <w:rPr>
            <w:webHidden/>
          </w:rPr>
          <w:fldChar w:fldCharType="begin"/>
        </w:r>
        <w:r w:rsidR="00D50538">
          <w:rPr>
            <w:webHidden/>
          </w:rPr>
          <w:instrText xml:space="preserve"> PAGEREF _Toc440030042 \h </w:instrText>
        </w:r>
        <w:r w:rsidR="00D50538">
          <w:rPr>
            <w:webHidden/>
          </w:rPr>
        </w:r>
        <w:r w:rsidR="00D50538">
          <w:rPr>
            <w:webHidden/>
          </w:rPr>
          <w:fldChar w:fldCharType="separate"/>
        </w:r>
        <w:r w:rsidR="007D5E9F">
          <w:rPr>
            <w:webHidden/>
          </w:rPr>
          <w:t>1</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3" w:history="1">
        <w:r w:rsidR="00D50538" w:rsidRPr="00C41D0B">
          <w:rPr>
            <w:rStyle w:val="Hyperlink"/>
          </w:rPr>
          <w:t>1.1</w:t>
        </w:r>
        <w:r w:rsidR="00D50538">
          <w:rPr>
            <w:rFonts w:asciiTheme="minorHAnsi" w:eastAsiaTheme="minorEastAsia" w:hAnsiTheme="minorHAnsi" w:cstheme="minorBidi"/>
            <w:b w:val="0"/>
            <w:bCs w:val="0"/>
            <w:caps w:val="0"/>
            <w:szCs w:val="22"/>
            <w:lang w:eastAsia="en-AU"/>
          </w:rPr>
          <w:tab/>
        </w:r>
        <w:r w:rsidR="00D50538" w:rsidRPr="00C41D0B">
          <w:rPr>
            <w:rStyle w:val="Hyperlink"/>
          </w:rPr>
          <w:t>Purpose</w:t>
        </w:r>
        <w:r w:rsidR="00D50538">
          <w:rPr>
            <w:webHidden/>
          </w:rPr>
          <w:tab/>
        </w:r>
        <w:r w:rsidR="00D50538">
          <w:rPr>
            <w:webHidden/>
          </w:rPr>
          <w:fldChar w:fldCharType="begin"/>
        </w:r>
        <w:r w:rsidR="00D50538">
          <w:rPr>
            <w:webHidden/>
          </w:rPr>
          <w:instrText xml:space="preserve"> PAGEREF _Toc440030043 \h </w:instrText>
        </w:r>
        <w:r w:rsidR="00D50538">
          <w:rPr>
            <w:webHidden/>
          </w:rPr>
        </w:r>
        <w:r w:rsidR="00D50538">
          <w:rPr>
            <w:webHidden/>
          </w:rPr>
          <w:fldChar w:fldCharType="separate"/>
        </w:r>
        <w:r w:rsidR="007D5E9F">
          <w:rPr>
            <w:webHidden/>
          </w:rPr>
          <w:t>1</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4" w:history="1">
        <w:r w:rsidR="00D50538" w:rsidRPr="00C41D0B">
          <w:rPr>
            <w:rStyle w:val="Hyperlink"/>
          </w:rPr>
          <w:t>1.2</w:t>
        </w:r>
        <w:r w:rsidR="00D50538">
          <w:rPr>
            <w:rFonts w:asciiTheme="minorHAnsi" w:eastAsiaTheme="minorEastAsia" w:hAnsiTheme="minorHAnsi" w:cstheme="minorBidi"/>
            <w:b w:val="0"/>
            <w:bCs w:val="0"/>
            <w:caps w:val="0"/>
            <w:szCs w:val="22"/>
            <w:lang w:eastAsia="en-AU"/>
          </w:rPr>
          <w:tab/>
        </w:r>
        <w:r w:rsidR="00D50538" w:rsidRPr="00C41D0B">
          <w:rPr>
            <w:rStyle w:val="Hyperlink"/>
          </w:rPr>
          <w:t>Use of data</w:t>
        </w:r>
        <w:r w:rsidR="00D50538">
          <w:rPr>
            <w:webHidden/>
          </w:rPr>
          <w:tab/>
        </w:r>
        <w:r w:rsidR="00D50538">
          <w:rPr>
            <w:webHidden/>
          </w:rPr>
          <w:fldChar w:fldCharType="begin"/>
        </w:r>
        <w:r w:rsidR="00D50538">
          <w:rPr>
            <w:webHidden/>
          </w:rPr>
          <w:instrText xml:space="preserve"> PAGEREF _Toc440030044 \h </w:instrText>
        </w:r>
        <w:r w:rsidR="00D50538">
          <w:rPr>
            <w:webHidden/>
          </w:rPr>
        </w:r>
        <w:r w:rsidR="00D50538">
          <w:rPr>
            <w:webHidden/>
          </w:rPr>
          <w:fldChar w:fldCharType="separate"/>
        </w:r>
        <w:r w:rsidR="007D5E9F">
          <w:rPr>
            <w:webHidden/>
          </w:rPr>
          <w:t>1</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5" w:history="1">
        <w:r w:rsidR="00D50538" w:rsidRPr="00C41D0B">
          <w:rPr>
            <w:rStyle w:val="Hyperlink"/>
          </w:rPr>
          <w:t>1.3</w:t>
        </w:r>
        <w:r w:rsidR="00D50538">
          <w:rPr>
            <w:rFonts w:asciiTheme="minorHAnsi" w:eastAsiaTheme="minorEastAsia" w:hAnsiTheme="minorHAnsi" w:cstheme="minorBidi"/>
            <w:b w:val="0"/>
            <w:bCs w:val="0"/>
            <w:caps w:val="0"/>
            <w:szCs w:val="22"/>
            <w:lang w:eastAsia="en-AU"/>
          </w:rPr>
          <w:tab/>
        </w:r>
        <w:r w:rsidR="00D50538" w:rsidRPr="00C41D0B">
          <w:rPr>
            <w:rStyle w:val="Hyperlink"/>
          </w:rPr>
          <w:t>Use of funding</w:t>
        </w:r>
        <w:r w:rsidR="00D50538">
          <w:rPr>
            <w:webHidden/>
          </w:rPr>
          <w:tab/>
        </w:r>
        <w:r w:rsidR="00D50538">
          <w:rPr>
            <w:webHidden/>
          </w:rPr>
          <w:fldChar w:fldCharType="begin"/>
        </w:r>
        <w:r w:rsidR="00D50538">
          <w:rPr>
            <w:webHidden/>
          </w:rPr>
          <w:instrText xml:space="preserve"> PAGEREF _Toc440030045 \h </w:instrText>
        </w:r>
        <w:r w:rsidR="00D50538">
          <w:rPr>
            <w:webHidden/>
          </w:rPr>
        </w:r>
        <w:r w:rsidR="00D50538">
          <w:rPr>
            <w:webHidden/>
          </w:rPr>
          <w:fldChar w:fldCharType="separate"/>
        </w:r>
        <w:r w:rsidR="007D5E9F">
          <w:rPr>
            <w:webHidden/>
          </w:rPr>
          <w:t>1</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6" w:history="1">
        <w:r w:rsidR="00D50538" w:rsidRPr="00C41D0B">
          <w:rPr>
            <w:rStyle w:val="Hyperlink"/>
          </w:rPr>
          <w:t>1.4</w:t>
        </w:r>
        <w:r w:rsidR="00D50538">
          <w:rPr>
            <w:rFonts w:asciiTheme="minorHAnsi" w:eastAsiaTheme="minorEastAsia" w:hAnsiTheme="minorHAnsi" w:cstheme="minorBidi"/>
            <w:b w:val="0"/>
            <w:bCs w:val="0"/>
            <w:caps w:val="0"/>
            <w:szCs w:val="22"/>
            <w:lang w:eastAsia="en-AU"/>
          </w:rPr>
          <w:tab/>
        </w:r>
        <w:r w:rsidR="00D50538" w:rsidRPr="00C41D0B">
          <w:rPr>
            <w:rStyle w:val="Hyperlink"/>
          </w:rPr>
          <w:t>Information to be submitted</w:t>
        </w:r>
        <w:r w:rsidR="00D50538">
          <w:rPr>
            <w:webHidden/>
          </w:rPr>
          <w:tab/>
        </w:r>
        <w:r w:rsidR="00D50538">
          <w:rPr>
            <w:webHidden/>
          </w:rPr>
          <w:fldChar w:fldCharType="begin"/>
        </w:r>
        <w:r w:rsidR="00D50538">
          <w:rPr>
            <w:webHidden/>
          </w:rPr>
          <w:instrText xml:space="preserve"> PAGEREF _Toc440030046 \h </w:instrText>
        </w:r>
        <w:r w:rsidR="00D50538">
          <w:rPr>
            <w:webHidden/>
          </w:rPr>
        </w:r>
        <w:r w:rsidR="00D50538">
          <w:rPr>
            <w:webHidden/>
          </w:rPr>
          <w:fldChar w:fldCharType="separate"/>
        </w:r>
        <w:r w:rsidR="007D5E9F">
          <w:rPr>
            <w:webHidden/>
          </w:rPr>
          <w:t>2</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7" w:history="1">
        <w:r w:rsidR="00D50538" w:rsidRPr="00C41D0B">
          <w:rPr>
            <w:rStyle w:val="Hyperlink"/>
          </w:rPr>
          <w:t>1.5</w:t>
        </w:r>
        <w:r w:rsidR="00D50538">
          <w:rPr>
            <w:rFonts w:asciiTheme="minorHAnsi" w:eastAsiaTheme="minorEastAsia" w:hAnsiTheme="minorHAnsi" w:cstheme="minorBidi"/>
            <w:b w:val="0"/>
            <w:bCs w:val="0"/>
            <w:caps w:val="0"/>
            <w:szCs w:val="22"/>
            <w:lang w:eastAsia="en-AU"/>
          </w:rPr>
          <w:tab/>
        </w:r>
        <w:r w:rsidR="00D50538" w:rsidRPr="00C41D0B">
          <w:rPr>
            <w:rStyle w:val="Hyperlink"/>
          </w:rPr>
          <w:t>Submission due date</w:t>
        </w:r>
        <w:r w:rsidR="00D50538">
          <w:rPr>
            <w:webHidden/>
          </w:rPr>
          <w:tab/>
        </w:r>
        <w:r w:rsidR="00D50538">
          <w:rPr>
            <w:webHidden/>
          </w:rPr>
          <w:fldChar w:fldCharType="begin"/>
        </w:r>
        <w:r w:rsidR="00D50538">
          <w:rPr>
            <w:webHidden/>
          </w:rPr>
          <w:instrText xml:space="preserve"> PAGEREF _Toc440030047 \h </w:instrText>
        </w:r>
        <w:r w:rsidR="00D50538">
          <w:rPr>
            <w:webHidden/>
          </w:rPr>
        </w:r>
        <w:r w:rsidR="00D50538">
          <w:rPr>
            <w:webHidden/>
          </w:rPr>
          <w:fldChar w:fldCharType="separate"/>
        </w:r>
        <w:r w:rsidR="007D5E9F">
          <w:rPr>
            <w:webHidden/>
          </w:rPr>
          <w:t>2</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8" w:history="1">
        <w:r w:rsidR="00D50538" w:rsidRPr="00C41D0B">
          <w:rPr>
            <w:rStyle w:val="Hyperlink"/>
          </w:rPr>
          <w:t>1.6</w:t>
        </w:r>
        <w:r w:rsidR="00D50538">
          <w:rPr>
            <w:rFonts w:asciiTheme="minorHAnsi" w:eastAsiaTheme="minorEastAsia" w:hAnsiTheme="minorHAnsi" w:cstheme="minorBidi"/>
            <w:b w:val="0"/>
            <w:bCs w:val="0"/>
            <w:caps w:val="0"/>
            <w:szCs w:val="22"/>
            <w:lang w:eastAsia="en-AU"/>
          </w:rPr>
          <w:tab/>
        </w:r>
        <w:r w:rsidR="00D50538" w:rsidRPr="00C41D0B">
          <w:rPr>
            <w:rStyle w:val="Hyperlink"/>
          </w:rPr>
          <w:t>Verification material</w:t>
        </w:r>
        <w:r w:rsidR="00D50538">
          <w:rPr>
            <w:webHidden/>
          </w:rPr>
          <w:tab/>
        </w:r>
        <w:r w:rsidR="00D50538">
          <w:rPr>
            <w:webHidden/>
          </w:rPr>
          <w:fldChar w:fldCharType="begin"/>
        </w:r>
        <w:r w:rsidR="00D50538">
          <w:rPr>
            <w:webHidden/>
          </w:rPr>
          <w:instrText xml:space="preserve"> PAGEREF _Toc440030048 \h </w:instrText>
        </w:r>
        <w:r w:rsidR="00D50538">
          <w:rPr>
            <w:webHidden/>
          </w:rPr>
        </w:r>
        <w:r w:rsidR="00D50538">
          <w:rPr>
            <w:webHidden/>
          </w:rPr>
          <w:fldChar w:fldCharType="separate"/>
        </w:r>
        <w:r w:rsidR="007D5E9F">
          <w:rPr>
            <w:webHidden/>
          </w:rPr>
          <w:t>3</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49" w:history="1">
        <w:r w:rsidR="00D50538" w:rsidRPr="00C41D0B">
          <w:rPr>
            <w:rStyle w:val="Hyperlink"/>
          </w:rPr>
          <w:t>1.7</w:t>
        </w:r>
        <w:r w:rsidR="00D50538">
          <w:rPr>
            <w:rFonts w:asciiTheme="minorHAnsi" w:eastAsiaTheme="minorEastAsia" w:hAnsiTheme="minorHAnsi" w:cstheme="minorBidi"/>
            <w:b w:val="0"/>
            <w:bCs w:val="0"/>
            <w:caps w:val="0"/>
            <w:szCs w:val="22"/>
            <w:lang w:eastAsia="en-AU"/>
          </w:rPr>
          <w:tab/>
        </w:r>
        <w:r w:rsidR="00D50538" w:rsidRPr="00C41D0B">
          <w:rPr>
            <w:rStyle w:val="Hyperlink"/>
          </w:rPr>
          <w:t>Related documents</w:t>
        </w:r>
        <w:r w:rsidR="00D50538">
          <w:rPr>
            <w:webHidden/>
          </w:rPr>
          <w:tab/>
        </w:r>
        <w:r w:rsidR="00D50538">
          <w:rPr>
            <w:webHidden/>
          </w:rPr>
          <w:fldChar w:fldCharType="begin"/>
        </w:r>
        <w:r w:rsidR="00D50538">
          <w:rPr>
            <w:webHidden/>
          </w:rPr>
          <w:instrText xml:space="preserve"> PAGEREF _Toc440030049 \h </w:instrText>
        </w:r>
        <w:r w:rsidR="00D50538">
          <w:rPr>
            <w:webHidden/>
          </w:rPr>
        </w:r>
        <w:r w:rsidR="00D50538">
          <w:rPr>
            <w:webHidden/>
          </w:rPr>
          <w:fldChar w:fldCharType="separate"/>
        </w:r>
        <w:r w:rsidR="007D5E9F">
          <w:rPr>
            <w:webHidden/>
          </w:rPr>
          <w:t>3</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50" w:history="1">
        <w:r w:rsidR="00D50538" w:rsidRPr="00C41D0B">
          <w:rPr>
            <w:rStyle w:val="Hyperlink"/>
          </w:rPr>
          <w:t>1.8</w:t>
        </w:r>
        <w:r w:rsidR="00D50538">
          <w:rPr>
            <w:rFonts w:asciiTheme="minorHAnsi" w:eastAsiaTheme="minorEastAsia" w:hAnsiTheme="minorHAnsi" w:cstheme="minorBidi"/>
            <w:b w:val="0"/>
            <w:bCs w:val="0"/>
            <w:caps w:val="0"/>
            <w:szCs w:val="22"/>
            <w:lang w:eastAsia="en-AU"/>
          </w:rPr>
          <w:tab/>
        </w:r>
        <w:r w:rsidR="00D50538" w:rsidRPr="00C41D0B">
          <w:rPr>
            <w:rStyle w:val="Hyperlink"/>
          </w:rPr>
          <w:t>Freedom of Information Act 1982</w:t>
        </w:r>
        <w:r w:rsidR="00D50538">
          <w:rPr>
            <w:webHidden/>
          </w:rPr>
          <w:tab/>
        </w:r>
        <w:r w:rsidR="00D50538">
          <w:rPr>
            <w:webHidden/>
          </w:rPr>
          <w:fldChar w:fldCharType="begin"/>
        </w:r>
        <w:r w:rsidR="00D50538">
          <w:rPr>
            <w:webHidden/>
          </w:rPr>
          <w:instrText xml:space="preserve"> PAGEREF _Toc440030050 \h </w:instrText>
        </w:r>
        <w:r w:rsidR="00D50538">
          <w:rPr>
            <w:webHidden/>
          </w:rPr>
        </w:r>
        <w:r w:rsidR="00D50538">
          <w:rPr>
            <w:webHidden/>
          </w:rPr>
          <w:fldChar w:fldCharType="separate"/>
        </w:r>
        <w:r w:rsidR="007D5E9F">
          <w:rPr>
            <w:webHidden/>
          </w:rPr>
          <w:t>3</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51" w:history="1">
        <w:r w:rsidR="00D50538" w:rsidRPr="00C41D0B">
          <w:rPr>
            <w:rStyle w:val="Hyperlink"/>
          </w:rPr>
          <w:t>1.9</w:t>
        </w:r>
        <w:r w:rsidR="00D50538">
          <w:rPr>
            <w:rFonts w:asciiTheme="minorHAnsi" w:eastAsiaTheme="minorEastAsia" w:hAnsiTheme="minorHAnsi" w:cstheme="minorBidi"/>
            <w:b w:val="0"/>
            <w:bCs w:val="0"/>
            <w:caps w:val="0"/>
            <w:szCs w:val="22"/>
            <w:lang w:eastAsia="en-AU"/>
          </w:rPr>
          <w:tab/>
        </w:r>
        <w:r w:rsidR="00D50538" w:rsidRPr="00C41D0B">
          <w:rPr>
            <w:rStyle w:val="Hyperlink"/>
          </w:rPr>
          <w:t>Contact Details</w:t>
        </w:r>
        <w:r w:rsidR="00D50538">
          <w:rPr>
            <w:webHidden/>
          </w:rPr>
          <w:tab/>
        </w:r>
        <w:r w:rsidR="00D50538">
          <w:rPr>
            <w:webHidden/>
          </w:rPr>
          <w:fldChar w:fldCharType="begin"/>
        </w:r>
        <w:r w:rsidR="00D50538">
          <w:rPr>
            <w:webHidden/>
          </w:rPr>
          <w:instrText xml:space="preserve"> PAGEREF _Toc440030051 \h </w:instrText>
        </w:r>
        <w:r w:rsidR="00D50538">
          <w:rPr>
            <w:webHidden/>
          </w:rPr>
        </w:r>
        <w:r w:rsidR="00D50538">
          <w:rPr>
            <w:webHidden/>
          </w:rPr>
          <w:fldChar w:fldCharType="separate"/>
        </w:r>
        <w:r w:rsidR="007D5E9F">
          <w:rPr>
            <w:webHidden/>
          </w:rPr>
          <w:t>3</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52" w:history="1">
        <w:r w:rsidR="00D50538" w:rsidRPr="00C41D0B">
          <w:rPr>
            <w:rStyle w:val="Hyperlink"/>
          </w:rPr>
          <w:t>2.</w:t>
        </w:r>
        <w:r w:rsidR="00D50538">
          <w:rPr>
            <w:rFonts w:asciiTheme="minorHAnsi" w:eastAsiaTheme="minorEastAsia" w:hAnsiTheme="minorHAnsi" w:cstheme="minorBidi"/>
            <w:b w:val="0"/>
            <w:bCs w:val="0"/>
            <w:caps w:val="0"/>
            <w:szCs w:val="22"/>
            <w:lang w:eastAsia="en-AU"/>
          </w:rPr>
          <w:tab/>
        </w:r>
        <w:r w:rsidR="00D50538" w:rsidRPr="00C41D0B">
          <w:rPr>
            <w:rStyle w:val="Hyperlink"/>
          </w:rPr>
          <w:t>Key differences between the 201</w:t>
        </w:r>
        <w:r w:rsidR="00844AFC">
          <w:rPr>
            <w:rStyle w:val="Hyperlink"/>
          </w:rPr>
          <w:t>7</w:t>
        </w:r>
        <w:r w:rsidR="00D50538" w:rsidRPr="00C41D0B">
          <w:rPr>
            <w:rStyle w:val="Hyperlink"/>
          </w:rPr>
          <w:t xml:space="preserve"> and 201</w:t>
        </w:r>
        <w:r w:rsidR="00844AFC">
          <w:rPr>
            <w:rStyle w:val="Hyperlink"/>
          </w:rPr>
          <w:t>6</w:t>
        </w:r>
        <w:r w:rsidR="00D50538" w:rsidRPr="00C41D0B">
          <w:rPr>
            <w:rStyle w:val="Hyperlink"/>
          </w:rPr>
          <w:t xml:space="preserve"> HERDC Specifications</w:t>
        </w:r>
        <w:r w:rsidR="00D50538">
          <w:rPr>
            <w:webHidden/>
          </w:rPr>
          <w:tab/>
        </w:r>
        <w:r w:rsidR="00D50538">
          <w:rPr>
            <w:webHidden/>
          </w:rPr>
          <w:fldChar w:fldCharType="begin"/>
        </w:r>
        <w:r w:rsidR="00D50538">
          <w:rPr>
            <w:webHidden/>
          </w:rPr>
          <w:instrText xml:space="preserve"> PAGEREF _Toc440030052 \h </w:instrText>
        </w:r>
        <w:r w:rsidR="00D50538">
          <w:rPr>
            <w:webHidden/>
          </w:rPr>
        </w:r>
        <w:r w:rsidR="00D50538">
          <w:rPr>
            <w:webHidden/>
          </w:rPr>
          <w:fldChar w:fldCharType="separate"/>
        </w:r>
        <w:r w:rsidR="007D5E9F">
          <w:rPr>
            <w:webHidden/>
          </w:rPr>
          <w:t>4</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53" w:history="1">
        <w:r w:rsidR="00D50538" w:rsidRPr="00C41D0B">
          <w:rPr>
            <w:rStyle w:val="Hyperlink"/>
          </w:rPr>
          <w:t>3.</w:t>
        </w:r>
        <w:r w:rsidR="00D50538">
          <w:rPr>
            <w:rFonts w:asciiTheme="minorHAnsi" w:eastAsiaTheme="minorEastAsia" w:hAnsiTheme="minorHAnsi" w:cstheme="minorBidi"/>
            <w:b w:val="0"/>
            <w:bCs w:val="0"/>
            <w:caps w:val="0"/>
            <w:szCs w:val="22"/>
            <w:lang w:eastAsia="en-AU"/>
          </w:rPr>
          <w:tab/>
        </w:r>
        <w:r w:rsidR="00D50538" w:rsidRPr="00C41D0B">
          <w:rPr>
            <w:rStyle w:val="Hyperlink"/>
          </w:rPr>
          <w:t>Definition of Research</w:t>
        </w:r>
        <w:r w:rsidR="00D50538">
          <w:rPr>
            <w:webHidden/>
          </w:rPr>
          <w:tab/>
        </w:r>
        <w:r w:rsidR="00D50538">
          <w:rPr>
            <w:webHidden/>
          </w:rPr>
          <w:fldChar w:fldCharType="begin"/>
        </w:r>
        <w:r w:rsidR="00D50538">
          <w:rPr>
            <w:webHidden/>
          </w:rPr>
          <w:instrText xml:space="preserve"> PAGEREF _Toc440030053 \h </w:instrText>
        </w:r>
        <w:r w:rsidR="00D50538">
          <w:rPr>
            <w:webHidden/>
          </w:rPr>
        </w:r>
        <w:r w:rsidR="00D50538">
          <w:rPr>
            <w:webHidden/>
          </w:rPr>
          <w:fldChar w:fldCharType="separate"/>
        </w:r>
        <w:r w:rsidR="007D5E9F">
          <w:rPr>
            <w:webHidden/>
          </w:rPr>
          <w:t>6</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54" w:history="1">
        <w:r w:rsidR="00D50538" w:rsidRPr="00C41D0B">
          <w:rPr>
            <w:rStyle w:val="Hyperlink"/>
          </w:rPr>
          <w:t>4.</w:t>
        </w:r>
        <w:r w:rsidR="00D50538">
          <w:rPr>
            <w:rFonts w:asciiTheme="minorHAnsi" w:eastAsiaTheme="minorEastAsia" w:hAnsiTheme="minorHAnsi" w:cstheme="minorBidi"/>
            <w:b w:val="0"/>
            <w:bCs w:val="0"/>
            <w:caps w:val="0"/>
            <w:szCs w:val="22"/>
            <w:lang w:eastAsia="en-AU"/>
          </w:rPr>
          <w:tab/>
        </w:r>
        <w:r w:rsidR="00D50538" w:rsidRPr="00C41D0B">
          <w:rPr>
            <w:rStyle w:val="Hyperlink"/>
          </w:rPr>
          <w:t>Categories 1 – 3 Research Income</w:t>
        </w:r>
        <w:r w:rsidR="00D50538">
          <w:rPr>
            <w:webHidden/>
          </w:rPr>
          <w:tab/>
        </w:r>
        <w:r w:rsidR="00D50538">
          <w:rPr>
            <w:webHidden/>
          </w:rPr>
          <w:fldChar w:fldCharType="begin"/>
        </w:r>
        <w:r w:rsidR="00D50538">
          <w:rPr>
            <w:webHidden/>
          </w:rPr>
          <w:instrText xml:space="preserve"> PAGEREF _Toc440030054 \h </w:instrText>
        </w:r>
        <w:r w:rsidR="00D50538">
          <w:rPr>
            <w:webHidden/>
          </w:rPr>
        </w:r>
        <w:r w:rsidR="00D50538">
          <w:rPr>
            <w:webHidden/>
          </w:rPr>
          <w:fldChar w:fldCharType="separate"/>
        </w:r>
        <w:r w:rsidR="007D5E9F">
          <w:rPr>
            <w:webHidden/>
          </w:rPr>
          <w:t>8</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55" w:history="1">
        <w:r w:rsidR="00D50538" w:rsidRPr="00C41D0B">
          <w:rPr>
            <w:rStyle w:val="Hyperlink"/>
            <w:rFonts w:ascii="Arial Bold" w:hAnsi="Arial Bold"/>
          </w:rPr>
          <w:t>4.1</w:t>
        </w:r>
        <w:r w:rsidR="00D50538">
          <w:rPr>
            <w:rFonts w:asciiTheme="minorHAnsi" w:eastAsiaTheme="minorEastAsia" w:hAnsiTheme="minorHAnsi" w:cstheme="minorBidi"/>
            <w:bCs w:val="0"/>
            <w:szCs w:val="22"/>
          </w:rPr>
          <w:tab/>
        </w:r>
        <w:r w:rsidR="00D50538" w:rsidRPr="00C41D0B">
          <w:rPr>
            <w:rStyle w:val="Hyperlink"/>
          </w:rPr>
          <w:t>General requirements</w:t>
        </w:r>
        <w:r w:rsidR="00D50538">
          <w:rPr>
            <w:webHidden/>
          </w:rPr>
          <w:tab/>
        </w:r>
        <w:r w:rsidR="00D50538">
          <w:rPr>
            <w:webHidden/>
          </w:rPr>
          <w:fldChar w:fldCharType="begin"/>
        </w:r>
        <w:r w:rsidR="00D50538">
          <w:rPr>
            <w:webHidden/>
          </w:rPr>
          <w:instrText xml:space="preserve"> PAGEREF _Toc440030055 \h </w:instrText>
        </w:r>
        <w:r w:rsidR="00D50538">
          <w:rPr>
            <w:webHidden/>
          </w:rPr>
        </w:r>
        <w:r w:rsidR="00D50538">
          <w:rPr>
            <w:webHidden/>
          </w:rPr>
          <w:fldChar w:fldCharType="separate"/>
        </w:r>
        <w:r w:rsidR="007D5E9F">
          <w:rPr>
            <w:webHidden/>
          </w:rPr>
          <w:t>8</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56" w:history="1">
        <w:r w:rsidR="00D50538" w:rsidRPr="00C41D0B">
          <w:rPr>
            <w:rStyle w:val="Hyperlink"/>
            <w:rFonts w:ascii="Arial Bold" w:hAnsi="Arial Bold"/>
          </w:rPr>
          <w:t>4.2</w:t>
        </w:r>
        <w:r w:rsidR="00D50538">
          <w:rPr>
            <w:rFonts w:asciiTheme="minorHAnsi" w:eastAsiaTheme="minorEastAsia" w:hAnsiTheme="minorHAnsi" w:cstheme="minorBidi"/>
            <w:bCs w:val="0"/>
            <w:szCs w:val="22"/>
          </w:rPr>
          <w:tab/>
        </w:r>
        <w:r w:rsidR="00D50538" w:rsidRPr="00C41D0B">
          <w:rPr>
            <w:rStyle w:val="Hyperlink"/>
          </w:rPr>
          <w:t>Inclusions and Exclusions</w:t>
        </w:r>
        <w:r w:rsidR="00D50538">
          <w:rPr>
            <w:webHidden/>
          </w:rPr>
          <w:tab/>
        </w:r>
        <w:r w:rsidR="00D50538">
          <w:rPr>
            <w:webHidden/>
          </w:rPr>
          <w:fldChar w:fldCharType="begin"/>
        </w:r>
        <w:r w:rsidR="00D50538">
          <w:rPr>
            <w:webHidden/>
          </w:rPr>
          <w:instrText xml:space="preserve"> PAGEREF _Toc440030056 \h </w:instrText>
        </w:r>
        <w:r w:rsidR="00D50538">
          <w:rPr>
            <w:webHidden/>
          </w:rPr>
        </w:r>
        <w:r w:rsidR="00D50538">
          <w:rPr>
            <w:webHidden/>
          </w:rPr>
          <w:fldChar w:fldCharType="separate"/>
        </w:r>
        <w:r w:rsidR="007D5E9F">
          <w:rPr>
            <w:webHidden/>
          </w:rPr>
          <w:t>9</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57" w:history="1">
        <w:r w:rsidR="00D50538" w:rsidRPr="00C41D0B">
          <w:rPr>
            <w:rStyle w:val="Hyperlink"/>
            <w:rFonts w:ascii="Arial Bold" w:hAnsi="Arial Bold"/>
          </w:rPr>
          <w:t>4.3</w:t>
        </w:r>
        <w:r w:rsidR="00D50538">
          <w:rPr>
            <w:rFonts w:asciiTheme="minorHAnsi" w:eastAsiaTheme="minorEastAsia" w:hAnsiTheme="minorHAnsi" w:cstheme="minorBidi"/>
            <w:bCs w:val="0"/>
            <w:szCs w:val="22"/>
          </w:rPr>
          <w:tab/>
        </w:r>
        <w:r w:rsidR="00D50538" w:rsidRPr="00C41D0B">
          <w:rPr>
            <w:rStyle w:val="Hyperlink"/>
          </w:rPr>
          <w:t>Income involving other parties</w:t>
        </w:r>
        <w:r w:rsidR="00D50538">
          <w:rPr>
            <w:webHidden/>
          </w:rPr>
          <w:tab/>
        </w:r>
        <w:r w:rsidR="00D50538">
          <w:rPr>
            <w:webHidden/>
          </w:rPr>
          <w:fldChar w:fldCharType="begin"/>
        </w:r>
        <w:r w:rsidR="00D50538">
          <w:rPr>
            <w:webHidden/>
          </w:rPr>
          <w:instrText xml:space="preserve"> PAGEREF _Toc440030057 \h </w:instrText>
        </w:r>
        <w:r w:rsidR="00D50538">
          <w:rPr>
            <w:webHidden/>
          </w:rPr>
        </w:r>
        <w:r w:rsidR="00D50538">
          <w:rPr>
            <w:webHidden/>
          </w:rPr>
          <w:fldChar w:fldCharType="separate"/>
        </w:r>
        <w:r w:rsidR="007D5E9F">
          <w:rPr>
            <w:webHidden/>
          </w:rPr>
          <w:t>11</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58" w:history="1">
        <w:r w:rsidR="00D50538" w:rsidRPr="00C41D0B">
          <w:rPr>
            <w:rStyle w:val="Hyperlink"/>
            <w:rFonts w:ascii="Arial Bold" w:hAnsi="Arial Bold"/>
          </w:rPr>
          <w:t>4.4</w:t>
        </w:r>
        <w:r w:rsidR="00D50538">
          <w:rPr>
            <w:rFonts w:asciiTheme="minorHAnsi" w:eastAsiaTheme="minorEastAsia" w:hAnsiTheme="minorHAnsi" w:cstheme="minorBidi"/>
            <w:bCs w:val="0"/>
            <w:szCs w:val="22"/>
          </w:rPr>
          <w:tab/>
        </w:r>
        <w:r w:rsidR="00D50538" w:rsidRPr="00C41D0B">
          <w:rPr>
            <w:rStyle w:val="Hyperlink"/>
          </w:rPr>
          <w:t>Transfers</w:t>
        </w:r>
        <w:r w:rsidR="00D50538">
          <w:rPr>
            <w:webHidden/>
          </w:rPr>
          <w:tab/>
        </w:r>
        <w:r w:rsidR="00D50538">
          <w:rPr>
            <w:webHidden/>
          </w:rPr>
          <w:fldChar w:fldCharType="begin"/>
        </w:r>
        <w:r w:rsidR="00D50538">
          <w:rPr>
            <w:webHidden/>
          </w:rPr>
          <w:instrText xml:space="preserve"> PAGEREF _Toc440030058 \h </w:instrText>
        </w:r>
        <w:r w:rsidR="00D50538">
          <w:rPr>
            <w:webHidden/>
          </w:rPr>
        </w:r>
        <w:r w:rsidR="00D50538">
          <w:rPr>
            <w:webHidden/>
          </w:rPr>
          <w:fldChar w:fldCharType="separate"/>
        </w:r>
        <w:r w:rsidR="007D5E9F">
          <w:rPr>
            <w:webHidden/>
          </w:rPr>
          <w:t>12</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59" w:history="1">
        <w:r w:rsidR="00D50538" w:rsidRPr="00C41D0B">
          <w:rPr>
            <w:rStyle w:val="Hyperlink"/>
            <w:rFonts w:ascii="Arial Bold" w:hAnsi="Arial Bold"/>
          </w:rPr>
          <w:t>4.5</w:t>
        </w:r>
        <w:r w:rsidR="00D50538">
          <w:rPr>
            <w:rFonts w:asciiTheme="minorHAnsi" w:eastAsiaTheme="minorEastAsia" w:hAnsiTheme="minorHAnsi" w:cstheme="minorBidi"/>
            <w:bCs w:val="0"/>
            <w:szCs w:val="22"/>
          </w:rPr>
          <w:tab/>
        </w:r>
        <w:r w:rsidR="00D50538" w:rsidRPr="00C41D0B">
          <w:rPr>
            <w:rStyle w:val="Hyperlink"/>
          </w:rPr>
          <w:t>Research income categories</w:t>
        </w:r>
        <w:r w:rsidR="00D50538">
          <w:rPr>
            <w:webHidden/>
          </w:rPr>
          <w:tab/>
        </w:r>
        <w:r w:rsidR="00D50538">
          <w:rPr>
            <w:webHidden/>
          </w:rPr>
          <w:fldChar w:fldCharType="begin"/>
        </w:r>
        <w:r w:rsidR="00D50538">
          <w:rPr>
            <w:webHidden/>
          </w:rPr>
          <w:instrText xml:space="preserve"> PAGEREF _Toc440030059 \h </w:instrText>
        </w:r>
        <w:r w:rsidR="00D50538">
          <w:rPr>
            <w:webHidden/>
          </w:rPr>
        </w:r>
        <w:r w:rsidR="00D50538">
          <w:rPr>
            <w:webHidden/>
          </w:rPr>
          <w:fldChar w:fldCharType="separate"/>
        </w:r>
        <w:r w:rsidR="007D5E9F">
          <w:rPr>
            <w:webHidden/>
          </w:rPr>
          <w:t>12</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60" w:history="1">
        <w:r w:rsidR="00D50538" w:rsidRPr="00C41D0B">
          <w:rPr>
            <w:rStyle w:val="Hyperlink"/>
          </w:rPr>
          <w:t>5.</w:t>
        </w:r>
        <w:r w:rsidR="00D50538">
          <w:rPr>
            <w:rFonts w:asciiTheme="minorHAnsi" w:eastAsiaTheme="minorEastAsia" w:hAnsiTheme="minorHAnsi" w:cstheme="minorBidi"/>
            <w:b w:val="0"/>
            <w:bCs w:val="0"/>
            <w:caps w:val="0"/>
            <w:szCs w:val="22"/>
            <w:lang w:eastAsia="en-AU"/>
          </w:rPr>
          <w:tab/>
        </w:r>
        <w:r w:rsidR="00D50538" w:rsidRPr="00C41D0B">
          <w:rPr>
            <w:rStyle w:val="Hyperlink"/>
          </w:rPr>
          <w:t>Category 4: CRC Research income</w:t>
        </w:r>
        <w:r w:rsidR="00D50538">
          <w:rPr>
            <w:webHidden/>
          </w:rPr>
          <w:tab/>
        </w:r>
        <w:r w:rsidR="00D50538">
          <w:rPr>
            <w:webHidden/>
          </w:rPr>
          <w:fldChar w:fldCharType="begin"/>
        </w:r>
        <w:r w:rsidR="00D50538">
          <w:rPr>
            <w:webHidden/>
          </w:rPr>
          <w:instrText xml:space="preserve"> PAGEREF _Toc440030060 \h </w:instrText>
        </w:r>
        <w:r w:rsidR="00D50538">
          <w:rPr>
            <w:webHidden/>
          </w:rPr>
        </w:r>
        <w:r w:rsidR="00D50538">
          <w:rPr>
            <w:webHidden/>
          </w:rPr>
          <w:fldChar w:fldCharType="separate"/>
        </w:r>
        <w:r w:rsidR="007D5E9F">
          <w:rPr>
            <w:webHidden/>
          </w:rPr>
          <w:t>16</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1" w:history="1">
        <w:r w:rsidR="00D50538" w:rsidRPr="00C41D0B">
          <w:rPr>
            <w:rStyle w:val="Hyperlink"/>
            <w:rFonts w:ascii="Arial Bold" w:hAnsi="Arial Bold"/>
          </w:rPr>
          <w:t>5.1</w:t>
        </w:r>
        <w:r w:rsidR="00D50538">
          <w:rPr>
            <w:rFonts w:asciiTheme="minorHAnsi" w:eastAsiaTheme="minorEastAsia" w:hAnsiTheme="minorHAnsi" w:cstheme="minorBidi"/>
            <w:bCs w:val="0"/>
            <w:szCs w:val="22"/>
          </w:rPr>
          <w:tab/>
        </w:r>
        <w:r w:rsidR="00D50538" w:rsidRPr="00C41D0B">
          <w:rPr>
            <w:rStyle w:val="Hyperlink"/>
          </w:rPr>
          <w:t>General requirements</w:t>
        </w:r>
        <w:r w:rsidR="00D50538">
          <w:rPr>
            <w:webHidden/>
          </w:rPr>
          <w:tab/>
        </w:r>
        <w:r w:rsidR="00D50538">
          <w:rPr>
            <w:webHidden/>
          </w:rPr>
          <w:fldChar w:fldCharType="begin"/>
        </w:r>
        <w:r w:rsidR="00D50538">
          <w:rPr>
            <w:webHidden/>
          </w:rPr>
          <w:instrText xml:space="preserve"> PAGEREF _Toc440030061 \h </w:instrText>
        </w:r>
        <w:r w:rsidR="00D50538">
          <w:rPr>
            <w:webHidden/>
          </w:rPr>
        </w:r>
        <w:r w:rsidR="00D50538">
          <w:rPr>
            <w:webHidden/>
          </w:rPr>
          <w:fldChar w:fldCharType="separate"/>
        </w:r>
        <w:r w:rsidR="007D5E9F">
          <w:rPr>
            <w:webHidden/>
          </w:rPr>
          <w:t>16</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2" w:history="1">
        <w:r w:rsidR="00D50538" w:rsidRPr="00C41D0B">
          <w:rPr>
            <w:rStyle w:val="Hyperlink"/>
            <w:rFonts w:ascii="Arial Bold" w:hAnsi="Arial Bold"/>
          </w:rPr>
          <w:t>5.2</w:t>
        </w:r>
        <w:r w:rsidR="00D50538">
          <w:rPr>
            <w:rFonts w:asciiTheme="minorHAnsi" w:eastAsiaTheme="minorEastAsia" w:hAnsiTheme="minorHAnsi" w:cstheme="minorBidi"/>
            <w:bCs w:val="0"/>
            <w:szCs w:val="22"/>
          </w:rPr>
          <w:tab/>
        </w:r>
        <w:r w:rsidR="00D50538" w:rsidRPr="00C41D0B">
          <w:rPr>
            <w:rStyle w:val="Hyperlink"/>
          </w:rPr>
          <w:t>Arrangements applying to the collection and certification of CRC research income</w:t>
        </w:r>
        <w:r w:rsidR="00D50538">
          <w:rPr>
            <w:webHidden/>
          </w:rPr>
          <w:tab/>
        </w:r>
        <w:r w:rsidR="00D50538">
          <w:rPr>
            <w:webHidden/>
          </w:rPr>
          <w:fldChar w:fldCharType="begin"/>
        </w:r>
        <w:r w:rsidR="00D50538">
          <w:rPr>
            <w:webHidden/>
          </w:rPr>
          <w:instrText xml:space="preserve"> PAGEREF _Toc440030062 \h </w:instrText>
        </w:r>
        <w:r w:rsidR="00D50538">
          <w:rPr>
            <w:webHidden/>
          </w:rPr>
        </w:r>
        <w:r w:rsidR="00D50538">
          <w:rPr>
            <w:webHidden/>
          </w:rPr>
          <w:fldChar w:fldCharType="separate"/>
        </w:r>
        <w:r w:rsidR="007D5E9F">
          <w:rPr>
            <w:webHidden/>
          </w:rPr>
          <w:t>16</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3" w:history="1">
        <w:r w:rsidR="00D50538" w:rsidRPr="00C41D0B">
          <w:rPr>
            <w:rStyle w:val="Hyperlink"/>
            <w:rFonts w:ascii="Arial Bold" w:hAnsi="Arial Bold"/>
          </w:rPr>
          <w:t>5.3</w:t>
        </w:r>
        <w:r w:rsidR="00D50538">
          <w:rPr>
            <w:rFonts w:asciiTheme="minorHAnsi" w:eastAsiaTheme="minorEastAsia" w:hAnsiTheme="minorHAnsi" w:cstheme="minorBidi"/>
            <w:bCs w:val="0"/>
            <w:szCs w:val="22"/>
          </w:rPr>
          <w:tab/>
        </w:r>
        <w:r w:rsidR="00D50538" w:rsidRPr="00C41D0B">
          <w:rPr>
            <w:rStyle w:val="Hyperlink"/>
          </w:rPr>
          <w:t>Eligible research income</w:t>
        </w:r>
        <w:r w:rsidR="00D50538">
          <w:rPr>
            <w:webHidden/>
          </w:rPr>
          <w:tab/>
        </w:r>
        <w:r w:rsidR="00D50538">
          <w:rPr>
            <w:webHidden/>
          </w:rPr>
          <w:fldChar w:fldCharType="begin"/>
        </w:r>
        <w:r w:rsidR="00D50538">
          <w:rPr>
            <w:webHidden/>
          </w:rPr>
          <w:instrText xml:space="preserve"> PAGEREF _Toc440030063 \h </w:instrText>
        </w:r>
        <w:r w:rsidR="00D50538">
          <w:rPr>
            <w:webHidden/>
          </w:rPr>
        </w:r>
        <w:r w:rsidR="00D50538">
          <w:rPr>
            <w:webHidden/>
          </w:rPr>
          <w:fldChar w:fldCharType="separate"/>
        </w:r>
        <w:r w:rsidR="007D5E9F">
          <w:rPr>
            <w:webHidden/>
          </w:rPr>
          <w:t>16</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4" w:history="1">
        <w:r w:rsidR="00D50538" w:rsidRPr="00C41D0B">
          <w:rPr>
            <w:rStyle w:val="Hyperlink"/>
            <w:rFonts w:ascii="Arial Bold" w:hAnsi="Arial Bold"/>
          </w:rPr>
          <w:t>5.4</w:t>
        </w:r>
        <w:r w:rsidR="00D50538">
          <w:rPr>
            <w:rFonts w:asciiTheme="minorHAnsi" w:eastAsiaTheme="minorEastAsia" w:hAnsiTheme="minorHAnsi" w:cstheme="minorBidi"/>
            <w:bCs w:val="0"/>
            <w:szCs w:val="22"/>
          </w:rPr>
          <w:tab/>
        </w:r>
        <w:r w:rsidR="00D50538" w:rsidRPr="00C41D0B">
          <w:rPr>
            <w:rStyle w:val="Hyperlink"/>
          </w:rPr>
          <w:t>Research income not eligible to be included</w:t>
        </w:r>
        <w:r w:rsidR="00D50538">
          <w:rPr>
            <w:webHidden/>
          </w:rPr>
          <w:tab/>
        </w:r>
        <w:r w:rsidR="00D50538">
          <w:rPr>
            <w:webHidden/>
          </w:rPr>
          <w:fldChar w:fldCharType="begin"/>
        </w:r>
        <w:r w:rsidR="00D50538">
          <w:rPr>
            <w:webHidden/>
          </w:rPr>
          <w:instrText xml:space="preserve"> PAGEREF _Toc440030064 \h </w:instrText>
        </w:r>
        <w:r w:rsidR="00D50538">
          <w:rPr>
            <w:webHidden/>
          </w:rPr>
        </w:r>
        <w:r w:rsidR="00D50538">
          <w:rPr>
            <w:webHidden/>
          </w:rPr>
          <w:fldChar w:fldCharType="separate"/>
        </w:r>
        <w:r w:rsidR="007D5E9F">
          <w:rPr>
            <w:webHidden/>
          </w:rPr>
          <w:t>17</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5" w:history="1">
        <w:r w:rsidR="00D50538" w:rsidRPr="00C41D0B">
          <w:rPr>
            <w:rStyle w:val="Hyperlink"/>
            <w:rFonts w:ascii="Arial Bold" w:hAnsi="Arial Bold"/>
          </w:rPr>
          <w:t>5.5</w:t>
        </w:r>
        <w:r w:rsidR="00D50538">
          <w:rPr>
            <w:rFonts w:asciiTheme="minorHAnsi" w:eastAsiaTheme="minorEastAsia" w:hAnsiTheme="minorHAnsi" w:cstheme="minorBidi"/>
            <w:bCs w:val="0"/>
            <w:szCs w:val="22"/>
          </w:rPr>
          <w:tab/>
        </w:r>
        <w:r w:rsidR="00D50538" w:rsidRPr="00C41D0B">
          <w:rPr>
            <w:rStyle w:val="Hyperlink"/>
          </w:rPr>
          <w:t>Breakdown by source category</w:t>
        </w:r>
        <w:r w:rsidR="00D50538">
          <w:rPr>
            <w:webHidden/>
          </w:rPr>
          <w:tab/>
        </w:r>
        <w:r w:rsidR="00D50538">
          <w:rPr>
            <w:webHidden/>
          </w:rPr>
          <w:fldChar w:fldCharType="begin"/>
        </w:r>
        <w:r w:rsidR="00D50538">
          <w:rPr>
            <w:webHidden/>
          </w:rPr>
          <w:instrText xml:space="preserve"> PAGEREF _Toc440030065 \h </w:instrText>
        </w:r>
        <w:r w:rsidR="00D50538">
          <w:rPr>
            <w:webHidden/>
          </w:rPr>
        </w:r>
        <w:r w:rsidR="00D50538">
          <w:rPr>
            <w:webHidden/>
          </w:rPr>
          <w:fldChar w:fldCharType="separate"/>
        </w:r>
        <w:r w:rsidR="007D5E9F">
          <w:rPr>
            <w:webHidden/>
          </w:rPr>
          <w:t>17</w:t>
        </w:r>
        <w:r w:rsidR="00D50538">
          <w:rPr>
            <w:webHidden/>
          </w:rPr>
          <w:fldChar w:fldCharType="end"/>
        </w:r>
      </w:hyperlink>
    </w:p>
    <w:p w:rsidR="00D50538" w:rsidRDefault="00A444CD">
      <w:pPr>
        <w:pStyle w:val="TOC2"/>
        <w:tabs>
          <w:tab w:val="left" w:pos="851"/>
        </w:tabs>
        <w:rPr>
          <w:rFonts w:asciiTheme="minorHAnsi" w:eastAsiaTheme="minorEastAsia" w:hAnsiTheme="minorHAnsi" w:cstheme="minorBidi"/>
          <w:bCs w:val="0"/>
          <w:szCs w:val="22"/>
        </w:rPr>
      </w:pPr>
      <w:hyperlink w:anchor="_Toc440030066" w:history="1">
        <w:r w:rsidR="00D50538" w:rsidRPr="00C41D0B">
          <w:rPr>
            <w:rStyle w:val="Hyperlink"/>
            <w:rFonts w:ascii="Arial Bold" w:hAnsi="Arial Bold"/>
          </w:rPr>
          <w:t>5.6</w:t>
        </w:r>
        <w:r w:rsidR="00D50538">
          <w:rPr>
            <w:rFonts w:asciiTheme="minorHAnsi" w:eastAsiaTheme="minorEastAsia" w:hAnsiTheme="minorHAnsi" w:cstheme="minorBidi"/>
            <w:bCs w:val="0"/>
            <w:szCs w:val="22"/>
          </w:rPr>
          <w:tab/>
        </w:r>
        <w:r w:rsidR="00D50538" w:rsidRPr="00C41D0B">
          <w:rPr>
            <w:rStyle w:val="Hyperlink"/>
          </w:rPr>
          <w:t>Special cases</w:t>
        </w:r>
        <w:r w:rsidR="00D50538">
          <w:rPr>
            <w:webHidden/>
          </w:rPr>
          <w:tab/>
        </w:r>
        <w:r w:rsidR="00D50538">
          <w:rPr>
            <w:webHidden/>
          </w:rPr>
          <w:fldChar w:fldCharType="begin"/>
        </w:r>
        <w:r w:rsidR="00D50538">
          <w:rPr>
            <w:webHidden/>
          </w:rPr>
          <w:instrText xml:space="preserve"> PAGEREF _Toc440030066 \h </w:instrText>
        </w:r>
        <w:r w:rsidR="00D50538">
          <w:rPr>
            <w:webHidden/>
          </w:rPr>
        </w:r>
        <w:r w:rsidR="00D50538">
          <w:rPr>
            <w:webHidden/>
          </w:rPr>
          <w:fldChar w:fldCharType="separate"/>
        </w:r>
        <w:r w:rsidR="007D5E9F">
          <w:rPr>
            <w:webHidden/>
          </w:rPr>
          <w:t>18</w:t>
        </w:r>
        <w:r w:rsidR="00D50538">
          <w:rPr>
            <w:webHidden/>
          </w:rPr>
          <w:fldChar w:fldCharType="end"/>
        </w:r>
      </w:hyperlink>
    </w:p>
    <w:p w:rsidR="00D50538" w:rsidRDefault="00A444CD">
      <w:pPr>
        <w:pStyle w:val="TOC1"/>
        <w:rPr>
          <w:rFonts w:asciiTheme="minorHAnsi" w:eastAsiaTheme="minorEastAsia" w:hAnsiTheme="minorHAnsi" w:cstheme="minorBidi"/>
          <w:b w:val="0"/>
          <w:bCs w:val="0"/>
          <w:caps w:val="0"/>
          <w:szCs w:val="22"/>
          <w:lang w:eastAsia="en-AU"/>
        </w:rPr>
      </w:pPr>
      <w:hyperlink w:anchor="_Toc440030067" w:history="1">
        <w:r w:rsidR="00D50538" w:rsidRPr="00C41D0B">
          <w:rPr>
            <w:rStyle w:val="Hyperlink"/>
          </w:rPr>
          <w:t>6.</w:t>
        </w:r>
        <w:r w:rsidR="00D50538">
          <w:rPr>
            <w:rFonts w:asciiTheme="minorHAnsi" w:eastAsiaTheme="minorEastAsia" w:hAnsiTheme="minorHAnsi" w:cstheme="minorBidi"/>
            <w:b w:val="0"/>
            <w:bCs w:val="0"/>
            <w:caps w:val="0"/>
            <w:szCs w:val="22"/>
            <w:lang w:eastAsia="en-AU"/>
          </w:rPr>
          <w:tab/>
        </w:r>
        <w:r w:rsidR="00D50538" w:rsidRPr="00C41D0B">
          <w:rPr>
            <w:rStyle w:val="Hyperlink"/>
          </w:rPr>
          <w:t>Glossary</w:t>
        </w:r>
        <w:r w:rsidR="00D50538">
          <w:rPr>
            <w:webHidden/>
          </w:rPr>
          <w:tab/>
        </w:r>
        <w:r w:rsidR="00D50538">
          <w:rPr>
            <w:webHidden/>
          </w:rPr>
          <w:fldChar w:fldCharType="begin"/>
        </w:r>
        <w:r w:rsidR="00D50538">
          <w:rPr>
            <w:webHidden/>
          </w:rPr>
          <w:instrText xml:space="preserve"> PAGEREF _Toc440030067 \h </w:instrText>
        </w:r>
        <w:r w:rsidR="00D50538">
          <w:rPr>
            <w:webHidden/>
          </w:rPr>
        </w:r>
        <w:r w:rsidR="00D50538">
          <w:rPr>
            <w:webHidden/>
          </w:rPr>
          <w:fldChar w:fldCharType="separate"/>
        </w:r>
        <w:r w:rsidR="007D5E9F">
          <w:rPr>
            <w:webHidden/>
          </w:rPr>
          <w:t>19</w:t>
        </w:r>
        <w:r w:rsidR="00D50538">
          <w:rPr>
            <w:webHidden/>
          </w:rPr>
          <w:fldChar w:fldCharType="end"/>
        </w:r>
      </w:hyperlink>
    </w:p>
    <w:p w:rsidR="00734763" w:rsidRPr="00C974D5" w:rsidRDefault="008929F1" w:rsidP="00513DB1">
      <w:pPr>
        <w:pStyle w:val="BodyText1"/>
        <w:rPr>
          <w:b/>
          <w:bCs/>
        </w:rPr>
      </w:pPr>
      <w:r w:rsidRPr="005B7BC7">
        <w:rPr>
          <w:caps/>
          <w:noProof/>
          <w:szCs w:val="20"/>
        </w:rPr>
        <w:fldChar w:fldCharType="end"/>
      </w:r>
      <w:bookmarkEnd w:id="16"/>
      <w:bookmarkEnd w:id="20"/>
    </w:p>
    <w:p w:rsidR="00D87929" w:rsidRPr="005B7BC7" w:rsidRDefault="00D87929" w:rsidP="00D87929">
      <w:pPr>
        <w:pStyle w:val="BodyText1"/>
        <w:sectPr w:rsidR="00D87929" w:rsidRPr="005B7BC7" w:rsidSect="00105C0B">
          <w:headerReference w:type="default" r:id="rId17"/>
          <w:footerReference w:type="default" r:id="rId18"/>
          <w:pgSz w:w="11907" w:h="16840" w:code="9"/>
          <w:pgMar w:top="1233" w:right="850" w:bottom="680" w:left="1701" w:header="720" w:footer="720" w:gutter="0"/>
          <w:pgNumType w:start="0"/>
          <w:cols w:space="720"/>
          <w:noEndnote/>
          <w:titlePg/>
          <w:docGrid w:linePitch="326"/>
        </w:sectPr>
      </w:pPr>
    </w:p>
    <w:p w:rsidR="00A838B4" w:rsidRPr="005B7BC7" w:rsidRDefault="007E4DCE" w:rsidP="00D87929">
      <w:pPr>
        <w:pStyle w:val="Heading1"/>
      </w:pPr>
      <w:bookmarkStart w:id="21" w:name="_Toc112733768"/>
      <w:bookmarkStart w:id="22" w:name="_Toc112733978"/>
      <w:bookmarkStart w:id="23" w:name="_Toc116182935"/>
      <w:bookmarkStart w:id="24" w:name="_Toc251924110"/>
      <w:bookmarkStart w:id="25" w:name="_Toc440030042"/>
      <w:r w:rsidRPr="005B7BC7">
        <w:lastRenderedPageBreak/>
        <w:t>Introduction</w:t>
      </w:r>
      <w:bookmarkEnd w:id="21"/>
      <w:bookmarkEnd w:id="22"/>
      <w:bookmarkEnd w:id="23"/>
      <w:bookmarkEnd w:id="24"/>
      <w:bookmarkEnd w:id="25"/>
    </w:p>
    <w:p w:rsidR="00A838B4" w:rsidRPr="005B7BC7" w:rsidRDefault="00A838B4" w:rsidP="0039518B">
      <w:pPr>
        <w:pStyle w:val="Heading1"/>
        <w:numPr>
          <w:ilvl w:val="1"/>
          <w:numId w:val="5"/>
        </w:numPr>
      </w:pPr>
      <w:bookmarkStart w:id="26" w:name="_1.1__Purpose"/>
      <w:bookmarkStart w:id="27" w:name="_Purpose"/>
      <w:bookmarkStart w:id="28" w:name="_Toc87171290"/>
      <w:bookmarkStart w:id="29" w:name="_Toc96678027"/>
      <w:bookmarkStart w:id="30" w:name="_Toc112733769"/>
      <w:bookmarkStart w:id="31" w:name="_Toc112733979"/>
      <w:bookmarkStart w:id="32" w:name="_Toc116182936"/>
      <w:bookmarkStart w:id="33" w:name="_Ref124300032"/>
      <w:bookmarkStart w:id="34" w:name="_Ref216082402"/>
      <w:bookmarkStart w:id="35" w:name="_Ref251141166"/>
      <w:bookmarkStart w:id="36" w:name="_Ref251141172"/>
      <w:bookmarkStart w:id="37" w:name="_Ref251141228"/>
      <w:bookmarkStart w:id="38" w:name="_Ref251141270"/>
      <w:bookmarkStart w:id="39" w:name="_Ref251141272"/>
      <w:bookmarkStart w:id="40" w:name="_Ref251141282"/>
      <w:bookmarkStart w:id="41" w:name="_Ref251141300"/>
      <w:bookmarkStart w:id="42" w:name="_Ref251141307"/>
      <w:bookmarkStart w:id="43" w:name="_Ref251141308"/>
      <w:bookmarkStart w:id="44" w:name="_Ref251141332"/>
      <w:bookmarkStart w:id="45" w:name="_Ref251141387"/>
      <w:bookmarkStart w:id="46" w:name="_Ref251141400"/>
      <w:bookmarkStart w:id="47" w:name="_Ref251141407"/>
      <w:bookmarkStart w:id="48" w:name="_Ref251141411"/>
      <w:bookmarkStart w:id="49" w:name="_Ref251141415"/>
      <w:bookmarkStart w:id="50" w:name="_Ref251141421"/>
      <w:bookmarkStart w:id="51" w:name="_Ref251141425"/>
      <w:bookmarkStart w:id="52" w:name="_Ref251141431"/>
      <w:bookmarkStart w:id="53" w:name="_Ref251142555"/>
      <w:bookmarkStart w:id="54" w:name="_Ref251142558"/>
      <w:bookmarkStart w:id="55" w:name="_Toc251924111"/>
      <w:bookmarkStart w:id="56" w:name="_Toc406668852"/>
      <w:bookmarkStart w:id="57" w:name="_Toc440030043"/>
      <w:bookmarkEnd w:id="26"/>
      <w:bookmarkEnd w:id="27"/>
      <w:r w:rsidRPr="0039518B">
        <w:t>Purpose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A95CD2" w:rsidRPr="005B7BC7" w:rsidRDefault="00A95CD2" w:rsidP="007E4DCE">
      <w:pPr>
        <w:pStyle w:val="BodyText1"/>
        <w:widowControl w:val="0"/>
      </w:pPr>
      <w:r w:rsidRPr="005B7BC7">
        <w:t xml:space="preserve">The </w:t>
      </w:r>
      <w:r w:rsidR="00D63058" w:rsidRPr="005B7BC7">
        <w:t xml:space="preserve">Australian Government’s </w:t>
      </w:r>
      <w:r w:rsidR="00F40108" w:rsidRPr="005B7BC7">
        <w:t>provision of research block g</w:t>
      </w:r>
      <w:r w:rsidRPr="005B7BC7">
        <w:t xml:space="preserve">rant </w:t>
      </w:r>
      <w:r w:rsidR="00D63058" w:rsidRPr="005B7BC7">
        <w:t xml:space="preserve">(RBG) </w:t>
      </w:r>
      <w:r w:rsidRPr="005B7BC7">
        <w:t xml:space="preserve">funding </w:t>
      </w:r>
      <w:r w:rsidR="00D63058" w:rsidRPr="005B7BC7">
        <w:t>to eligible higher education providers</w:t>
      </w:r>
      <w:r w:rsidR="00D63058" w:rsidRPr="005B7BC7">
        <w:rPr>
          <w:rStyle w:val="FootnoteReference"/>
        </w:rPr>
        <w:footnoteReference w:id="1"/>
      </w:r>
      <w:r w:rsidR="00D63058" w:rsidRPr="005B7BC7">
        <w:t xml:space="preserve"> (HEP) </w:t>
      </w:r>
      <w:r w:rsidRPr="005B7BC7">
        <w:t xml:space="preserve">is </w:t>
      </w:r>
      <w:r w:rsidR="00D63058" w:rsidRPr="005B7BC7">
        <w:t>enabled by</w:t>
      </w:r>
      <w:r w:rsidRPr="005B7BC7">
        <w:t xml:space="preserve"> the </w:t>
      </w:r>
      <w:r w:rsidRPr="005B7BC7">
        <w:rPr>
          <w:i/>
        </w:rPr>
        <w:t>Higher Education Support Act 2003</w:t>
      </w:r>
      <w:r w:rsidRPr="005B7BC7">
        <w:t xml:space="preserve"> (HESA</w:t>
      </w:r>
      <w:r w:rsidR="00F40108" w:rsidRPr="005B7BC7">
        <w:t>), which provides for “g</w:t>
      </w:r>
      <w:r w:rsidRPr="005B7BC7">
        <w:t>rants to support research by, and the research capability of, hi</w:t>
      </w:r>
      <w:r w:rsidR="00F40108" w:rsidRPr="005B7BC7">
        <w:t>gher education providers” and “g</w:t>
      </w:r>
      <w:r w:rsidRPr="005B7BC7">
        <w:t xml:space="preserve">rants to support the training </w:t>
      </w:r>
      <w:r w:rsidR="00D63058" w:rsidRPr="005B7BC7">
        <w:t>of research students”.</w:t>
      </w:r>
      <w:r w:rsidRPr="005B7BC7">
        <w:t xml:space="preserve"> </w:t>
      </w:r>
    </w:p>
    <w:p w:rsidR="00CE6052" w:rsidRPr="005B7BC7" w:rsidRDefault="00A838B4" w:rsidP="00F65799">
      <w:pPr>
        <w:pStyle w:val="BodyText1"/>
      </w:pPr>
      <w:r w:rsidRPr="005B7BC7">
        <w:t xml:space="preserve">The </w:t>
      </w:r>
      <w:r w:rsidR="00B1187F" w:rsidRPr="005B7BC7">
        <w:t xml:space="preserve">purpose of the </w:t>
      </w:r>
      <w:r w:rsidR="009C7D91" w:rsidRPr="005B7BC7">
        <w:t>201</w:t>
      </w:r>
      <w:r w:rsidR="00A03E9C">
        <w:t>7</w:t>
      </w:r>
      <w:r w:rsidR="001B5731" w:rsidRPr="005B7BC7">
        <w:t xml:space="preserve"> </w:t>
      </w:r>
      <w:r w:rsidR="0085151B" w:rsidRPr="005B7BC7">
        <w:t>Higher Education Research Data Collection (</w:t>
      </w:r>
      <w:r w:rsidRPr="005B7BC7">
        <w:t>HERDC</w:t>
      </w:r>
      <w:r w:rsidR="0085151B" w:rsidRPr="005B7BC7">
        <w:t>)</w:t>
      </w:r>
      <w:r w:rsidRPr="005B7BC7">
        <w:t xml:space="preserve"> </w:t>
      </w:r>
      <w:r w:rsidR="00A50563" w:rsidRPr="005B7BC7">
        <w:t>S</w:t>
      </w:r>
      <w:r w:rsidRPr="005B7BC7">
        <w:t>pecification</w:t>
      </w:r>
      <w:r w:rsidR="00553657" w:rsidRPr="005B7BC7">
        <w:t>s</w:t>
      </w:r>
      <w:r w:rsidRPr="005B7BC7">
        <w:t xml:space="preserve"> </w:t>
      </w:r>
      <w:r w:rsidR="00B1187F" w:rsidRPr="005B7BC7">
        <w:t>is to provide guidance</w:t>
      </w:r>
      <w:r w:rsidR="00B00AF0" w:rsidRPr="005B7BC7">
        <w:t xml:space="preserve"> </w:t>
      </w:r>
      <w:r w:rsidR="00553657" w:rsidRPr="005B7BC7">
        <w:t xml:space="preserve">to </w:t>
      </w:r>
      <w:r w:rsidR="00D63058" w:rsidRPr="005B7BC7">
        <w:t xml:space="preserve">HEPs and auditors </w:t>
      </w:r>
      <w:r w:rsidR="00B00AF0" w:rsidRPr="005B7BC7">
        <w:t xml:space="preserve">on the requirements </w:t>
      </w:r>
      <w:r w:rsidR="00A84648" w:rsidRPr="005B7BC7">
        <w:t xml:space="preserve">for </w:t>
      </w:r>
      <w:r w:rsidRPr="005B7BC7">
        <w:t>provi</w:t>
      </w:r>
      <w:r w:rsidR="00B00AF0" w:rsidRPr="005B7BC7">
        <w:t xml:space="preserve">ding </w:t>
      </w:r>
      <w:r w:rsidR="009C7D91" w:rsidRPr="005B7BC7">
        <w:t>201</w:t>
      </w:r>
      <w:r w:rsidR="00A03E9C">
        <w:t>6</w:t>
      </w:r>
      <w:r w:rsidR="00132446" w:rsidRPr="005B7BC7">
        <w:t xml:space="preserve"> </w:t>
      </w:r>
      <w:r w:rsidRPr="005B7BC7">
        <w:t>research income data.</w:t>
      </w:r>
      <w:r w:rsidR="00CE6052" w:rsidRPr="005B7BC7">
        <w:t xml:space="preserve"> </w:t>
      </w:r>
    </w:p>
    <w:p w:rsidR="00A84648" w:rsidRPr="005B7BC7" w:rsidRDefault="00A84648" w:rsidP="0039518B">
      <w:pPr>
        <w:pStyle w:val="Heading1"/>
        <w:numPr>
          <w:ilvl w:val="1"/>
          <w:numId w:val="5"/>
        </w:numPr>
      </w:pPr>
      <w:bookmarkStart w:id="58" w:name="_Use_of_data"/>
      <w:bookmarkStart w:id="59" w:name="_Toc406668853"/>
      <w:bookmarkStart w:id="60" w:name="_Toc440030044"/>
      <w:bookmarkEnd w:id="58"/>
      <w:r w:rsidRPr="005B7BC7">
        <w:t>Use of data</w:t>
      </w:r>
      <w:bookmarkEnd w:id="59"/>
      <w:bookmarkEnd w:id="60"/>
    </w:p>
    <w:p w:rsidR="00132716" w:rsidRPr="00347F49" w:rsidRDefault="00A84648" w:rsidP="009F6212">
      <w:pPr>
        <w:pStyle w:val="BodyText1"/>
      </w:pPr>
      <w:r w:rsidRPr="005B7BC7">
        <w:t xml:space="preserve">The department uses the </w:t>
      </w:r>
      <w:r w:rsidR="00DC4055">
        <w:t xml:space="preserve">HERDC data </w:t>
      </w:r>
      <w:r w:rsidRPr="005B7BC7">
        <w:t xml:space="preserve">in conjunction with data from the Higher Education Student Data Collection to determine HEPs’ </w:t>
      </w:r>
      <w:r w:rsidR="000D6DFF" w:rsidRPr="005B7BC7">
        <w:t xml:space="preserve">annual </w:t>
      </w:r>
      <w:r w:rsidRPr="005B7BC7">
        <w:t>RB</w:t>
      </w:r>
      <w:r w:rsidR="00997D0B">
        <w:t>G</w:t>
      </w:r>
      <w:r w:rsidRPr="005B7BC7">
        <w:t xml:space="preserve"> amounts</w:t>
      </w:r>
      <w:r w:rsidR="00EB00F2">
        <w:t>.</w:t>
      </w:r>
      <w:r w:rsidRPr="005B7BC7">
        <w:t xml:space="preserve"> </w:t>
      </w:r>
    </w:p>
    <w:p w:rsidR="00A84648" w:rsidRPr="005B7BC7" w:rsidRDefault="00A84648" w:rsidP="0039518B">
      <w:pPr>
        <w:pStyle w:val="BodyText1"/>
      </w:pPr>
      <w:r w:rsidRPr="005B7BC7">
        <w:t>Information about the RBG, including program guidelines, conditions of grants and processes for calculating grants can be found on the department’s website:</w:t>
      </w:r>
    </w:p>
    <w:p w:rsidR="00A84648" w:rsidRPr="005B7BC7" w:rsidRDefault="00A444CD" w:rsidP="0039518B">
      <w:pPr>
        <w:pStyle w:val="BodyText1"/>
      </w:pPr>
      <w:hyperlink r:id="rId19" w:history="1">
        <w:r w:rsidR="00A84648" w:rsidRPr="005B7BC7">
          <w:rPr>
            <w:rStyle w:val="Hyperlink"/>
            <w:rFonts w:cs="Arial"/>
          </w:rPr>
          <w:t>www.education.gov.au/research-block-grants</w:t>
        </w:r>
      </w:hyperlink>
    </w:p>
    <w:p w:rsidR="000D6DFF" w:rsidRPr="005B7BC7" w:rsidRDefault="000D6DFF" w:rsidP="0039518B">
      <w:pPr>
        <w:pStyle w:val="BodyText1"/>
      </w:pPr>
      <w:r w:rsidRPr="005B7BC7">
        <w:t>It is a condition of the</w:t>
      </w:r>
      <w:r w:rsidR="007E01B4">
        <w:t xml:space="preserve"> </w:t>
      </w:r>
      <w:r w:rsidRPr="005B7BC7">
        <w:t xml:space="preserve">grants that the materials required in section </w:t>
      </w:r>
      <w:r w:rsidR="00DC4055">
        <w:t>1.4</w:t>
      </w:r>
      <w:r w:rsidRPr="005B7BC7">
        <w:t xml:space="preserve"> of these Specifications be provided to the department by 30 June 201</w:t>
      </w:r>
      <w:r w:rsidR="00A03E9C">
        <w:t>7</w:t>
      </w:r>
      <w:r w:rsidRPr="005B7BC7">
        <w:t>.</w:t>
      </w:r>
    </w:p>
    <w:p w:rsidR="00386FD2" w:rsidRPr="005B7BC7" w:rsidRDefault="0085151B" w:rsidP="0039518B">
      <w:pPr>
        <w:pStyle w:val="BodyText1"/>
      </w:pPr>
      <w:r w:rsidRPr="005B7BC7">
        <w:t>Submitted HERDC</w:t>
      </w:r>
      <w:r w:rsidR="00386FD2" w:rsidRPr="0039518B">
        <w:t xml:space="preserve"> data may be used to inform other analyses conducted by the department</w:t>
      </w:r>
      <w:r w:rsidR="00386FD2" w:rsidRPr="005B7BC7">
        <w:t xml:space="preserve"> </w:t>
      </w:r>
      <w:r w:rsidRPr="005B7BC7">
        <w:t>and</w:t>
      </w:r>
      <w:r w:rsidR="00386FD2" w:rsidRPr="005B7BC7">
        <w:t xml:space="preserve"> provided to other government agencies</w:t>
      </w:r>
      <w:r w:rsidR="00386FD2" w:rsidRPr="0039518B">
        <w:t>.</w:t>
      </w:r>
    </w:p>
    <w:p w:rsidR="0085151B" w:rsidRPr="005B7BC7" w:rsidRDefault="0085151B" w:rsidP="0039518B">
      <w:pPr>
        <w:pStyle w:val="BodyText1"/>
        <w:spacing w:after="120"/>
      </w:pPr>
      <w:r w:rsidRPr="005B7BC7">
        <w:t xml:space="preserve">HERDC data is published on the department’s website at: </w:t>
      </w:r>
    </w:p>
    <w:p w:rsidR="0085151B" w:rsidRDefault="00A444CD" w:rsidP="00E4575F">
      <w:pPr>
        <w:pStyle w:val="BodyText1"/>
        <w:rPr>
          <w:rStyle w:val="Hyperlink"/>
        </w:rPr>
      </w:pPr>
      <w:hyperlink r:id="rId20" w:history="1">
        <w:r w:rsidR="0085151B" w:rsidRPr="005B7BC7">
          <w:rPr>
            <w:rStyle w:val="Hyperlink"/>
          </w:rPr>
          <w:t>www.education.gov.au/higher-education-research-data-collection</w:t>
        </w:r>
      </w:hyperlink>
    </w:p>
    <w:p w:rsidR="00A84648" w:rsidRPr="005B7BC7" w:rsidRDefault="00A84648" w:rsidP="0039518B">
      <w:pPr>
        <w:pStyle w:val="Heading1"/>
        <w:numPr>
          <w:ilvl w:val="1"/>
          <w:numId w:val="5"/>
        </w:numPr>
      </w:pPr>
      <w:bookmarkStart w:id="61" w:name="_Use_of_funding"/>
      <w:bookmarkStart w:id="62" w:name="_Toc406668854"/>
      <w:bookmarkStart w:id="63" w:name="_Toc440030045"/>
      <w:bookmarkEnd w:id="61"/>
      <w:r w:rsidRPr="005B7BC7">
        <w:t>Use of funding</w:t>
      </w:r>
      <w:bookmarkEnd w:id="62"/>
      <w:bookmarkEnd w:id="63"/>
    </w:p>
    <w:p w:rsidR="00E4575F" w:rsidRDefault="00A84648" w:rsidP="0039518B">
      <w:pPr>
        <w:pStyle w:val="BodyText1"/>
      </w:pPr>
      <w:r w:rsidRPr="005B7BC7">
        <w:t xml:space="preserve">The department’s allocation of RBG to HEPs is independent of funding for individual research projects. HEPs have the autonomy to decide what projects, personnel, equipment and infrastructure that block grants should support across their research and research training activities. </w:t>
      </w:r>
    </w:p>
    <w:p w:rsidR="00BE7F73" w:rsidRDefault="00A84648" w:rsidP="00D21AB8">
      <w:pPr>
        <w:pStyle w:val="BodyText1"/>
      </w:pPr>
      <w:r w:rsidRPr="005B7BC7">
        <w:t>The</w:t>
      </w:r>
      <w:r w:rsidR="003B1299">
        <w:t> </w:t>
      </w:r>
      <w:r w:rsidRPr="005B7BC7">
        <w:t>department does not intend that HEPs use the HERDC as the basis for their internal systems for allocating their research and research training funding. HEPs should develop their own internal allocation mechanisms.</w:t>
      </w:r>
    </w:p>
    <w:p w:rsidR="00D21AB8" w:rsidRDefault="00D21AB8" w:rsidP="00D21AB8">
      <w:pPr>
        <w:pStyle w:val="BodyText21"/>
      </w:pPr>
    </w:p>
    <w:p w:rsidR="00D21AB8" w:rsidRDefault="00D21AB8" w:rsidP="00BE3A92">
      <w:pPr>
        <w:pStyle w:val="BodyText21"/>
      </w:pPr>
    </w:p>
    <w:p w:rsidR="00D21AB8" w:rsidRDefault="00D21AB8" w:rsidP="00BE3A92">
      <w:pPr>
        <w:pStyle w:val="BodyText21"/>
      </w:pPr>
    </w:p>
    <w:p w:rsidR="00D21AB8" w:rsidRPr="00D21AB8" w:rsidRDefault="00D21AB8" w:rsidP="00BE3A92">
      <w:pPr>
        <w:pStyle w:val="BodyText21"/>
      </w:pPr>
    </w:p>
    <w:p w:rsidR="00A84648" w:rsidRDefault="001E3C53" w:rsidP="0039518B">
      <w:pPr>
        <w:pStyle w:val="Heading1"/>
        <w:numPr>
          <w:ilvl w:val="1"/>
          <w:numId w:val="5"/>
        </w:numPr>
      </w:pPr>
      <w:bookmarkStart w:id="64" w:name="_Information_to_be"/>
      <w:bookmarkStart w:id="65" w:name="_Toc406668855"/>
      <w:bookmarkStart w:id="66" w:name="_Toc440030046"/>
      <w:bookmarkEnd w:id="64"/>
      <w:r w:rsidRPr="005B7BC7">
        <w:lastRenderedPageBreak/>
        <w:t>Information to be submitted</w:t>
      </w:r>
      <w:bookmarkEnd w:id="65"/>
      <w:bookmarkEnd w:id="66"/>
    </w:p>
    <w:p w:rsidR="001E3C53" w:rsidRPr="005B7BC7" w:rsidRDefault="001E3C53" w:rsidP="001E3C53">
      <w:pPr>
        <w:tabs>
          <w:tab w:val="left" w:pos="6390"/>
        </w:tabs>
        <w:spacing w:after="240"/>
      </w:pPr>
      <w:r w:rsidRPr="005B7BC7">
        <w:t>HEPs must provide</w:t>
      </w:r>
      <w:r w:rsidR="007E01B4">
        <w:t xml:space="preserve"> research income returns</w:t>
      </w:r>
      <w:r w:rsidRPr="005B7BC7">
        <w:t xml:space="preserve"> data to the department along with a Vice-Chancellors Certification Statement and Audit Report.</w:t>
      </w:r>
    </w:p>
    <w:p w:rsidR="001E3C53" w:rsidRPr="005B7BC7" w:rsidRDefault="001E3C53" w:rsidP="001E3C53">
      <w:pPr>
        <w:spacing w:after="240"/>
        <w:outlineLvl w:val="3"/>
        <w:rPr>
          <w:b/>
        </w:rPr>
      </w:pPr>
      <w:r w:rsidRPr="005B7BC7">
        <w:rPr>
          <w:b/>
        </w:rPr>
        <w:t>Research Income Return</w:t>
      </w:r>
    </w:p>
    <w:p w:rsidR="001E3C53" w:rsidRPr="005B7BC7" w:rsidRDefault="001E3C53" w:rsidP="001E3C53">
      <w:pPr>
        <w:spacing w:after="120"/>
      </w:pPr>
      <w:r w:rsidRPr="005B7BC7">
        <w:t>HEPs must provide research income received for the reference year. Data must be grouped into four categories:</w:t>
      </w:r>
    </w:p>
    <w:p w:rsidR="001E3C53" w:rsidRPr="005B7BC7" w:rsidRDefault="001E3C53" w:rsidP="0039518B">
      <w:pPr>
        <w:pStyle w:val="ListParagraph"/>
        <w:numPr>
          <w:ilvl w:val="0"/>
          <w:numId w:val="31"/>
        </w:numPr>
        <w:spacing w:after="240"/>
      </w:pPr>
      <w:r w:rsidRPr="005B7BC7">
        <w:t>Category 1: Australian competitive grants</w:t>
      </w:r>
    </w:p>
    <w:p w:rsidR="001E3C53" w:rsidRPr="005B7BC7" w:rsidRDefault="001E3C53" w:rsidP="0039518B">
      <w:pPr>
        <w:pStyle w:val="ListParagraph"/>
        <w:numPr>
          <w:ilvl w:val="0"/>
          <w:numId w:val="31"/>
        </w:numPr>
        <w:spacing w:after="240"/>
      </w:pPr>
      <w:r w:rsidRPr="005B7BC7">
        <w:t>Category 2: Other public sector research income</w:t>
      </w:r>
    </w:p>
    <w:p w:rsidR="001E3C53" w:rsidRPr="005B7BC7" w:rsidRDefault="001E3C53" w:rsidP="0039518B">
      <w:pPr>
        <w:pStyle w:val="ListParagraph"/>
        <w:numPr>
          <w:ilvl w:val="0"/>
          <w:numId w:val="31"/>
        </w:numPr>
        <w:spacing w:after="240"/>
      </w:pPr>
      <w:r w:rsidRPr="005B7BC7">
        <w:t>Category 3: Industry and other research income</w:t>
      </w:r>
    </w:p>
    <w:p w:rsidR="001E3C53" w:rsidRPr="005B7BC7" w:rsidRDefault="001E3C53" w:rsidP="0039518B">
      <w:pPr>
        <w:pStyle w:val="ListParagraph"/>
        <w:numPr>
          <w:ilvl w:val="0"/>
          <w:numId w:val="31"/>
        </w:numPr>
        <w:spacing w:after="240"/>
      </w:pPr>
      <w:r w:rsidRPr="005B7BC7">
        <w:t>Category 4: Cooperative Research Centre (CRC) research income</w:t>
      </w:r>
    </w:p>
    <w:p w:rsidR="00A84648" w:rsidRPr="005B7BC7" w:rsidRDefault="00A84648" w:rsidP="0039518B">
      <w:pPr>
        <w:spacing w:after="240"/>
        <w:outlineLvl w:val="3"/>
      </w:pPr>
      <w:r w:rsidRPr="0039518B">
        <w:rPr>
          <w:b/>
        </w:rPr>
        <w:t>Vice-Chancellor certification statements</w:t>
      </w:r>
    </w:p>
    <w:p w:rsidR="00A84648" w:rsidRPr="005B7BC7" w:rsidRDefault="00A84648" w:rsidP="00A84648">
      <w:pPr>
        <w:pStyle w:val="BodyText1"/>
      </w:pPr>
      <w:r w:rsidRPr="005B7BC7">
        <w:t xml:space="preserve">Vice-Chancellors (or equivalent) must certify that their HEPs Research Income Return </w:t>
      </w:r>
      <w:r w:rsidR="00027704">
        <w:t xml:space="preserve">is </w:t>
      </w:r>
      <w:r w:rsidRPr="005B7BC7">
        <w:t>correct and ha</w:t>
      </w:r>
      <w:r w:rsidR="007E01B4">
        <w:t>s</w:t>
      </w:r>
      <w:r w:rsidRPr="005B7BC7">
        <w:t xml:space="preserve"> been compiled in accordance with this specification document.</w:t>
      </w:r>
    </w:p>
    <w:p w:rsidR="00345AE4" w:rsidRDefault="00A84648" w:rsidP="0024794F">
      <w:pPr>
        <w:pStyle w:val="BodyText1"/>
      </w:pPr>
      <w:r w:rsidRPr="005B7BC7">
        <w:t xml:space="preserve">Each HEP must supply one certification statement to the department. The format for this statement is provided with the submissions </w:t>
      </w:r>
      <w:r w:rsidR="0021474E">
        <w:t xml:space="preserve">instructions </w:t>
      </w:r>
      <w:r w:rsidRPr="005B7BC7">
        <w:t xml:space="preserve">detailed </w:t>
      </w:r>
      <w:r w:rsidR="0024794F">
        <w:t>on the department’s website (</w:t>
      </w:r>
      <w:r w:rsidR="0024794F" w:rsidRPr="008323C8">
        <w:rPr>
          <w:b/>
        </w:rPr>
        <w:t xml:space="preserve">section </w:t>
      </w:r>
      <w:r w:rsidR="007F320A">
        <w:rPr>
          <w:b/>
        </w:rPr>
        <w:fldChar w:fldCharType="begin"/>
      </w:r>
      <w:r w:rsidR="007F320A">
        <w:rPr>
          <w:b/>
        </w:rPr>
        <w:instrText xml:space="preserve"> REF _Ref440030970 \r \h </w:instrText>
      </w:r>
      <w:r w:rsidR="007F320A">
        <w:rPr>
          <w:b/>
        </w:rPr>
      </w:r>
      <w:r w:rsidR="007F320A">
        <w:rPr>
          <w:b/>
        </w:rPr>
        <w:fldChar w:fldCharType="separate"/>
      </w:r>
      <w:r w:rsidR="007D5E9F">
        <w:rPr>
          <w:b/>
        </w:rPr>
        <w:t>1.7</w:t>
      </w:r>
      <w:r w:rsidR="007F320A">
        <w:rPr>
          <w:b/>
        </w:rPr>
        <w:fldChar w:fldCharType="end"/>
      </w:r>
      <w:r w:rsidR="0024794F">
        <w:t>)</w:t>
      </w:r>
      <w:r w:rsidR="00345AE4">
        <w:t>.</w:t>
      </w:r>
    </w:p>
    <w:p w:rsidR="00A84648" w:rsidRPr="005B7BC7" w:rsidRDefault="00A84648" w:rsidP="0024794F">
      <w:pPr>
        <w:pStyle w:val="BodyText1"/>
      </w:pPr>
      <w:r w:rsidRPr="0039518B">
        <w:rPr>
          <w:b/>
        </w:rPr>
        <w:t>Audit of research income</w:t>
      </w:r>
    </w:p>
    <w:p w:rsidR="00A84648" w:rsidRPr="005B7BC7" w:rsidRDefault="00A84648" w:rsidP="00A84648">
      <w:pPr>
        <w:pStyle w:val="BodyText1"/>
      </w:pPr>
      <w:r w:rsidRPr="005B7BC7">
        <w:t>Each HEP must arrange for an audit of the category 1, 2, 3 and 4 research income in their respective Research Income Return and provide the department with a Special Purpose Audit Report under</w:t>
      </w:r>
      <w:r w:rsidR="002646D3">
        <w:t xml:space="preserve"> the Auditing and Assurance Standard Board’s Auditing Standard</w:t>
      </w:r>
      <w:r w:rsidRPr="005B7BC7">
        <w:t xml:space="preserve"> ASA800</w:t>
      </w:r>
      <w:r w:rsidR="002646D3">
        <w:t>,</w:t>
      </w:r>
      <w:r w:rsidRPr="005B7BC7">
        <w:t xml:space="preserve"> which clearly certifies that the research income recorded is correct.</w:t>
      </w:r>
    </w:p>
    <w:p w:rsidR="00A84648" w:rsidRPr="005B7BC7" w:rsidRDefault="00A84648" w:rsidP="00A84648">
      <w:pPr>
        <w:pStyle w:val="BodyText1"/>
        <w:keepNext/>
        <w:keepLines/>
        <w:spacing w:after="120"/>
      </w:pPr>
      <w:r w:rsidRPr="005B7BC7">
        <w:t>In addition to ensuring that the research income reported by a HEP under its research income return is correct, the department’s expectation is that the audit also ensures that research income:</w:t>
      </w:r>
    </w:p>
    <w:p w:rsidR="00A84648" w:rsidRPr="005B7BC7" w:rsidRDefault="00A84648" w:rsidP="00A84648">
      <w:pPr>
        <w:pStyle w:val="ListBullet10"/>
        <w:ind w:right="-250"/>
      </w:pPr>
      <w:r w:rsidRPr="005B7BC7">
        <w:t xml:space="preserve">is attributed to activities that comply with the definition of research, </w:t>
      </w:r>
    </w:p>
    <w:p w:rsidR="00A84648" w:rsidRPr="005B7BC7" w:rsidRDefault="00A84648" w:rsidP="00A84648">
      <w:pPr>
        <w:pStyle w:val="ListBullet10"/>
      </w:pPr>
      <w:r w:rsidRPr="005B7BC7">
        <w:t xml:space="preserve">is attributed to the correct category of research income, as per </w:t>
      </w:r>
      <w:r w:rsidR="007F320A">
        <w:rPr>
          <w:rStyle w:val="Strong"/>
        </w:rPr>
        <w:t>Parts</w:t>
      </w:r>
      <w:r w:rsidR="005F3637">
        <w:rPr>
          <w:rStyle w:val="Strong"/>
        </w:rPr>
        <w:t xml:space="preserve"> A</w:t>
      </w:r>
      <w:r w:rsidRPr="005B7BC7">
        <w:rPr>
          <w:rStyle w:val="Strong"/>
        </w:rPr>
        <w:t xml:space="preserve"> and B</w:t>
      </w:r>
      <w:r w:rsidRPr="005B7BC7">
        <w:t>; and</w:t>
      </w:r>
    </w:p>
    <w:p w:rsidR="00A84648" w:rsidRPr="005B7BC7" w:rsidRDefault="00A84648" w:rsidP="00A84648">
      <w:pPr>
        <w:pStyle w:val="ListBullet10"/>
      </w:pPr>
      <w:r w:rsidRPr="005B7BC7">
        <w:t>is identified by transparent and explicit transactions.</w:t>
      </w:r>
    </w:p>
    <w:p w:rsidR="00A84648" w:rsidRDefault="00A84648" w:rsidP="00A84648">
      <w:pPr>
        <w:pStyle w:val="BodyText1"/>
      </w:pPr>
      <w:r w:rsidRPr="005B7BC7">
        <w:t>The audit should be conducted by an independent, external, qualified auditor (for example, a state auditor-general officer or certified public accountant). It may be conducted as part of an annual audit. For the audit of their HERDC returns, HEPs may prefer to use the same auditors that undertake the audit of their financial statements.</w:t>
      </w:r>
    </w:p>
    <w:p w:rsidR="001E3C53" w:rsidRPr="005B7BC7" w:rsidRDefault="001E3C53" w:rsidP="0039518B">
      <w:pPr>
        <w:pStyle w:val="Heading1"/>
        <w:numPr>
          <w:ilvl w:val="1"/>
          <w:numId w:val="5"/>
        </w:numPr>
      </w:pPr>
      <w:bookmarkStart w:id="67" w:name="_Toc437848399"/>
      <w:bookmarkStart w:id="68" w:name="_Toc437848455"/>
      <w:bookmarkStart w:id="69" w:name="_Toc437848495"/>
      <w:bookmarkStart w:id="70" w:name="_Toc437848535"/>
      <w:bookmarkStart w:id="71" w:name="_Toc437850605"/>
      <w:bookmarkStart w:id="72" w:name="_Toc437850681"/>
      <w:bookmarkStart w:id="73" w:name="_Toc437850757"/>
      <w:bookmarkStart w:id="74" w:name="_Toc437851110"/>
      <w:bookmarkStart w:id="75" w:name="_Toc406668856"/>
      <w:bookmarkStart w:id="76" w:name="_Toc440030047"/>
      <w:bookmarkStart w:id="77" w:name="_Ref449514367"/>
      <w:bookmarkEnd w:id="67"/>
      <w:bookmarkEnd w:id="68"/>
      <w:bookmarkEnd w:id="69"/>
      <w:bookmarkEnd w:id="70"/>
      <w:bookmarkEnd w:id="71"/>
      <w:bookmarkEnd w:id="72"/>
      <w:bookmarkEnd w:id="73"/>
      <w:bookmarkEnd w:id="74"/>
      <w:r w:rsidRPr="005B7BC7">
        <w:t>Submission due date</w:t>
      </w:r>
      <w:bookmarkEnd w:id="75"/>
      <w:bookmarkEnd w:id="76"/>
      <w:bookmarkEnd w:id="77"/>
    </w:p>
    <w:p w:rsidR="001E3C53" w:rsidRPr="005B7BC7" w:rsidRDefault="001E3C53" w:rsidP="0038771E">
      <w:pPr>
        <w:pStyle w:val="BodyText1"/>
      </w:pPr>
      <w:r w:rsidRPr="005B7BC7">
        <w:t>Material must be submitted according to the table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940"/>
        <w:gridCol w:w="2416"/>
        <w:gridCol w:w="1566"/>
      </w:tblGrid>
      <w:tr w:rsidR="001E3C53" w:rsidRPr="005B7BC7" w:rsidTr="00C62F1E">
        <w:trPr>
          <w:trHeight w:hRule="exact" w:val="445"/>
          <w:jc w:val="center"/>
        </w:trPr>
        <w:tc>
          <w:tcPr>
            <w:tcW w:w="4940" w:type="dxa"/>
            <w:tcBorders>
              <w:top w:val="single" w:sz="4" w:space="0" w:color="auto"/>
            </w:tcBorders>
            <w:shd w:val="clear" w:color="auto" w:fill="E6E6E6"/>
          </w:tcPr>
          <w:p w:rsidR="001E3C53" w:rsidRPr="005B7BC7" w:rsidRDefault="001E3C53" w:rsidP="00C62F1E">
            <w:pPr>
              <w:pStyle w:val="Table1"/>
            </w:pPr>
            <w:r w:rsidRPr="005B7BC7">
              <w:t>Material Required in the Return</w:t>
            </w:r>
          </w:p>
        </w:tc>
        <w:tc>
          <w:tcPr>
            <w:tcW w:w="2416" w:type="dxa"/>
            <w:tcBorders>
              <w:top w:val="single" w:sz="4" w:space="0" w:color="auto"/>
            </w:tcBorders>
            <w:shd w:val="clear" w:color="auto" w:fill="E6E6E6"/>
          </w:tcPr>
          <w:p w:rsidR="001E3C53" w:rsidRPr="005B7BC7" w:rsidRDefault="001E3C53" w:rsidP="00C62F1E">
            <w:pPr>
              <w:pStyle w:val="Table1"/>
            </w:pPr>
            <w:r w:rsidRPr="005B7BC7">
              <w:t>Format of the Return</w:t>
            </w:r>
          </w:p>
        </w:tc>
        <w:tc>
          <w:tcPr>
            <w:tcW w:w="1566" w:type="dxa"/>
            <w:tcBorders>
              <w:top w:val="single" w:sz="4" w:space="0" w:color="auto"/>
            </w:tcBorders>
            <w:shd w:val="clear" w:color="auto" w:fill="E6E6E6"/>
          </w:tcPr>
          <w:p w:rsidR="001E3C53" w:rsidRPr="005B7BC7" w:rsidRDefault="001E3C53" w:rsidP="00C62F1E">
            <w:pPr>
              <w:pStyle w:val="Table1"/>
            </w:pPr>
            <w:r w:rsidRPr="005B7BC7">
              <w:t xml:space="preserve">Due Date </w:t>
            </w:r>
          </w:p>
        </w:tc>
      </w:tr>
      <w:tr w:rsidR="001343C5" w:rsidRPr="005B7BC7" w:rsidTr="00A91DD7">
        <w:trPr>
          <w:trHeight w:val="301"/>
          <w:jc w:val="center"/>
        </w:trPr>
        <w:tc>
          <w:tcPr>
            <w:tcW w:w="4940" w:type="dxa"/>
          </w:tcPr>
          <w:p w:rsidR="001343C5" w:rsidRPr="005B7BC7" w:rsidRDefault="001343C5" w:rsidP="00C62F1E">
            <w:pPr>
              <w:pStyle w:val="Table1"/>
            </w:pPr>
            <w:r w:rsidRPr="005B7BC7">
              <w:t xml:space="preserve">Research Income Return </w:t>
            </w:r>
          </w:p>
        </w:tc>
        <w:tc>
          <w:tcPr>
            <w:tcW w:w="2416" w:type="dxa"/>
            <w:vMerge w:val="restart"/>
            <w:vAlign w:val="center"/>
          </w:tcPr>
          <w:p w:rsidR="001343C5" w:rsidRPr="005B7BC7" w:rsidRDefault="001343C5" w:rsidP="00582AB1">
            <w:pPr>
              <w:pStyle w:val="Table1"/>
            </w:pPr>
            <w:r w:rsidRPr="005B7BC7">
              <w:t>Electronic Submission</w:t>
            </w:r>
          </w:p>
        </w:tc>
        <w:tc>
          <w:tcPr>
            <w:tcW w:w="1566" w:type="dxa"/>
            <w:vMerge w:val="restart"/>
            <w:vAlign w:val="center"/>
          </w:tcPr>
          <w:p w:rsidR="001343C5" w:rsidRPr="005B7BC7" w:rsidRDefault="001343C5" w:rsidP="00C07A8F">
            <w:pPr>
              <w:pStyle w:val="Table1"/>
            </w:pPr>
            <w:r w:rsidRPr="005B7BC7">
              <w:t>30 June 201</w:t>
            </w:r>
            <w:r w:rsidR="00A03E9C">
              <w:t>7</w:t>
            </w:r>
          </w:p>
        </w:tc>
      </w:tr>
      <w:tr w:rsidR="00127AAB" w:rsidRPr="005B7BC7" w:rsidTr="00C62F1E">
        <w:trPr>
          <w:trHeight w:val="273"/>
          <w:jc w:val="center"/>
        </w:trPr>
        <w:tc>
          <w:tcPr>
            <w:tcW w:w="4940" w:type="dxa"/>
          </w:tcPr>
          <w:p w:rsidR="00127AAB" w:rsidRPr="005B7BC7" w:rsidRDefault="00127AAB" w:rsidP="00C62F1E">
            <w:pPr>
              <w:pStyle w:val="Table1"/>
            </w:pPr>
            <w:r w:rsidRPr="005B7BC7">
              <w:t>Vice-Chancellor’s Certification Statement</w:t>
            </w:r>
          </w:p>
        </w:tc>
        <w:tc>
          <w:tcPr>
            <w:tcW w:w="2416" w:type="dxa"/>
            <w:vMerge/>
            <w:vAlign w:val="center"/>
          </w:tcPr>
          <w:p w:rsidR="00127AAB" w:rsidRPr="005B7BC7" w:rsidRDefault="00127AAB" w:rsidP="00582AB1">
            <w:pPr>
              <w:pStyle w:val="Table1"/>
            </w:pPr>
          </w:p>
        </w:tc>
        <w:tc>
          <w:tcPr>
            <w:tcW w:w="1566" w:type="dxa"/>
            <w:vMerge/>
          </w:tcPr>
          <w:p w:rsidR="00127AAB" w:rsidRPr="005B7BC7" w:rsidRDefault="00127AAB" w:rsidP="00C62F1E">
            <w:pPr>
              <w:pStyle w:val="Table1"/>
            </w:pPr>
          </w:p>
        </w:tc>
      </w:tr>
      <w:tr w:rsidR="00127AAB" w:rsidRPr="005B7BC7" w:rsidTr="00C62F1E">
        <w:trPr>
          <w:trHeight w:val="289"/>
          <w:jc w:val="center"/>
        </w:trPr>
        <w:tc>
          <w:tcPr>
            <w:tcW w:w="4940" w:type="dxa"/>
            <w:tcBorders>
              <w:bottom w:val="single" w:sz="4" w:space="0" w:color="auto"/>
            </w:tcBorders>
          </w:tcPr>
          <w:p w:rsidR="00127AAB" w:rsidRPr="005B7BC7" w:rsidRDefault="00127AAB" w:rsidP="00C62F1E">
            <w:pPr>
              <w:pStyle w:val="Table1"/>
            </w:pPr>
            <w:r w:rsidRPr="005B7BC7">
              <w:t>Audit Report</w:t>
            </w:r>
          </w:p>
        </w:tc>
        <w:tc>
          <w:tcPr>
            <w:tcW w:w="2416" w:type="dxa"/>
            <w:vMerge/>
            <w:tcBorders>
              <w:bottom w:val="single" w:sz="4" w:space="0" w:color="auto"/>
            </w:tcBorders>
          </w:tcPr>
          <w:p w:rsidR="00127AAB" w:rsidRPr="005B7BC7" w:rsidRDefault="00127AAB" w:rsidP="00C62F1E">
            <w:pPr>
              <w:pStyle w:val="Table1"/>
            </w:pPr>
          </w:p>
        </w:tc>
        <w:tc>
          <w:tcPr>
            <w:tcW w:w="1566" w:type="dxa"/>
            <w:vMerge/>
            <w:tcBorders>
              <w:bottom w:val="single" w:sz="4" w:space="0" w:color="auto"/>
            </w:tcBorders>
          </w:tcPr>
          <w:p w:rsidR="00127AAB" w:rsidRPr="005B7BC7" w:rsidRDefault="00127AAB" w:rsidP="00C62F1E">
            <w:pPr>
              <w:pStyle w:val="Table1"/>
            </w:pPr>
          </w:p>
        </w:tc>
      </w:tr>
    </w:tbl>
    <w:p w:rsidR="000A3311" w:rsidRPr="005B7BC7" w:rsidRDefault="001E3C53" w:rsidP="000A3311">
      <w:pPr>
        <w:pStyle w:val="BodyText1"/>
        <w:spacing w:before="240"/>
      </w:pPr>
      <w:r w:rsidRPr="005B7BC7">
        <w:t>The instructions for electronic submission of the Research Income Return</w:t>
      </w:r>
      <w:r w:rsidR="005A24E8">
        <w:t xml:space="preserve">, </w:t>
      </w:r>
      <w:r w:rsidR="005A24E8" w:rsidRPr="005B7BC7">
        <w:t>Vice</w:t>
      </w:r>
      <w:r w:rsidR="005A24E8" w:rsidRPr="005B7BC7">
        <w:noBreakHyphen/>
        <w:t>Chancellor's Certification Statement and Audit Certificate</w:t>
      </w:r>
      <w:r w:rsidR="005A24E8">
        <w:t xml:space="preserve"> </w:t>
      </w:r>
      <w:r w:rsidR="005A24E8" w:rsidRPr="005B7BC7">
        <w:t>(</w:t>
      </w:r>
      <w:r w:rsidR="005A24E8">
        <w:t xml:space="preserve">scanned version of the signed </w:t>
      </w:r>
      <w:r w:rsidR="005A24E8" w:rsidRPr="005B7BC7">
        <w:t xml:space="preserve">hard copy) </w:t>
      </w:r>
      <w:r w:rsidRPr="005B7BC7">
        <w:t xml:space="preserve">are set out </w:t>
      </w:r>
      <w:r w:rsidR="00C36A1F">
        <w:t>on the department’s website (</w:t>
      </w:r>
      <w:r w:rsidR="00C36A1F" w:rsidRPr="00EB7424">
        <w:rPr>
          <w:b/>
        </w:rPr>
        <w:t xml:space="preserve">section </w:t>
      </w:r>
      <w:r w:rsidR="005F3637">
        <w:rPr>
          <w:b/>
        </w:rPr>
        <w:fldChar w:fldCharType="begin"/>
      </w:r>
      <w:r w:rsidR="005F3637">
        <w:rPr>
          <w:b/>
        </w:rPr>
        <w:instrText xml:space="preserve"> REF _Ref440031721 \r \h </w:instrText>
      </w:r>
      <w:r w:rsidR="005F3637">
        <w:rPr>
          <w:b/>
        </w:rPr>
      </w:r>
      <w:r w:rsidR="005F3637">
        <w:rPr>
          <w:b/>
        </w:rPr>
        <w:fldChar w:fldCharType="separate"/>
      </w:r>
      <w:r w:rsidR="007D5E9F">
        <w:rPr>
          <w:b/>
        </w:rPr>
        <w:t>1.7</w:t>
      </w:r>
      <w:r w:rsidR="005F3637">
        <w:rPr>
          <w:b/>
        </w:rPr>
        <w:fldChar w:fldCharType="end"/>
      </w:r>
      <w:r w:rsidR="00C36A1F">
        <w:t xml:space="preserve">). </w:t>
      </w:r>
      <w:r w:rsidRPr="005B7BC7">
        <w:t xml:space="preserve"> </w:t>
      </w:r>
      <w:r w:rsidR="001E64C3">
        <w:t>S</w:t>
      </w:r>
      <w:r w:rsidR="000A3311" w:rsidRPr="005B7BC7">
        <w:t xml:space="preserve">ubmissions must be sent to: </w:t>
      </w:r>
      <w:hyperlink r:id="rId21" w:history="1">
        <w:r w:rsidR="000A3311" w:rsidRPr="005B7BC7">
          <w:rPr>
            <w:rStyle w:val="Hyperlink"/>
            <w:rFonts w:cs="Arial"/>
          </w:rPr>
          <w:t>RBGrants@education.gov.au</w:t>
        </w:r>
      </w:hyperlink>
    </w:p>
    <w:p w:rsidR="00581857" w:rsidRPr="00C07A8F" w:rsidRDefault="00581857" w:rsidP="00581857">
      <w:pPr>
        <w:pStyle w:val="BodyText21"/>
        <w:ind w:left="0"/>
      </w:pPr>
      <w:r>
        <w:lastRenderedPageBreak/>
        <w:t>In the event that it is not possible to lodge this return by electronic submission, hard copy submissions can be sent to:</w:t>
      </w:r>
    </w:p>
    <w:p w:rsidR="00581857" w:rsidRPr="005B7BC7" w:rsidRDefault="00581857" w:rsidP="00581857">
      <w:pPr>
        <w:pStyle w:val="Address"/>
      </w:pPr>
      <w:r w:rsidRPr="005B7BC7">
        <w:t>HERDC Officer</w:t>
      </w:r>
    </w:p>
    <w:p w:rsidR="00581857" w:rsidRPr="005B7BC7" w:rsidRDefault="00581857" w:rsidP="00581857">
      <w:pPr>
        <w:pStyle w:val="Address"/>
      </w:pPr>
      <w:r w:rsidRPr="005B7BC7">
        <w:t>Higher Education Research Data Collection (HERDC)</w:t>
      </w:r>
    </w:p>
    <w:p w:rsidR="00581857" w:rsidRPr="005B7BC7" w:rsidRDefault="00581857" w:rsidP="00581857">
      <w:pPr>
        <w:pStyle w:val="Address"/>
      </w:pPr>
      <w:r w:rsidRPr="005B7BC7">
        <w:t>Research Funding and Policy Branch</w:t>
      </w:r>
    </w:p>
    <w:p w:rsidR="00581857" w:rsidRPr="005B7BC7" w:rsidRDefault="00581857" w:rsidP="00581857">
      <w:pPr>
        <w:pStyle w:val="Address"/>
      </w:pPr>
      <w:r w:rsidRPr="005B7BC7">
        <w:t xml:space="preserve">Research and </w:t>
      </w:r>
      <w:r>
        <w:t>Economic</w:t>
      </w:r>
      <w:r w:rsidRPr="005B7BC7">
        <w:t xml:space="preserve"> Group</w:t>
      </w:r>
    </w:p>
    <w:p w:rsidR="00581857" w:rsidRPr="005B7BC7" w:rsidRDefault="00581857" w:rsidP="00581857">
      <w:pPr>
        <w:pStyle w:val="Address"/>
      </w:pPr>
      <w:r w:rsidRPr="005B7BC7">
        <w:t>Department of Education</w:t>
      </w:r>
      <w:r>
        <w:t xml:space="preserve"> and Training</w:t>
      </w:r>
    </w:p>
    <w:p w:rsidR="00581857" w:rsidRPr="005B7BC7" w:rsidRDefault="00581857" w:rsidP="00581857">
      <w:pPr>
        <w:pStyle w:val="Address"/>
      </w:pPr>
      <w:r w:rsidRPr="005B7BC7">
        <w:t>GPO Box 9880</w:t>
      </w:r>
    </w:p>
    <w:p w:rsidR="00581857" w:rsidRPr="005B7BC7" w:rsidRDefault="00581857" w:rsidP="00581857">
      <w:pPr>
        <w:pStyle w:val="Address"/>
        <w:spacing w:after="240"/>
      </w:pPr>
      <w:r w:rsidRPr="005B7BC7">
        <w:t>Canberra ACT 2601</w:t>
      </w:r>
    </w:p>
    <w:p w:rsidR="00A84648" w:rsidRPr="005B7BC7" w:rsidRDefault="00A84648" w:rsidP="0039518B">
      <w:pPr>
        <w:pStyle w:val="Heading1"/>
        <w:numPr>
          <w:ilvl w:val="1"/>
          <w:numId w:val="5"/>
        </w:numPr>
      </w:pPr>
      <w:bookmarkStart w:id="78" w:name="_Toc437848401"/>
      <w:bookmarkStart w:id="79" w:name="_Toc437848457"/>
      <w:bookmarkStart w:id="80" w:name="_Toc437848497"/>
      <w:bookmarkStart w:id="81" w:name="_Toc437848537"/>
      <w:bookmarkStart w:id="82" w:name="_Toc437850607"/>
      <w:bookmarkStart w:id="83" w:name="_Toc437850683"/>
      <w:bookmarkStart w:id="84" w:name="_Toc437850759"/>
      <w:bookmarkStart w:id="85" w:name="_Toc437851112"/>
      <w:bookmarkStart w:id="86" w:name="_Toc437848402"/>
      <w:bookmarkStart w:id="87" w:name="_Toc437848458"/>
      <w:bookmarkStart w:id="88" w:name="_Toc437848498"/>
      <w:bookmarkStart w:id="89" w:name="_Toc437848538"/>
      <w:bookmarkStart w:id="90" w:name="_Toc437850608"/>
      <w:bookmarkStart w:id="91" w:name="_Toc437850684"/>
      <w:bookmarkStart w:id="92" w:name="_Toc437850760"/>
      <w:bookmarkStart w:id="93" w:name="_Toc437851113"/>
      <w:bookmarkStart w:id="94" w:name="_Toc437848403"/>
      <w:bookmarkStart w:id="95" w:name="_Toc437848459"/>
      <w:bookmarkStart w:id="96" w:name="_Toc437848499"/>
      <w:bookmarkStart w:id="97" w:name="_Toc437848539"/>
      <w:bookmarkStart w:id="98" w:name="_Toc437850609"/>
      <w:bookmarkStart w:id="99" w:name="_Toc437850685"/>
      <w:bookmarkStart w:id="100" w:name="_Toc437850761"/>
      <w:bookmarkStart w:id="101" w:name="_Toc437851114"/>
      <w:bookmarkStart w:id="102" w:name="_Toc437848404"/>
      <w:bookmarkStart w:id="103" w:name="_Toc437848460"/>
      <w:bookmarkStart w:id="104" w:name="_Toc437848500"/>
      <w:bookmarkStart w:id="105" w:name="_Toc437848540"/>
      <w:bookmarkStart w:id="106" w:name="_Toc437850610"/>
      <w:bookmarkStart w:id="107" w:name="_Toc437850686"/>
      <w:bookmarkStart w:id="108" w:name="_Toc437850762"/>
      <w:bookmarkStart w:id="109" w:name="_Toc437851115"/>
      <w:bookmarkStart w:id="110" w:name="_Toc437848405"/>
      <w:bookmarkStart w:id="111" w:name="_Toc437848461"/>
      <w:bookmarkStart w:id="112" w:name="_Toc437848501"/>
      <w:bookmarkStart w:id="113" w:name="_Toc437848541"/>
      <w:bookmarkStart w:id="114" w:name="_Toc437850611"/>
      <w:bookmarkStart w:id="115" w:name="_Toc437850687"/>
      <w:bookmarkStart w:id="116" w:name="_Toc437850763"/>
      <w:bookmarkStart w:id="117" w:name="_Toc437851116"/>
      <w:bookmarkStart w:id="118" w:name="_Toc437848406"/>
      <w:bookmarkStart w:id="119" w:name="_Toc437848462"/>
      <w:bookmarkStart w:id="120" w:name="_Toc437848502"/>
      <w:bookmarkStart w:id="121" w:name="_Toc437848542"/>
      <w:bookmarkStart w:id="122" w:name="_Toc437850612"/>
      <w:bookmarkStart w:id="123" w:name="_Toc437850688"/>
      <w:bookmarkStart w:id="124" w:name="_Toc437850764"/>
      <w:bookmarkStart w:id="125" w:name="_Toc437851117"/>
      <w:bookmarkStart w:id="126" w:name="_Toc437848407"/>
      <w:bookmarkStart w:id="127" w:name="_Toc437848463"/>
      <w:bookmarkStart w:id="128" w:name="_Toc437848503"/>
      <w:bookmarkStart w:id="129" w:name="_Toc437848543"/>
      <w:bookmarkStart w:id="130" w:name="_Toc437850613"/>
      <w:bookmarkStart w:id="131" w:name="_Toc437850689"/>
      <w:bookmarkStart w:id="132" w:name="_Toc437850765"/>
      <w:bookmarkStart w:id="133" w:name="_Toc437851118"/>
      <w:bookmarkStart w:id="134" w:name="_Toc437848408"/>
      <w:bookmarkStart w:id="135" w:name="_Toc437848464"/>
      <w:bookmarkStart w:id="136" w:name="_Toc437848504"/>
      <w:bookmarkStart w:id="137" w:name="_Toc437848544"/>
      <w:bookmarkStart w:id="138" w:name="_Toc437850614"/>
      <w:bookmarkStart w:id="139" w:name="_Toc437850690"/>
      <w:bookmarkStart w:id="140" w:name="_Toc437850766"/>
      <w:bookmarkStart w:id="141" w:name="_Toc437851119"/>
      <w:bookmarkStart w:id="142" w:name="_Toc437848409"/>
      <w:bookmarkStart w:id="143" w:name="_Toc437848465"/>
      <w:bookmarkStart w:id="144" w:name="_Toc437848505"/>
      <w:bookmarkStart w:id="145" w:name="_Toc437848545"/>
      <w:bookmarkStart w:id="146" w:name="_Toc437850615"/>
      <w:bookmarkStart w:id="147" w:name="_Toc437850691"/>
      <w:bookmarkStart w:id="148" w:name="_Toc437850767"/>
      <w:bookmarkStart w:id="149" w:name="_Toc437851120"/>
      <w:bookmarkStart w:id="150" w:name="_Toc406668857"/>
      <w:bookmarkStart w:id="151" w:name="_Toc44003004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5B7BC7">
        <w:t>Verification material</w:t>
      </w:r>
      <w:bookmarkEnd w:id="150"/>
      <w:bookmarkEnd w:id="151"/>
    </w:p>
    <w:p w:rsidR="00A84648" w:rsidRPr="005B7BC7" w:rsidRDefault="00A84648" w:rsidP="00A84648">
      <w:pPr>
        <w:pStyle w:val="BodyText1"/>
      </w:pPr>
      <w:r w:rsidRPr="005B7BC7">
        <w:t>HEPs must maintain verification material to demonstrate that research income (e.g. funding agreements, memorandums of understanding, letters of agreement, contracts, proof of acceptance of a tender or approval of an application for funding) meet the criteria against the categories being reported.</w:t>
      </w:r>
    </w:p>
    <w:p w:rsidR="00A84648" w:rsidRPr="005B7BC7" w:rsidRDefault="00A84648" w:rsidP="00E4575F">
      <w:pPr>
        <w:pStyle w:val="BodyText1"/>
      </w:pPr>
      <w:r w:rsidRPr="005B7BC7">
        <w:t>For the purposes of the HERDC, HEPs must retain verification material for a minimum of three years to facilitate any audit of research income data that may be conducted by, or on behalf of the department.</w:t>
      </w:r>
    </w:p>
    <w:p w:rsidR="00A84648" w:rsidRPr="005B7BC7" w:rsidRDefault="002D5454" w:rsidP="00E4575F">
      <w:pPr>
        <w:pStyle w:val="BodyText1"/>
      </w:pPr>
      <w:r w:rsidRPr="005B7BC7">
        <w:t>HEPs are advised to ensure that their relevant funding agreements and contracts are up to date, reflect the nature of the research activity being undertaken and the roles of the parties. Arrangements supported by email only (without supporting attachments) do not constitute appropriate verification material</w:t>
      </w:r>
      <w:r w:rsidR="002646D3">
        <w:t>.</w:t>
      </w:r>
    </w:p>
    <w:p w:rsidR="00047C74" w:rsidRDefault="00047C74" w:rsidP="0039518B">
      <w:pPr>
        <w:pStyle w:val="Heading1"/>
        <w:numPr>
          <w:ilvl w:val="1"/>
          <w:numId w:val="5"/>
        </w:numPr>
      </w:pPr>
      <w:bookmarkStart w:id="152" w:name="_Toc437848547"/>
      <w:bookmarkStart w:id="153" w:name="_Toc437850617"/>
      <w:bookmarkStart w:id="154" w:name="_Toc437850693"/>
      <w:bookmarkStart w:id="155" w:name="_Toc437850769"/>
      <w:bookmarkStart w:id="156" w:name="_Toc437851122"/>
      <w:bookmarkStart w:id="157" w:name="_Toc437848548"/>
      <w:bookmarkStart w:id="158" w:name="_Toc437850618"/>
      <w:bookmarkStart w:id="159" w:name="_Toc437850694"/>
      <w:bookmarkStart w:id="160" w:name="_Toc437850770"/>
      <w:bookmarkStart w:id="161" w:name="_Toc437851123"/>
      <w:bookmarkStart w:id="162" w:name="_Toc437848549"/>
      <w:bookmarkStart w:id="163" w:name="_Toc437850619"/>
      <w:bookmarkStart w:id="164" w:name="_Toc437850695"/>
      <w:bookmarkStart w:id="165" w:name="_Toc437850771"/>
      <w:bookmarkStart w:id="166" w:name="_Toc437851124"/>
      <w:bookmarkStart w:id="167" w:name="_Toc437848550"/>
      <w:bookmarkStart w:id="168" w:name="_Toc437850620"/>
      <w:bookmarkStart w:id="169" w:name="_Toc437850696"/>
      <w:bookmarkStart w:id="170" w:name="_Toc437850772"/>
      <w:bookmarkStart w:id="171" w:name="_Toc437851125"/>
      <w:bookmarkStart w:id="172" w:name="_Toc437848551"/>
      <w:bookmarkStart w:id="173" w:name="_Toc437850621"/>
      <w:bookmarkStart w:id="174" w:name="_Toc437850697"/>
      <w:bookmarkStart w:id="175" w:name="_Toc437850773"/>
      <w:bookmarkStart w:id="176" w:name="_Toc437851126"/>
      <w:bookmarkStart w:id="177" w:name="_Toc437848552"/>
      <w:bookmarkStart w:id="178" w:name="_Toc437850622"/>
      <w:bookmarkStart w:id="179" w:name="_Toc437850698"/>
      <w:bookmarkStart w:id="180" w:name="_Toc437850774"/>
      <w:bookmarkStart w:id="181" w:name="_Toc437851127"/>
      <w:bookmarkStart w:id="182" w:name="_Toc437848553"/>
      <w:bookmarkStart w:id="183" w:name="_Toc437850623"/>
      <w:bookmarkStart w:id="184" w:name="_Toc437850699"/>
      <w:bookmarkStart w:id="185" w:name="_Toc437850775"/>
      <w:bookmarkStart w:id="186" w:name="_Toc437851128"/>
      <w:bookmarkStart w:id="187" w:name="_Toc437848554"/>
      <w:bookmarkStart w:id="188" w:name="_Toc437850624"/>
      <w:bookmarkStart w:id="189" w:name="_Toc437850700"/>
      <w:bookmarkStart w:id="190" w:name="_Toc437850776"/>
      <w:bookmarkStart w:id="191" w:name="_Toc437851129"/>
      <w:bookmarkStart w:id="192" w:name="_Toc437848555"/>
      <w:bookmarkStart w:id="193" w:name="_Toc437850625"/>
      <w:bookmarkStart w:id="194" w:name="_Toc437850701"/>
      <w:bookmarkStart w:id="195" w:name="_Toc437850777"/>
      <w:bookmarkStart w:id="196" w:name="_Toc437851130"/>
      <w:bookmarkStart w:id="197" w:name="_Toc437848556"/>
      <w:bookmarkStart w:id="198" w:name="_Toc437850626"/>
      <w:bookmarkStart w:id="199" w:name="_Toc437850702"/>
      <w:bookmarkStart w:id="200" w:name="_Toc437850778"/>
      <w:bookmarkStart w:id="201" w:name="_Toc437851131"/>
      <w:bookmarkStart w:id="202" w:name="_Toc437848557"/>
      <w:bookmarkStart w:id="203" w:name="_Toc437850627"/>
      <w:bookmarkStart w:id="204" w:name="_Toc437850703"/>
      <w:bookmarkStart w:id="205" w:name="_Toc437850779"/>
      <w:bookmarkStart w:id="206" w:name="_Toc437851132"/>
      <w:bookmarkStart w:id="207" w:name="_Toc437848558"/>
      <w:bookmarkStart w:id="208" w:name="_Toc437850628"/>
      <w:bookmarkStart w:id="209" w:name="_Toc437850704"/>
      <w:bookmarkStart w:id="210" w:name="_Toc437850780"/>
      <w:bookmarkStart w:id="211" w:name="_Toc437851133"/>
      <w:bookmarkStart w:id="212" w:name="_Toc437848559"/>
      <w:bookmarkStart w:id="213" w:name="_Toc437850629"/>
      <w:bookmarkStart w:id="214" w:name="_Toc437850705"/>
      <w:bookmarkStart w:id="215" w:name="_Toc437850781"/>
      <w:bookmarkStart w:id="216" w:name="_Toc437851134"/>
      <w:bookmarkStart w:id="217" w:name="_Toc437848560"/>
      <w:bookmarkStart w:id="218" w:name="_Toc437850630"/>
      <w:bookmarkStart w:id="219" w:name="_Toc437850706"/>
      <w:bookmarkStart w:id="220" w:name="_Toc437850782"/>
      <w:bookmarkStart w:id="221" w:name="_Toc437851135"/>
      <w:bookmarkStart w:id="222" w:name="_Toc437848561"/>
      <w:bookmarkStart w:id="223" w:name="_Toc437850631"/>
      <w:bookmarkStart w:id="224" w:name="_Toc437850707"/>
      <w:bookmarkStart w:id="225" w:name="_Toc437850783"/>
      <w:bookmarkStart w:id="226" w:name="_Toc437851136"/>
      <w:bookmarkStart w:id="227" w:name="_Toc437848562"/>
      <w:bookmarkStart w:id="228" w:name="_Toc437850632"/>
      <w:bookmarkStart w:id="229" w:name="_Toc437850708"/>
      <w:bookmarkStart w:id="230" w:name="_Toc437850784"/>
      <w:bookmarkStart w:id="231" w:name="_Toc437851137"/>
      <w:bookmarkStart w:id="232" w:name="_Toc437848563"/>
      <w:bookmarkStart w:id="233" w:name="_Toc437850633"/>
      <w:bookmarkStart w:id="234" w:name="_Toc437850709"/>
      <w:bookmarkStart w:id="235" w:name="_Toc437850785"/>
      <w:bookmarkStart w:id="236" w:name="_Toc437851138"/>
      <w:bookmarkStart w:id="237" w:name="_Toc437848564"/>
      <w:bookmarkStart w:id="238" w:name="_Toc437850634"/>
      <w:bookmarkStart w:id="239" w:name="_Toc437850710"/>
      <w:bookmarkStart w:id="240" w:name="_Toc437850786"/>
      <w:bookmarkStart w:id="241" w:name="_Toc437851139"/>
      <w:bookmarkStart w:id="242" w:name="_Toc437848565"/>
      <w:bookmarkStart w:id="243" w:name="_Toc437850635"/>
      <w:bookmarkStart w:id="244" w:name="_Toc437850711"/>
      <w:bookmarkStart w:id="245" w:name="_Toc437850787"/>
      <w:bookmarkStart w:id="246" w:name="_Toc437851140"/>
      <w:bookmarkStart w:id="247" w:name="_Toc437848566"/>
      <w:bookmarkStart w:id="248" w:name="_Toc437850636"/>
      <w:bookmarkStart w:id="249" w:name="_Toc437850712"/>
      <w:bookmarkStart w:id="250" w:name="_Toc437850788"/>
      <w:bookmarkStart w:id="251" w:name="_Toc437851141"/>
      <w:bookmarkStart w:id="252" w:name="_Toc437848567"/>
      <w:bookmarkStart w:id="253" w:name="_Toc437850637"/>
      <w:bookmarkStart w:id="254" w:name="_Toc437850713"/>
      <w:bookmarkStart w:id="255" w:name="_Toc437850789"/>
      <w:bookmarkStart w:id="256" w:name="_Toc437851142"/>
      <w:bookmarkStart w:id="257" w:name="_Toc437848568"/>
      <w:bookmarkStart w:id="258" w:name="_Toc437850638"/>
      <w:bookmarkStart w:id="259" w:name="_Toc437850714"/>
      <w:bookmarkStart w:id="260" w:name="_Toc437850790"/>
      <w:bookmarkStart w:id="261" w:name="_Toc437851143"/>
      <w:bookmarkStart w:id="262" w:name="_Toc437848569"/>
      <w:bookmarkStart w:id="263" w:name="_Toc437850639"/>
      <w:bookmarkStart w:id="264" w:name="_Toc437850715"/>
      <w:bookmarkStart w:id="265" w:name="_Toc437850791"/>
      <w:bookmarkStart w:id="266" w:name="_Toc437851144"/>
      <w:bookmarkStart w:id="267" w:name="_Toc437848570"/>
      <w:bookmarkStart w:id="268" w:name="_Toc437850640"/>
      <w:bookmarkStart w:id="269" w:name="_Toc437850716"/>
      <w:bookmarkStart w:id="270" w:name="_Toc437850792"/>
      <w:bookmarkStart w:id="271" w:name="_Toc437851145"/>
      <w:bookmarkStart w:id="272" w:name="_Toc437848571"/>
      <w:bookmarkStart w:id="273" w:name="_Toc437850641"/>
      <w:bookmarkStart w:id="274" w:name="_Toc437850717"/>
      <w:bookmarkStart w:id="275" w:name="_Toc437850793"/>
      <w:bookmarkStart w:id="276" w:name="_Toc437851146"/>
      <w:bookmarkStart w:id="277" w:name="_Toc437848572"/>
      <w:bookmarkStart w:id="278" w:name="_Toc437850642"/>
      <w:bookmarkStart w:id="279" w:name="_Toc437850718"/>
      <w:bookmarkStart w:id="280" w:name="_Toc437850794"/>
      <w:bookmarkStart w:id="281" w:name="_Toc437851147"/>
      <w:bookmarkStart w:id="282" w:name="_Toc437848573"/>
      <w:bookmarkStart w:id="283" w:name="_Toc437850643"/>
      <w:bookmarkStart w:id="284" w:name="_Toc437850719"/>
      <w:bookmarkStart w:id="285" w:name="_Toc437850795"/>
      <w:bookmarkStart w:id="286" w:name="_Toc437851148"/>
      <w:bookmarkStart w:id="287" w:name="_Toc437848574"/>
      <w:bookmarkStart w:id="288" w:name="_Toc437850644"/>
      <w:bookmarkStart w:id="289" w:name="_Toc437850720"/>
      <w:bookmarkStart w:id="290" w:name="_Toc437850796"/>
      <w:bookmarkStart w:id="291" w:name="_Toc437851149"/>
      <w:bookmarkStart w:id="292" w:name="_Toc437848575"/>
      <w:bookmarkStart w:id="293" w:name="_Toc437850645"/>
      <w:bookmarkStart w:id="294" w:name="_Toc437850721"/>
      <w:bookmarkStart w:id="295" w:name="_Toc437850797"/>
      <w:bookmarkStart w:id="296" w:name="_Toc437851150"/>
      <w:bookmarkStart w:id="297" w:name="_Toc437848576"/>
      <w:bookmarkStart w:id="298" w:name="_Toc437850646"/>
      <w:bookmarkStart w:id="299" w:name="_Toc437850722"/>
      <w:bookmarkStart w:id="300" w:name="_Toc437850798"/>
      <w:bookmarkStart w:id="301" w:name="_Toc437851151"/>
      <w:bookmarkStart w:id="302" w:name="_Toc437848577"/>
      <w:bookmarkStart w:id="303" w:name="_Toc437850647"/>
      <w:bookmarkStart w:id="304" w:name="_Toc437850723"/>
      <w:bookmarkStart w:id="305" w:name="_Toc437850799"/>
      <w:bookmarkStart w:id="306" w:name="_Toc437851152"/>
      <w:bookmarkStart w:id="307" w:name="_Toc437848578"/>
      <w:bookmarkStart w:id="308" w:name="_Toc437850648"/>
      <w:bookmarkStart w:id="309" w:name="_Toc437850724"/>
      <w:bookmarkStart w:id="310" w:name="_Toc437850800"/>
      <w:bookmarkStart w:id="311" w:name="_Toc437851153"/>
      <w:bookmarkStart w:id="312" w:name="_Toc437848579"/>
      <w:bookmarkStart w:id="313" w:name="_Toc437850649"/>
      <w:bookmarkStart w:id="314" w:name="_Toc437850725"/>
      <w:bookmarkStart w:id="315" w:name="_Toc437850801"/>
      <w:bookmarkStart w:id="316" w:name="_Toc437851154"/>
      <w:bookmarkStart w:id="317" w:name="_Toc440030049"/>
      <w:bookmarkStart w:id="318" w:name="_Ref440030770"/>
      <w:bookmarkStart w:id="319" w:name="_Ref440030776"/>
      <w:bookmarkStart w:id="320" w:name="_Ref440030839"/>
      <w:bookmarkStart w:id="321" w:name="_Ref440030841"/>
      <w:bookmarkStart w:id="322" w:name="_Ref440030938"/>
      <w:bookmarkStart w:id="323" w:name="_Ref440030970"/>
      <w:bookmarkStart w:id="324" w:name="_Ref440031721"/>
      <w:bookmarkStart w:id="325" w:name="_Toc40666885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t>Related documents</w:t>
      </w:r>
      <w:bookmarkEnd w:id="317"/>
      <w:bookmarkEnd w:id="318"/>
      <w:bookmarkEnd w:id="319"/>
      <w:bookmarkEnd w:id="320"/>
      <w:bookmarkEnd w:id="321"/>
      <w:bookmarkEnd w:id="322"/>
      <w:bookmarkEnd w:id="323"/>
      <w:bookmarkEnd w:id="324"/>
    </w:p>
    <w:p w:rsidR="00047C74" w:rsidRDefault="00047C74" w:rsidP="00A91DD7">
      <w:r>
        <w:t>Th</w:t>
      </w:r>
      <w:r w:rsidR="00027F7F">
        <w:t>is document should</w:t>
      </w:r>
      <w:r>
        <w:t xml:space="preserve"> be read in conjunction with the following </w:t>
      </w:r>
      <w:r w:rsidR="002C683F">
        <w:t>resources</w:t>
      </w:r>
      <w:r>
        <w:t>:</w:t>
      </w:r>
    </w:p>
    <w:p w:rsidR="00047C74" w:rsidRPr="00A91DD7" w:rsidRDefault="00127AAB" w:rsidP="00A91DD7">
      <w:pPr>
        <w:pStyle w:val="ListParagraph"/>
        <w:numPr>
          <w:ilvl w:val="0"/>
          <w:numId w:val="80"/>
        </w:numPr>
        <w:rPr>
          <w:i/>
        </w:rPr>
      </w:pPr>
      <w:r w:rsidRPr="00A91DD7">
        <w:rPr>
          <w:i/>
        </w:rPr>
        <w:t>Instructions for electronic submission of HERDC returns</w:t>
      </w:r>
      <w:r>
        <w:rPr>
          <w:i/>
        </w:rPr>
        <w:t>.</w:t>
      </w:r>
    </w:p>
    <w:p w:rsidR="00127AAB" w:rsidRDefault="00127AAB" w:rsidP="00A91DD7"/>
    <w:p w:rsidR="00B43A3D" w:rsidRDefault="00B06D91" w:rsidP="00A91DD7">
      <w:r>
        <w:t xml:space="preserve">These </w:t>
      </w:r>
      <w:r w:rsidR="002C683F">
        <w:t xml:space="preserve">resources </w:t>
      </w:r>
      <w:r>
        <w:t xml:space="preserve">are available on the </w:t>
      </w:r>
      <w:r w:rsidR="00027F7F">
        <w:t>department’s</w:t>
      </w:r>
      <w:r>
        <w:t xml:space="preserve"> website: </w:t>
      </w:r>
      <w:hyperlink r:id="rId22" w:history="1">
        <w:r w:rsidR="004100D5" w:rsidRPr="009644D4">
          <w:rPr>
            <w:rStyle w:val="Hyperlink"/>
            <w:rFonts w:cs="Arial"/>
          </w:rPr>
          <w:t>https://www.education.gov.au/higher-education-research-data-collection</w:t>
        </w:r>
      </w:hyperlink>
      <w:r w:rsidR="004100D5">
        <w:t xml:space="preserve">. </w:t>
      </w:r>
    </w:p>
    <w:p w:rsidR="004100D5" w:rsidRDefault="004100D5" w:rsidP="00A91DD7"/>
    <w:p w:rsidR="00386FD2" w:rsidRPr="005B7BC7" w:rsidRDefault="00386FD2" w:rsidP="0039518B">
      <w:pPr>
        <w:pStyle w:val="Heading1"/>
        <w:numPr>
          <w:ilvl w:val="1"/>
          <w:numId w:val="5"/>
        </w:numPr>
      </w:pPr>
      <w:bookmarkStart w:id="326" w:name="_Toc437848581"/>
      <w:bookmarkStart w:id="327" w:name="_Toc437850651"/>
      <w:bookmarkStart w:id="328" w:name="_Toc437850727"/>
      <w:bookmarkStart w:id="329" w:name="_Toc437850803"/>
      <w:bookmarkStart w:id="330" w:name="_Toc437851156"/>
      <w:bookmarkStart w:id="331" w:name="_Toc437848582"/>
      <w:bookmarkStart w:id="332" w:name="_Toc437850652"/>
      <w:bookmarkStart w:id="333" w:name="_Toc437850728"/>
      <w:bookmarkStart w:id="334" w:name="_Toc437850804"/>
      <w:bookmarkStart w:id="335" w:name="_Toc437851157"/>
      <w:bookmarkStart w:id="336" w:name="_Toc440030050"/>
      <w:bookmarkEnd w:id="326"/>
      <w:bookmarkEnd w:id="327"/>
      <w:bookmarkEnd w:id="328"/>
      <w:bookmarkEnd w:id="329"/>
      <w:bookmarkEnd w:id="330"/>
      <w:bookmarkEnd w:id="331"/>
      <w:bookmarkEnd w:id="332"/>
      <w:bookmarkEnd w:id="333"/>
      <w:bookmarkEnd w:id="334"/>
      <w:bookmarkEnd w:id="335"/>
      <w:r w:rsidRPr="005B7BC7">
        <w:t>Freedom of Information Act 1982</w:t>
      </w:r>
      <w:bookmarkEnd w:id="325"/>
      <w:bookmarkEnd w:id="336"/>
    </w:p>
    <w:p w:rsidR="00386FD2" w:rsidRPr="005B7BC7" w:rsidRDefault="00386FD2" w:rsidP="00386FD2">
      <w:pPr>
        <w:pStyle w:val="BodyText1"/>
      </w:pPr>
      <w:r w:rsidRPr="005B7BC7">
        <w:t>All documents sent to the department with regard to the HERDC are subject to the Freedom of Information Act 1982 (FOI Act). Unless a document falls under an exemption provision, it may be made available to the applicant, if requested, under the FOI Act. All freedom of information requests are to be referred to:</w:t>
      </w:r>
    </w:p>
    <w:p w:rsidR="007B7680" w:rsidRDefault="00D21AB8" w:rsidP="00386FD2">
      <w:pPr>
        <w:pStyle w:val="Address"/>
      </w:pPr>
      <w:r w:rsidRPr="00D21AB8">
        <w:t>The FOI Coordinator</w:t>
      </w:r>
    </w:p>
    <w:p w:rsidR="007B7680" w:rsidRDefault="00D21AB8" w:rsidP="00386FD2">
      <w:pPr>
        <w:pStyle w:val="Address"/>
        <w:rPr>
          <w:lang w:val="en"/>
        </w:rPr>
      </w:pPr>
      <w:r w:rsidRPr="00D21AB8">
        <w:rPr>
          <w:lang w:val="en"/>
        </w:rPr>
        <w:t>Schools, Youth, Child Care and Corporate Legal Branch</w:t>
      </w:r>
    </w:p>
    <w:p w:rsidR="007A65A6" w:rsidRPr="005B7BC7" w:rsidRDefault="007B7680" w:rsidP="00386FD2">
      <w:pPr>
        <w:pStyle w:val="Address"/>
      </w:pPr>
      <w:r>
        <w:rPr>
          <w:lang w:val="en"/>
        </w:rPr>
        <w:t>L</w:t>
      </w:r>
      <w:r w:rsidR="00D21AB8">
        <w:rPr>
          <w:lang w:val="en"/>
        </w:rPr>
        <w:t xml:space="preserve">ocation Code: </w:t>
      </w:r>
      <w:r w:rsidR="007A65A6" w:rsidRPr="007A65A6">
        <w:rPr>
          <w:lang w:val="en"/>
        </w:rPr>
        <w:t>C50MA10</w:t>
      </w:r>
      <w:r w:rsidR="00D21AB8">
        <w:rPr>
          <w:lang w:val="en"/>
        </w:rPr>
        <w:t xml:space="preserve"> - LEGAL</w:t>
      </w:r>
    </w:p>
    <w:p w:rsidR="00386FD2" w:rsidRPr="005B7BC7" w:rsidRDefault="00386FD2" w:rsidP="00386FD2">
      <w:pPr>
        <w:pStyle w:val="Address"/>
      </w:pPr>
      <w:r w:rsidRPr="005B7BC7">
        <w:t>GPO Box 9880</w:t>
      </w:r>
    </w:p>
    <w:p w:rsidR="00386FD2" w:rsidRPr="005B7BC7" w:rsidRDefault="00386FD2" w:rsidP="00386FD2">
      <w:pPr>
        <w:pStyle w:val="Address"/>
        <w:spacing w:after="120"/>
      </w:pPr>
      <w:r w:rsidRPr="005B7BC7">
        <w:t>Canberra ACT 2601</w:t>
      </w:r>
    </w:p>
    <w:p w:rsidR="00386FD2" w:rsidRPr="005B7BC7" w:rsidRDefault="00386FD2" w:rsidP="00386FD2">
      <w:pPr>
        <w:pStyle w:val="BodyText1"/>
      </w:pPr>
      <w:r w:rsidRPr="005B7BC7">
        <w:t>Decisions regarding requests for access to documents will be made by the department’s authorised freedom of information decision-maker in accordance with the requirements of the FOI Act.</w:t>
      </w:r>
    </w:p>
    <w:p w:rsidR="0085151B" w:rsidRPr="005B7BC7" w:rsidRDefault="0085151B" w:rsidP="0039518B">
      <w:pPr>
        <w:pStyle w:val="Heading1"/>
        <w:numPr>
          <w:ilvl w:val="1"/>
          <w:numId w:val="5"/>
        </w:numPr>
      </w:pPr>
      <w:bookmarkStart w:id="337" w:name="_Toc406668859"/>
      <w:bookmarkStart w:id="338" w:name="_Toc440030051"/>
      <w:r w:rsidRPr="005B7BC7">
        <w:t>Contact Details</w:t>
      </w:r>
      <w:bookmarkEnd w:id="337"/>
      <w:bookmarkEnd w:id="338"/>
    </w:p>
    <w:p w:rsidR="0085151B" w:rsidRPr="005B7BC7" w:rsidRDefault="0085151B" w:rsidP="00AB4992">
      <w:pPr>
        <w:pStyle w:val="BodyText1"/>
        <w:keepNext/>
        <w:keepLines/>
        <w:spacing w:after="0"/>
      </w:pPr>
      <w:r w:rsidRPr="005B7BC7">
        <w:t>Queries concerning the HERDC and this document should be directed to:</w:t>
      </w:r>
      <w:r w:rsidR="003C4731">
        <w:t xml:space="preserve"> </w:t>
      </w:r>
      <w:hyperlink r:id="rId23" w:history="1">
        <w:r w:rsidRPr="005B7BC7">
          <w:rPr>
            <w:rStyle w:val="Hyperlink"/>
          </w:rPr>
          <w:t>RBGrants@education.gov.au</w:t>
        </w:r>
      </w:hyperlink>
      <w:r w:rsidRPr="005B7BC7">
        <w:rPr>
          <w:rStyle w:val="Hyperlink"/>
        </w:rPr>
        <w:t>.</w:t>
      </w:r>
    </w:p>
    <w:p w:rsidR="001343C5" w:rsidRDefault="001343C5" w:rsidP="005F4CE6">
      <w:pPr>
        <w:pStyle w:val="Heading1"/>
        <w:sectPr w:rsidR="001343C5" w:rsidSect="0065623D">
          <w:footerReference w:type="default" r:id="rId24"/>
          <w:footerReference w:type="first" r:id="rId25"/>
          <w:pgSz w:w="11907" w:h="16840" w:code="9"/>
          <w:pgMar w:top="1233" w:right="1242" w:bottom="680" w:left="851" w:header="720" w:footer="458" w:gutter="0"/>
          <w:cols w:space="720"/>
          <w:noEndnote/>
          <w:docGrid w:linePitch="326"/>
        </w:sectPr>
      </w:pPr>
      <w:bookmarkStart w:id="339" w:name="_Toc168817155"/>
      <w:bookmarkStart w:id="340" w:name="_Toc168824772"/>
      <w:bookmarkStart w:id="341" w:name="_Toc168817157"/>
      <w:bookmarkStart w:id="342" w:name="_Toc168824774"/>
      <w:bookmarkStart w:id="343" w:name="_Toc168817160"/>
      <w:bookmarkStart w:id="344" w:name="_Toc168824777"/>
      <w:bookmarkStart w:id="345" w:name="_Toc168817162"/>
      <w:bookmarkStart w:id="346" w:name="_Toc168824780"/>
      <w:bookmarkStart w:id="347" w:name="_Commercial_Publisher"/>
      <w:bookmarkStart w:id="348" w:name="_Toc168817164"/>
      <w:bookmarkStart w:id="349" w:name="_Toc168824782"/>
      <w:bookmarkStart w:id="350" w:name="_Toc168817167"/>
      <w:bookmarkStart w:id="351" w:name="_Toc168824785"/>
      <w:bookmarkStart w:id="352" w:name="_Toc168817169"/>
      <w:bookmarkStart w:id="353" w:name="_Toc168824787"/>
      <w:bookmarkStart w:id="354" w:name="_Toc406668860"/>
      <w:bookmarkStart w:id="355" w:name="_Ref114284821"/>
      <w:bookmarkStart w:id="356" w:name="_Toc11618293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5F4CE6" w:rsidRPr="005B7BC7" w:rsidRDefault="005F4CE6" w:rsidP="005F4CE6">
      <w:pPr>
        <w:pStyle w:val="Heading1"/>
      </w:pPr>
      <w:r w:rsidRPr="005B7BC7">
        <w:lastRenderedPageBreak/>
        <w:t xml:space="preserve"> </w:t>
      </w:r>
      <w:bookmarkStart w:id="357" w:name="_Toc440030052"/>
      <w:r w:rsidRPr="005B7BC7">
        <w:t>Key differences between the 201</w:t>
      </w:r>
      <w:r w:rsidR="00A15B3D">
        <w:t>7</w:t>
      </w:r>
      <w:r w:rsidRPr="005B7BC7">
        <w:t xml:space="preserve"> and 201</w:t>
      </w:r>
      <w:r w:rsidR="00A15B3D">
        <w:t>6</w:t>
      </w:r>
      <w:r w:rsidRPr="005B7BC7">
        <w:t xml:space="preserve"> HERDC Specifications</w:t>
      </w:r>
      <w:bookmarkEnd w:id="354"/>
      <w:bookmarkEnd w:id="357"/>
      <w:r w:rsidRPr="005B7BC7">
        <w:t xml:space="preserve"> </w:t>
      </w:r>
    </w:p>
    <w:p w:rsidR="00DA6EA6" w:rsidRDefault="00DA6EA6" w:rsidP="008F05E9">
      <w:pPr>
        <w:pStyle w:val="BodyText1"/>
        <w:rPr>
          <w:b/>
          <w:i/>
        </w:rPr>
      </w:pPr>
      <w:r w:rsidRPr="002D7C71">
        <w:rPr>
          <w:b/>
          <w:i/>
        </w:rPr>
        <w:t>201</w:t>
      </w:r>
      <w:r w:rsidR="00A03E9C">
        <w:rPr>
          <w:b/>
          <w:i/>
        </w:rPr>
        <w:t>7</w:t>
      </w:r>
      <w:r w:rsidRPr="002D7C71">
        <w:rPr>
          <w:b/>
          <w:i/>
        </w:rPr>
        <w:t xml:space="preserve"> HERDC Specifications</w:t>
      </w:r>
      <w:r w:rsidR="00A51EBB" w:rsidRPr="002D7C71">
        <w:rPr>
          <w:b/>
          <w:i/>
        </w:rPr>
        <w:t xml:space="preserve"> (for 201</w:t>
      </w:r>
      <w:r w:rsidR="00A03E9C">
        <w:rPr>
          <w:b/>
          <w:i/>
        </w:rPr>
        <w:t>6</w:t>
      </w:r>
      <w:r w:rsidR="00A51EBB" w:rsidRPr="002D7C71">
        <w:rPr>
          <w:b/>
          <w:i/>
        </w:rPr>
        <w:t xml:space="preserve"> data)</w:t>
      </w:r>
    </w:p>
    <w:p w:rsidR="00126D48" w:rsidRDefault="00126D48" w:rsidP="00126D48">
      <w:pPr>
        <w:pStyle w:val="BodyText1"/>
      </w:pPr>
      <w:r>
        <w:t xml:space="preserve">The </w:t>
      </w:r>
      <w:r w:rsidRPr="004E5F6A">
        <w:t>201</w:t>
      </w:r>
      <w:r>
        <w:t>7</w:t>
      </w:r>
      <w:r w:rsidRPr="004E5F6A">
        <w:t xml:space="preserve"> </w:t>
      </w:r>
      <w:r>
        <w:t xml:space="preserve">HERDC </w:t>
      </w:r>
      <w:r w:rsidRPr="004E5F6A">
        <w:t xml:space="preserve">Specifications </w:t>
      </w:r>
      <w:r>
        <w:t xml:space="preserve">have been </w:t>
      </w:r>
      <w:r w:rsidRPr="004E5F6A">
        <w:t>re-formatt</w:t>
      </w:r>
      <w:r>
        <w:t>ed slightly</w:t>
      </w:r>
      <w:r w:rsidRPr="004E5F6A">
        <w:t xml:space="preserve"> to improve readability</w:t>
      </w:r>
      <w:r>
        <w:t xml:space="preserve">. </w:t>
      </w:r>
    </w:p>
    <w:p w:rsidR="00126D48" w:rsidRDefault="00126D48" w:rsidP="00126D48">
      <w:pPr>
        <w:pStyle w:val="BodyText1"/>
      </w:pPr>
      <w:r>
        <w:t>Section 3 has been updated to reflect the new definition</w:t>
      </w:r>
      <w:r w:rsidR="00AE2470">
        <w:t>s</w:t>
      </w:r>
      <w:r>
        <w:t xml:space="preserve"> of research</w:t>
      </w:r>
      <w:r w:rsidR="00D25005">
        <w:t xml:space="preserve"> and development </w:t>
      </w:r>
      <w:r>
        <w:t xml:space="preserve">in the 2015 Frascati Manual. The </w:t>
      </w:r>
      <w:r w:rsidR="00461DE2">
        <w:t>OECD</w:t>
      </w:r>
      <w:r w:rsidRPr="007916FA">
        <w:t xml:space="preserve"> </w:t>
      </w:r>
      <w:r>
        <w:t xml:space="preserve">modified definition </w:t>
      </w:r>
      <w:r w:rsidR="00461DE2">
        <w:t>is</w:t>
      </w:r>
      <w:r>
        <w:t xml:space="preserve"> consistent with </w:t>
      </w:r>
      <w:r w:rsidR="00461DE2">
        <w:t xml:space="preserve">the </w:t>
      </w:r>
      <w:r>
        <w:t>previous definition.</w:t>
      </w:r>
      <w:r w:rsidR="00AE2470">
        <w:t xml:space="preserve"> </w:t>
      </w:r>
      <w:r w:rsidR="00F82B74">
        <w:t xml:space="preserve">Inclusions have been updated to list pre-commercialisation activities. </w:t>
      </w:r>
      <w:r w:rsidR="00AE2470">
        <w:t xml:space="preserve">Exclusions have been updated to </w:t>
      </w:r>
      <w:r w:rsidR="00F82B74">
        <w:t xml:space="preserve">list </w:t>
      </w:r>
      <w:r w:rsidR="00AE2470">
        <w:t>other research commercialisation activities.</w:t>
      </w:r>
      <w:r w:rsidR="00586A31">
        <w:t xml:space="preserve"> The definition of HDR students has been updated to align with the definition used in the Commonwealth Scholarships Guidelines (Research) 2017</w:t>
      </w:r>
      <w:r w:rsidR="00D22234">
        <w:t xml:space="preserve">. </w:t>
      </w:r>
    </w:p>
    <w:p w:rsidR="00F82B74" w:rsidRPr="00F82B74" w:rsidRDefault="00F82B74" w:rsidP="00991911">
      <w:pPr>
        <w:pStyle w:val="BodyText21"/>
        <w:ind w:left="0"/>
      </w:pPr>
      <w:r>
        <w:t xml:space="preserve">Section 4.2 has been updated to clarify that </w:t>
      </w:r>
      <w:r w:rsidRPr="005B7BC7">
        <w:t xml:space="preserve">funds provided specifically </w:t>
      </w:r>
      <w:r>
        <w:t xml:space="preserve">for attending a conference is excluded. The department considers this to also exclude funds provided to attend and present at a conference. </w:t>
      </w:r>
    </w:p>
    <w:p w:rsidR="00126D48" w:rsidRDefault="00126D48" w:rsidP="00126D48">
      <w:pPr>
        <w:pStyle w:val="BodyText21"/>
        <w:ind w:left="0"/>
        <w:rPr>
          <w:b/>
          <w:i/>
        </w:rPr>
      </w:pPr>
      <w:r>
        <w:t xml:space="preserve">The 2017 HERDC return submission instructions will be finalised </w:t>
      </w:r>
      <w:r w:rsidR="00586A31">
        <w:t xml:space="preserve">prior to the submission deadline of 30 June </w:t>
      </w:r>
      <w:r>
        <w:t>2017. Due to system changes, the department is reviewing alternat</w:t>
      </w:r>
      <w:r w:rsidR="00461DE2">
        <w:t>ive</w:t>
      </w:r>
      <w:r>
        <w:t xml:space="preserve"> forms to the ‘Smart Forms’ previously used to collect HERDC data</w:t>
      </w:r>
      <w:r w:rsidR="00461DE2">
        <w:t xml:space="preserve"> and may implement another way to collect the data if the Smart Form functionality is not sufficient</w:t>
      </w:r>
      <w:r>
        <w:t xml:space="preserve">. </w:t>
      </w:r>
    </w:p>
    <w:p w:rsidR="00126D48" w:rsidRPr="001A6FD9" w:rsidRDefault="00126D48" w:rsidP="00126D48">
      <w:pPr>
        <w:pStyle w:val="StrongUnderline"/>
        <w:rPr>
          <w:b w:val="0"/>
          <w:i/>
        </w:rPr>
      </w:pPr>
      <w:r w:rsidRPr="001A6FD9">
        <w:rPr>
          <w:b w:val="0"/>
          <w:i/>
        </w:rPr>
        <w:t>Changes to reporting requirements for 2017 data</w:t>
      </w:r>
    </w:p>
    <w:p w:rsidR="00DC4055" w:rsidRPr="00F37E21" w:rsidRDefault="00EB00F2" w:rsidP="00A91DD7">
      <w:pPr>
        <w:pStyle w:val="StrongUnderline"/>
        <w:rPr>
          <w:b w:val="0"/>
        </w:rPr>
      </w:pPr>
      <w:r w:rsidRPr="00F37E21">
        <w:rPr>
          <w:b w:val="0"/>
        </w:rPr>
        <w:t>The</w:t>
      </w:r>
      <w:r w:rsidR="00027704" w:rsidRPr="00F37E21">
        <w:rPr>
          <w:b w:val="0"/>
        </w:rPr>
        <w:t xml:space="preserve"> Government announced new </w:t>
      </w:r>
      <w:r w:rsidRPr="00F37E21">
        <w:rPr>
          <w:b w:val="0"/>
        </w:rPr>
        <w:t>research block grant</w:t>
      </w:r>
      <w:r w:rsidR="00027704" w:rsidRPr="00F37E21">
        <w:rPr>
          <w:b w:val="0"/>
        </w:rPr>
        <w:t xml:space="preserve"> arrangements for universities</w:t>
      </w:r>
      <w:r w:rsidR="00DF7744" w:rsidRPr="00F37E21">
        <w:rPr>
          <w:b w:val="0"/>
        </w:rPr>
        <w:t xml:space="preserve"> </w:t>
      </w:r>
      <w:r w:rsidRPr="00F37E21">
        <w:rPr>
          <w:b w:val="0"/>
        </w:rPr>
        <w:t xml:space="preserve">through the National Innovation and Science Agenda </w:t>
      </w:r>
      <w:r w:rsidR="00DF7744" w:rsidRPr="00F37E21">
        <w:rPr>
          <w:b w:val="0"/>
        </w:rPr>
        <w:t>on 7 December 2015</w:t>
      </w:r>
      <w:r w:rsidR="00027704" w:rsidRPr="00F37E21">
        <w:rPr>
          <w:b w:val="0"/>
        </w:rPr>
        <w:t>. The new arrangements replace</w:t>
      </w:r>
      <w:r w:rsidR="007D5C32">
        <w:rPr>
          <w:b w:val="0"/>
        </w:rPr>
        <w:t>d</w:t>
      </w:r>
      <w:r w:rsidR="00027704" w:rsidRPr="00F37E21">
        <w:rPr>
          <w:b w:val="0"/>
        </w:rPr>
        <w:t xml:space="preserve"> the </w:t>
      </w:r>
      <w:r w:rsidR="007D5C32">
        <w:rPr>
          <w:b w:val="0"/>
        </w:rPr>
        <w:t xml:space="preserve">previous </w:t>
      </w:r>
      <w:r w:rsidR="00027704" w:rsidRPr="00F37E21">
        <w:rPr>
          <w:b w:val="0"/>
        </w:rPr>
        <w:t>six research block grants with two streamlined programs:</w:t>
      </w:r>
    </w:p>
    <w:p w:rsidR="00027704" w:rsidRPr="00027704" w:rsidRDefault="00027704" w:rsidP="00A91DD7">
      <w:pPr>
        <w:pStyle w:val="BodyText21"/>
        <w:numPr>
          <w:ilvl w:val="0"/>
          <w:numId w:val="89"/>
        </w:numPr>
      </w:pPr>
      <w:r w:rsidRPr="00027704">
        <w:t>Research Support Program (RSP)</w:t>
      </w:r>
      <w:r w:rsidR="00F37E21">
        <w:t xml:space="preserve"> replace</w:t>
      </w:r>
      <w:r w:rsidR="007D5C32">
        <w:t>d</w:t>
      </w:r>
      <w:r w:rsidR="00F37E21">
        <w:t xml:space="preserve"> the Research Infrastructure Block Grants, Joint Research Engagement and the Sustainable Research Excellence.</w:t>
      </w:r>
    </w:p>
    <w:p w:rsidR="00DC4055" w:rsidRDefault="00DC4055" w:rsidP="00A91DD7">
      <w:pPr>
        <w:pStyle w:val="BodyText21"/>
        <w:numPr>
          <w:ilvl w:val="0"/>
          <w:numId w:val="89"/>
        </w:numPr>
      </w:pPr>
      <w:r w:rsidRPr="00027704">
        <w:t>Research Training Program (RTP)</w:t>
      </w:r>
      <w:r w:rsidR="00F37E21">
        <w:t xml:space="preserve"> replace</w:t>
      </w:r>
      <w:r w:rsidR="007D5C32">
        <w:t>d</w:t>
      </w:r>
      <w:r w:rsidR="00F37E21">
        <w:t xml:space="preserve"> the Australian Postgraduate Awards, International Postgraduate Research Scholarships and the Research Training Scheme.</w:t>
      </w:r>
    </w:p>
    <w:p w:rsidR="00820138" w:rsidRDefault="00820138" w:rsidP="00473F9D">
      <w:r w:rsidRPr="000772F6">
        <w:t>Additional funding</w:t>
      </w:r>
      <w:r w:rsidR="003D0963">
        <w:t xml:space="preserve"> of $50 million per annum indexed ($180.4 million from 2016-17 to 2019-20)</w:t>
      </w:r>
      <w:r w:rsidRPr="000772F6">
        <w:t xml:space="preserve"> will reward industry engagement and assist transition to the new funding arrangements. </w:t>
      </w:r>
    </w:p>
    <w:p w:rsidR="00820138" w:rsidRPr="000772F6" w:rsidRDefault="00820138" w:rsidP="00473F9D"/>
    <w:p w:rsidR="00DF7744" w:rsidRDefault="00DF7744" w:rsidP="00A91DD7">
      <w:pPr>
        <w:pStyle w:val="BodyText21"/>
        <w:ind w:left="0"/>
      </w:pPr>
      <w:r>
        <w:t>The n</w:t>
      </w:r>
      <w:r w:rsidR="00027704" w:rsidRPr="00027704">
        <w:t>ew arrangements commence</w:t>
      </w:r>
      <w:r w:rsidR="007D5C32">
        <w:t>d</w:t>
      </w:r>
      <w:r w:rsidR="00DC4055">
        <w:t xml:space="preserve"> on</w:t>
      </w:r>
      <w:r w:rsidR="00027704" w:rsidRPr="00027704">
        <w:t xml:space="preserve"> 1 January 2017</w:t>
      </w:r>
      <w:r w:rsidR="00CC3B71">
        <w:t xml:space="preserve">.  </w:t>
      </w:r>
    </w:p>
    <w:p w:rsidR="000E2B12" w:rsidRDefault="00EB00F2" w:rsidP="00A91DD7">
      <w:pPr>
        <w:pStyle w:val="BodyText21"/>
        <w:ind w:left="0"/>
      </w:pPr>
      <w:r w:rsidRPr="00EB00F2">
        <w:t xml:space="preserve">The Government </w:t>
      </w:r>
      <w:r w:rsidR="00CC3B71">
        <w:t xml:space="preserve">consulted </w:t>
      </w:r>
      <w:r w:rsidRPr="00EB00F2">
        <w:t xml:space="preserve">with universities and other stakeholders on new guidelines </w:t>
      </w:r>
      <w:r w:rsidR="00CC3B71">
        <w:t xml:space="preserve">and changes to reporting requirements </w:t>
      </w:r>
      <w:r w:rsidRPr="00EB00F2">
        <w:t>in 2016</w:t>
      </w:r>
      <w:r w:rsidR="00DF7744">
        <w:t>.</w:t>
      </w:r>
      <w:r w:rsidR="00CC3B71">
        <w:t xml:space="preserve"> The guidelines were tabled in parliament in October 2016.</w:t>
      </w:r>
    </w:p>
    <w:p w:rsidR="00126D48" w:rsidRDefault="000E2B12" w:rsidP="00AB4992">
      <w:pPr>
        <w:pStyle w:val="StrongUnderline"/>
      </w:pPr>
      <w:r w:rsidRPr="000E2B12">
        <w:rPr>
          <w:b w:val="0"/>
        </w:rPr>
        <w:t xml:space="preserve">The changes to reporting requirements </w:t>
      </w:r>
      <w:r w:rsidR="007916FA">
        <w:rPr>
          <w:b w:val="0"/>
        </w:rPr>
        <w:t xml:space="preserve">including changes to categories 2, 3 and 4 </w:t>
      </w:r>
      <w:r>
        <w:rPr>
          <w:b w:val="0"/>
        </w:rPr>
        <w:t>will be reflected in the 2018 HERDC Specification for the 2017 data year.</w:t>
      </w:r>
      <w:r w:rsidR="00126D48">
        <w:rPr>
          <w:b w:val="0"/>
        </w:rPr>
        <w:t xml:space="preserve"> These changes include:</w:t>
      </w:r>
    </w:p>
    <w:p w:rsidR="00126D48" w:rsidRPr="00126D48" w:rsidRDefault="00126D48" w:rsidP="00126D48">
      <w:pPr>
        <w:pStyle w:val="BodyText21"/>
        <w:numPr>
          <w:ilvl w:val="0"/>
          <w:numId w:val="97"/>
        </w:numPr>
      </w:pPr>
      <w:r w:rsidRPr="00126D48">
        <w:t>Removing domestic and international HDR fees from Category 3</w:t>
      </w:r>
    </w:p>
    <w:p w:rsidR="00126D48" w:rsidRPr="00126D48" w:rsidRDefault="00126D48" w:rsidP="00126D48">
      <w:pPr>
        <w:pStyle w:val="BodyText21"/>
        <w:numPr>
          <w:ilvl w:val="0"/>
          <w:numId w:val="97"/>
        </w:numPr>
      </w:pPr>
      <w:r w:rsidRPr="00126D48">
        <w:t>Changes the reporting of CRC income from financial year to calendar year</w:t>
      </w:r>
    </w:p>
    <w:p w:rsidR="00126D48" w:rsidRPr="00126D48" w:rsidRDefault="00126D48" w:rsidP="00126D48">
      <w:pPr>
        <w:pStyle w:val="BodyText21"/>
        <w:numPr>
          <w:ilvl w:val="0"/>
          <w:numId w:val="97"/>
        </w:numPr>
      </w:pPr>
      <w:r w:rsidRPr="00126D48">
        <w:t>Changes the subcategories of Categories 2, 3 and 4</w:t>
      </w:r>
    </w:p>
    <w:p w:rsidR="00126D48" w:rsidRPr="00126D48" w:rsidRDefault="00126D48" w:rsidP="00AB4992">
      <w:pPr>
        <w:pStyle w:val="BodyText21"/>
        <w:numPr>
          <w:ilvl w:val="0"/>
          <w:numId w:val="97"/>
        </w:numPr>
      </w:pPr>
      <w:r w:rsidRPr="00126D48">
        <w:t xml:space="preserve">For </w:t>
      </w:r>
      <w:r w:rsidRPr="00AB4992">
        <w:rPr>
          <w:bCs/>
        </w:rPr>
        <w:t>category 2</w:t>
      </w:r>
      <w:r>
        <w:rPr>
          <w:bCs/>
        </w:rPr>
        <w:t>,</w:t>
      </w:r>
      <w:r w:rsidRPr="00AB4992">
        <w:rPr>
          <w:bCs/>
        </w:rPr>
        <w:t xml:space="preserve"> </w:t>
      </w:r>
      <w:r w:rsidRPr="00126D48">
        <w:t xml:space="preserve">local government income will be incorporated into the state sub-category. </w:t>
      </w:r>
      <w:r>
        <w:t>F</w:t>
      </w:r>
      <w:r w:rsidRPr="00126D48">
        <w:t>or each category of Commonwealth and State/Local government</w:t>
      </w:r>
      <w:r>
        <w:t xml:space="preserve">, the 2018 HERDC Specifications </w:t>
      </w:r>
      <w:r w:rsidRPr="00126D48">
        <w:t xml:space="preserve">will differentiate between government commissioned research services (own purpose research) </w:t>
      </w:r>
      <w:r>
        <w:t xml:space="preserve">and </w:t>
      </w:r>
      <w:r w:rsidRPr="00126D48">
        <w:t>from research supported where government is not the end user (other research).</w:t>
      </w:r>
    </w:p>
    <w:p w:rsidR="000E2B12" w:rsidRPr="000E2B12" w:rsidRDefault="000E2B12" w:rsidP="00BE3A92">
      <w:pPr>
        <w:pStyle w:val="BodyText21"/>
      </w:pPr>
    </w:p>
    <w:p w:rsidR="00126D48" w:rsidRDefault="00CC3B71" w:rsidP="00A91DD7">
      <w:pPr>
        <w:pStyle w:val="BodyText21"/>
        <w:ind w:left="0"/>
      </w:pPr>
      <w:r>
        <w:lastRenderedPageBreak/>
        <w:t xml:space="preserve">The department </w:t>
      </w:r>
      <w:r w:rsidR="008136CA">
        <w:t xml:space="preserve">consulted separately on these </w:t>
      </w:r>
      <w:r>
        <w:t xml:space="preserve">changes </w:t>
      </w:r>
      <w:r w:rsidR="008136CA">
        <w:t xml:space="preserve">and changes </w:t>
      </w:r>
      <w:r>
        <w:t xml:space="preserve">to </w:t>
      </w:r>
      <w:r w:rsidR="000E2B12">
        <w:t xml:space="preserve">student data </w:t>
      </w:r>
      <w:r w:rsidR="008136CA">
        <w:t xml:space="preserve">over the period of January to March 2017. </w:t>
      </w:r>
      <w:r w:rsidR="000E2B12">
        <w:t xml:space="preserve"> </w:t>
      </w:r>
    </w:p>
    <w:p w:rsidR="007E1EC5" w:rsidRDefault="00CC3B71" w:rsidP="00AB4992">
      <w:pPr>
        <w:pStyle w:val="BodyText1"/>
        <w:keepNext/>
        <w:rPr>
          <w:i/>
        </w:rPr>
      </w:pPr>
      <w:r>
        <w:rPr>
          <w:i/>
        </w:rPr>
        <w:t>Affiliate income data</w:t>
      </w:r>
    </w:p>
    <w:p w:rsidR="0021474E" w:rsidRDefault="000E2B12" w:rsidP="00AB4992">
      <w:pPr>
        <w:pStyle w:val="BodyText21"/>
        <w:ind w:left="0"/>
      </w:pPr>
      <w:r>
        <w:t xml:space="preserve">Section 4.3 of the 2017 HERDC Specifications remains unchanged and the department will continue to collect affiliate income separately in </w:t>
      </w:r>
      <w:r w:rsidR="00126D48">
        <w:t xml:space="preserve">the </w:t>
      </w:r>
      <w:r>
        <w:t>2017</w:t>
      </w:r>
      <w:r w:rsidR="00126D48">
        <w:t xml:space="preserve"> HERDC return</w:t>
      </w:r>
      <w:r w:rsidR="00461DE2">
        <w:t xml:space="preserve"> in anticipation of consultation with the sector, after the implementation of the new arrangements has been finalised</w:t>
      </w:r>
      <w:r>
        <w:t>.</w:t>
      </w:r>
    </w:p>
    <w:p w:rsidR="00B60F92" w:rsidRDefault="00B60F92" w:rsidP="008C4B5F">
      <w:pPr>
        <w:pStyle w:val="BodyText1"/>
      </w:pPr>
    </w:p>
    <w:p w:rsidR="00C14BA3" w:rsidRPr="00BC5AAF" w:rsidRDefault="0069152E" w:rsidP="00C14BA3">
      <w:pPr>
        <w:pStyle w:val="BodyText1"/>
        <w:rPr>
          <w:i/>
        </w:rPr>
        <w:sectPr w:rsidR="00C14BA3" w:rsidRPr="00BC5AAF" w:rsidSect="0065623D">
          <w:pgSz w:w="11907" w:h="16840" w:code="9"/>
          <w:pgMar w:top="1233" w:right="1242" w:bottom="680" w:left="851" w:header="720" w:footer="458" w:gutter="0"/>
          <w:cols w:space="720"/>
          <w:noEndnote/>
          <w:docGrid w:linePitch="326"/>
        </w:sectPr>
      </w:pPr>
      <w:r w:rsidRPr="00A91DD7">
        <w:t xml:space="preserve"> </w:t>
      </w:r>
    </w:p>
    <w:p w:rsidR="00E57E0D" w:rsidRPr="005B7BC7" w:rsidRDefault="00DF1789" w:rsidP="0039518B">
      <w:pPr>
        <w:pStyle w:val="Heading1"/>
      </w:pPr>
      <w:bookmarkStart w:id="358" w:name="_Toc437848415"/>
      <w:bookmarkStart w:id="359" w:name="_Toc437848471"/>
      <w:bookmarkStart w:id="360" w:name="_Toc437848511"/>
      <w:bookmarkStart w:id="361" w:name="_Toc437848586"/>
      <w:bookmarkStart w:id="362" w:name="_Toc437850656"/>
      <w:bookmarkStart w:id="363" w:name="_Toc437850732"/>
      <w:bookmarkStart w:id="364" w:name="_Toc437850808"/>
      <w:bookmarkStart w:id="365" w:name="_Toc437851161"/>
      <w:bookmarkStart w:id="366" w:name="_Toc406668861"/>
      <w:bookmarkStart w:id="367" w:name="_Toc406669250"/>
      <w:bookmarkStart w:id="368" w:name="_Toc440030053"/>
      <w:bookmarkStart w:id="369" w:name="_Ref440031843"/>
      <w:bookmarkStart w:id="370" w:name="_Ref440032327"/>
      <w:bookmarkEnd w:id="358"/>
      <w:bookmarkEnd w:id="359"/>
      <w:bookmarkEnd w:id="360"/>
      <w:bookmarkEnd w:id="361"/>
      <w:bookmarkEnd w:id="362"/>
      <w:bookmarkEnd w:id="363"/>
      <w:bookmarkEnd w:id="364"/>
      <w:bookmarkEnd w:id="365"/>
      <w:r w:rsidRPr="005B7BC7">
        <w:lastRenderedPageBreak/>
        <w:t xml:space="preserve">Definition of </w:t>
      </w:r>
      <w:bookmarkStart w:id="371" w:name="_Research"/>
      <w:bookmarkStart w:id="372" w:name="_Ref117485599"/>
      <w:bookmarkStart w:id="373" w:name="_Toc406668864"/>
      <w:bookmarkEnd w:id="366"/>
      <w:bookmarkEnd w:id="367"/>
      <w:bookmarkEnd w:id="371"/>
      <w:r w:rsidR="00FB3956" w:rsidRPr="005B7BC7">
        <w:t>R</w:t>
      </w:r>
      <w:r w:rsidR="00A838B4" w:rsidRPr="005B7BC7">
        <w:t>esearch</w:t>
      </w:r>
      <w:bookmarkEnd w:id="355"/>
      <w:bookmarkEnd w:id="356"/>
      <w:bookmarkEnd w:id="368"/>
      <w:bookmarkEnd w:id="369"/>
      <w:bookmarkEnd w:id="370"/>
      <w:bookmarkEnd w:id="372"/>
      <w:bookmarkEnd w:id="373"/>
    </w:p>
    <w:p w:rsidR="00E57E0D" w:rsidRPr="005B7BC7" w:rsidRDefault="00294BE6" w:rsidP="00FB3956">
      <w:pPr>
        <w:pStyle w:val="BodyText21"/>
        <w:ind w:left="0"/>
      </w:pPr>
      <w:r>
        <w:t xml:space="preserve">The term </w:t>
      </w:r>
      <w:r>
        <w:rPr>
          <w:i/>
        </w:rPr>
        <w:t>r</w:t>
      </w:r>
      <w:r w:rsidR="00E57E0D" w:rsidRPr="00AB4992">
        <w:rPr>
          <w:i/>
        </w:rPr>
        <w:t>esearch</w:t>
      </w:r>
      <w:r>
        <w:t xml:space="preserve"> is used throughout this specification document and is a short form for </w:t>
      </w:r>
      <w:r w:rsidRPr="00AB4992">
        <w:rPr>
          <w:i/>
        </w:rPr>
        <w:t xml:space="preserve">research and </w:t>
      </w:r>
      <w:r>
        <w:rPr>
          <w:i/>
        </w:rPr>
        <w:t>experimental d</w:t>
      </w:r>
      <w:r w:rsidRPr="00AB4992">
        <w:rPr>
          <w:i/>
        </w:rPr>
        <w:t>evelopment</w:t>
      </w:r>
      <w:r>
        <w:t>, often abbreviated as R&amp;D. The</w:t>
      </w:r>
      <w:r w:rsidRPr="005B7BC7">
        <w:t xml:space="preserve"> </w:t>
      </w:r>
      <w:r>
        <w:t xml:space="preserve">HERDC </w:t>
      </w:r>
      <w:r w:rsidRPr="005B7BC7">
        <w:t xml:space="preserve">definition of </w:t>
      </w:r>
      <w:r w:rsidR="00E3794A" w:rsidRPr="00AB4992">
        <w:rPr>
          <w:i/>
        </w:rPr>
        <w:t>r</w:t>
      </w:r>
      <w:r w:rsidRPr="00AB4992">
        <w:rPr>
          <w:i/>
        </w:rPr>
        <w:t>esearch</w:t>
      </w:r>
      <w:r w:rsidRPr="005B7BC7">
        <w:t xml:space="preserve"> is consistent with </w:t>
      </w:r>
      <w:r>
        <w:t>the</w:t>
      </w:r>
      <w:r w:rsidRPr="005B7BC7">
        <w:t xml:space="preserve"> </w:t>
      </w:r>
      <w:r>
        <w:t>OECD definition</w:t>
      </w:r>
      <w:r w:rsidRPr="005B7BC7">
        <w:t xml:space="preserve"> of</w:t>
      </w:r>
      <w:r w:rsidRPr="00AB4992">
        <w:t xml:space="preserve"> </w:t>
      </w:r>
      <w:r>
        <w:t>r</w:t>
      </w:r>
      <w:r w:rsidRPr="009F7004">
        <w:t xml:space="preserve">esearch and </w:t>
      </w:r>
      <w:r>
        <w:t>experimental d</w:t>
      </w:r>
      <w:r w:rsidRPr="009F7004">
        <w:t xml:space="preserve">evelopment (R&amp;D) </w:t>
      </w:r>
      <w:r w:rsidR="008C0860">
        <w:t xml:space="preserve">set out in the 2015 Frascati Manual </w:t>
      </w:r>
      <w:r>
        <w:t>and is therefore defined as:</w:t>
      </w:r>
    </w:p>
    <w:p w:rsidR="00BD2232" w:rsidRPr="005B7BC7" w:rsidRDefault="00326FBF" w:rsidP="00AB4992">
      <w:pPr>
        <w:pStyle w:val="BodyText21"/>
      </w:pPr>
      <w:r>
        <w:t>‘</w:t>
      </w:r>
      <w:r w:rsidR="009F7004" w:rsidRPr="009F7004">
        <w:t>creative</w:t>
      </w:r>
      <w:r w:rsidR="009F7004">
        <w:t xml:space="preserve"> </w:t>
      </w:r>
      <w:r w:rsidR="009F7004" w:rsidRPr="009F7004">
        <w:t>and systematic work undertaken in order to increase the stock of knowledge –</w:t>
      </w:r>
      <w:r w:rsidR="009F7004">
        <w:t xml:space="preserve"> </w:t>
      </w:r>
      <w:r w:rsidR="009F7004" w:rsidRPr="009F7004">
        <w:t>including knowledge of humankind, culture and society – and to devise new</w:t>
      </w:r>
      <w:r w:rsidR="009F7004">
        <w:t xml:space="preserve"> </w:t>
      </w:r>
      <w:r w:rsidR="009F7004" w:rsidRPr="009F7004">
        <w:t>applications of available knowledge</w:t>
      </w:r>
      <w:r w:rsidR="00294BE6">
        <w:t>.’</w:t>
      </w:r>
      <w:r w:rsidR="00D65D16" w:rsidRPr="005B7BC7">
        <w:rPr>
          <w:rStyle w:val="FootnoteReference"/>
        </w:rPr>
        <w:footnoteReference w:id="2"/>
      </w:r>
    </w:p>
    <w:p w:rsidR="008C0860" w:rsidRDefault="008C0860" w:rsidP="00AB4992">
      <w:pPr>
        <w:autoSpaceDE w:val="0"/>
        <w:autoSpaceDN w:val="0"/>
        <w:adjustRightInd w:val="0"/>
        <w:spacing w:after="120"/>
      </w:pPr>
      <w:r>
        <w:t xml:space="preserve">For an activity to be an R&amp;D activity it must satisfy five core criteria: </w:t>
      </w:r>
    </w:p>
    <w:p w:rsidR="008C0860" w:rsidRDefault="008C0860" w:rsidP="00991911">
      <w:pPr>
        <w:pStyle w:val="ListParagraph"/>
        <w:numPr>
          <w:ilvl w:val="0"/>
          <w:numId w:val="99"/>
        </w:numPr>
        <w:autoSpaceDE w:val="0"/>
        <w:autoSpaceDN w:val="0"/>
        <w:adjustRightInd w:val="0"/>
        <w:spacing w:after="120"/>
      </w:pPr>
      <w:r>
        <w:t xml:space="preserve">To be aimed at new findings (novel), </w:t>
      </w:r>
    </w:p>
    <w:p w:rsidR="008C0860" w:rsidRDefault="008C0860" w:rsidP="00991911">
      <w:pPr>
        <w:pStyle w:val="ListParagraph"/>
        <w:numPr>
          <w:ilvl w:val="0"/>
          <w:numId w:val="99"/>
        </w:numPr>
        <w:autoSpaceDE w:val="0"/>
        <w:autoSpaceDN w:val="0"/>
        <w:adjustRightInd w:val="0"/>
        <w:spacing w:after="120"/>
      </w:pPr>
      <w:r>
        <w:t xml:space="preserve">To be based on original, not obvious, concepts and hypotheses (creative), </w:t>
      </w:r>
    </w:p>
    <w:p w:rsidR="008C0860" w:rsidRDefault="008C0860" w:rsidP="00991911">
      <w:pPr>
        <w:pStyle w:val="ListParagraph"/>
        <w:numPr>
          <w:ilvl w:val="0"/>
          <w:numId w:val="99"/>
        </w:numPr>
        <w:autoSpaceDE w:val="0"/>
        <w:autoSpaceDN w:val="0"/>
        <w:adjustRightInd w:val="0"/>
        <w:spacing w:after="120"/>
      </w:pPr>
      <w:r>
        <w:t xml:space="preserve">To be uncertain about the final outcomes (uncertain), </w:t>
      </w:r>
    </w:p>
    <w:p w:rsidR="008C0860" w:rsidRDefault="008C0860" w:rsidP="00991911">
      <w:pPr>
        <w:pStyle w:val="ListParagraph"/>
        <w:numPr>
          <w:ilvl w:val="0"/>
          <w:numId w:val="99"/>
        </w:numPr>
        <w:autoSpaceDE w:val="0"/>
        <w:autoSpaceDN w:val="0"/>
        <w:adjustRightInd w:val="0"/>
        <w:spacing w:after="120"/>
      </w:pPr>
      <w:r>
        <w:t xml:space="preserve">To be planned and budgeted (systemic), and </w:t>
      </w:r>
    </w:p>
    <w:p w:rsidR="008C0860" w:rsidRDefault="008C0860" w:rsidP="00991911">
      <w:pPr>
        <w:pStyle w:val="ListParagraph"/>
        <w:numPr>
          <w:ilvl w:val="0"/>
          <w:numId w:val="99"/>
        </w:numPr>
        <w:autoSpaceDE w:val="0"/>
        <w:autoSpaceDN w:val="0"/>
        <w:adjustRightInd w:val="0"/>
        <w:spacing w:after="120"/>
      </w:pPr>
      <w:r>
        <w:t>To lead to results that could be possibly reproduced (transferable and/or reproducible).</w:t>
      </w:r>
      <w:r w:rsidRPr="005B7BC7">
        <w:rPr>
          <w:rStyle w:val="FootnoteReference"/>
        </w:rPr>
        <w:footnoteReference w:id="3"/>
      </w:r>
      <w:r>
        <w:t xml:space="preserve"> </w:t>
      </w:r>
    </w:p>
    <w:p w:rsidR="003C4731" w:rsidRDefault="00A1364E" w:rsidP="00AB4992">
      <w:pPr>
        <w:autoSpaceDE w:val="0"/>
        <w:autoSpaceDN w:val="0"/>
        <w:adjustRightInd w:val="0"/>
        <w:spacing w:after="120"/>
      </w:pPr>
      <w:r w:rsidRPr="005B7BC7">
        <w:t>Th</w:t>
      </w:r>
      <w:r w:rsidR="008C0860">
        <w:t>e above</w:t>
      </w:r>
      <w:r w:rsidRPr="005B7BC7">
        <w:t xml:space="preserve"> definition </w:t>
      </w:r>
      <w:r w:rsidR="00D06274" w:rsidRPr="005B7BC7">
        <w:t xml:space="preserve">encompasses pure and </w:t>
      </w:r>
      <w:r w:rsidR="003C4731">
        <w:t>oriented</w:t>
      </w:r>
      <w:r w:rsidR="003C4731" w:rsidRPr="005B7BC7">
        <w:t xml:space="preserve"> </w:t>
      </w:r>
      <w:r w:rsidR="00D06274" w:rsidRPr="005B7BC7">
        <w:t xml:space="preserve">basic research, applied research and experimental development. </w:t>
      </w:r>
    </w:p>
    <w:p w:rsidR="003C4731" w:rsidRDefault="003C4731" w:rsidP="00AB4992">
      <w:pPr>
        <w:autoSpaceDE w:val="0"/>
        <w:autoSpaceDN w:val="0"/>
        <w:adjustRightInd w:val="0"/>
        <w:spacing w:after="120"/>
        <w:ind w:left="567"/>
      </w:pPr>
      <w:r w:rsidRPr="00AB4992">
        <w:rPr>
          <w:i/>
        </w:rPr>
        <w:t>Basic research</w:t>
      </w:r>
      <w:r w:rsidRPr="00AB4992">
        <w:t xml:space="preserve"> is experimental</w:t>
      </w:r>
      <w:r>
        <w:t xml:space="preserve"> </w:t>
      </w:r>
      <w:r w:rsidRPr="00AB4992">
        <w:t>or theoretical work undertaken primarily to acquire new knowledge of the</w:t>
      </w:r>
      <w:r>
        <w:t xml:space="preserve"> </w:t>
      </w:r>
      <w:r w:rsidRPr="00AB4992">
        <w:t>underlying foundations of phenomena and observable facts, without any</w:t>
      </w:r>
      <w:r>
        <w:t xml:space="preserve"> </w:t>
      </w:r>
      <w:r w:rsidRPr="00AB4992">
        <w:t xml:space="preserve">particular application or use in view. </w:t>
      </w:r>
    </w:p>
    <w:p w:rsidR="003C4731" w:rsidRDefault="003C4731" w:rsidP="00AB4992">
      <w:pPr>
        <w:autoSpaceDE w:val="0"/>
        <w:autoSpaceDN w:val="0"/>
        <w:adjustRightInd w:val="0"/>
        <w:spacing w:after="120"/>
        <w:ind w:left="1134"/>
      </w:pPr>
      <w:r w:rsidRPr="00AB4992">
        <w:rPr>
          <w:i/>
        </w:rPr>
        <w:t>Pure basic research</w:t>
      </w:r>
      <w:r w:rsidRPr="00AB4992">
        <w:t xml:space="preserve"> is carried out for the advancement of knowledge, without</w:t>
      </w:r>
      <w:r>
        <w:t xml:space="preserve"> </w:t>
      </w:r>
      <w:r w:rsidRPr="00AB4992">
        <w:t>seeking economic or social benefits or making an active effort to apply the</w:t>
      </w:r>
      <w:r>
        <w:t xml:space="preserve"> r</w:t>
      </w:r>
      <w:r w:rsidRPr="00AB4992">
        <w:t>esults to practical problems or to transfer the results to sectors responsible</w:t>
      </w:r>
      <w:r>
        <w:t xml:space="preserve"> </w:t>
      </w:r>
      <w:r w:rsidRPr="00AB4992">
        <w:t xml:space="preserve">for their application. </w:t>
      </w:r>
    </w:p>
    <w:p w:rsidR="003C4731" w:rsidRDefault="003C4731" w:rsidP="00AB4992">
      <w:pPr>
        <w:autoSpaceDE w:val="0"/>
        <w:autoSpaceDN w:val="0"/>
        <w:adjustRightInd w:val="0"/>
        <w:spacing w:after="120"/>
        <w:ind w:left="1134"/>
      </w:pPr>
      <w:r w:rsidRPr="00AB4992">
        <w:rPr>
          <w:i/>
        </w:rPr>
        <w:t>Oriented basic research</w:t>
      </w:r>
      <w:r w:rsidRPr="00AB4992">
        <w:t xml:space="preserve"> is carried out with the expectation that it will produce</w:t>
      </w:r>
      <w:r>
        <w:t xml:space="preserve"> </w:t>
      </w:r>
      <w:r w:rsidRPr="00AB4992">
        <w:t>a broad base of knowledge likely to form the basis of the solution to recognised</w:t>
      </w:r>
      <w:r>
        <w:t xml:space="preserve"> </w:t>
      </w:r>
      <w:r w:rsidRPr="00AB4992">
        <w:t xml:space="preserve">or expected current or future problems or possibilities. </w:t>
      </w:r>
    </w:p>
    <w:p w:rsidR="003C4731" w:rsidRDefault="003C4731" w:rsidP="00AB4992">
      <w:pPr>
        <w:autoSpaceDE w:val="0"/>
        <w:autoSpaceDN w:val="0"/>
        <w:adjustRightInd w:val="0"/>
        <w:spacing w:after="120"/>
        <w:ind w:left="567"/>
      </w:pPr>
      <w:r w:rsidRPr="00AB4992">
        <w:rPr>
          <w:i/>
        </w:rPr>
        <w:t>Applied research</w:t>
      </w:r>
      <w:r w:rsidRPr="00AB4992">
        <w:t xml:space="preserve"> is original investigation</w:t>
      </w:r>
      <w:r>
        <w:t xml:space="preserve"> </w:t>
      </w:r>
      <w:r w:rsidRPr="00AB4992">
        <w:t>undertaken in order to acquire new knowledge. It is, however, directed primarily</w:t>
      </w:r>
      <w:r>
        <w:t xml:space="preserve"> </w:t>
      </w:r>
      <w:r w:rsidRPr="00AB4992">
        <w:t>towards a specific, practical aim or objective</w:t>
      </w:r>
      <w:r>
        <w:t xml:space="preserve"> </w:t>
      </w:r>
      <w:r w:rsidRPr="005B7BC7">
        <w:t>(including a client-driven purpose)</w:t>
      </w:r>
      <w:r w:rsidRPr="00AB4992">
        <w:t xml:space="preserve">. </w:t>
      </w:r>
    </w:p>
    <w:p w:rsidR="003C4731" w:rsidRDefault="003C4731" w:rsidP="00AB4992">
      <w:pPr>
        <w:autoSpaceDE w:val="0"/>
        <w:autoSpaceDN w:val="0"/>
        <w:adjustRightInd w:val="0"/>
        <w:spacing w:after="120"/>
        <w:ind w:left="567"/>
      </w:pPr>
      <w:r w:rsidRPr="00AB4992">
        <w:rPr>
          <w:i/>
        </w:rPr>
        <w:t>Experimental development</w:t>
      </w:r>
      <w:r w:rsidRPr="00AB4992">
        <w:t xml:space="preserve"> is</w:t>
      </w:r>
      <w:r>
        <w:t xml:space="preserve"> </w:t>
      </w:r>
      <w:r w:rsidRPr="00AB4992">
        <w:t>systematic work, drawing on knowledge gained from research and practical</w:t>
      </w:r>
      <w:r>
        <w:t xml:space="preserve"> </w:t>
      </w:r>
      <w:r w:rsidRPr="00AB4992">
        <w:t>experience and producing additional knowledge, which is directed to producing</w:t>
      </w:r>
      <w:r>
        <w:t xml:space="preserve"> </w:t>
      </w:r>
      <w:r w:rsidRPr="00AB4992">
        <w:t>new products or processes or to improving existing products or processes.</w:t>
      </w:r>
      <w:r>
        <w:t xml:space="preserve"> </w:t>
      </w:r>
    </w:p>
    <w:p w:rsidR="003C4731" w:rsidRDefault="003C4731" w:rsidP="00AB4992">
      <w:pPr>
        <w:autoSpaceDE w:val="0"/>
        <w:autoSpaceDN w:val="0"/>
        <w:adjustRightInd w:val="0"/>
      </w:pPr>
    </w:p>
    <w:p w:rsidR="0019701E" w:rsidRPr="005B7BC7" w:rsidRDefault="0019701E" w:rsidP="00FB3956">
      <w:pPr>
        <w:pStyle w:val="BodyText21"/>
        <w:keepNext/>
        <w:spacing w:after="120"/>
        <w:ind w:left="0"/>
      </w:pPr>
      <w:r w:rsidRPr="005B7BC7">
        <w:t>Activities that support the conduct of research and therefore meet th</w:t>
      </w:r>
      <w:r w:rsidR="003C4731">
        <w:t>e above</w:t>
      </w:r>
      <w:r w:rsidRPr="005B7BC7">
        <w:t xml:space="preserve"> definition </w:t>
      </w:r>
      <w:r w:rsidR="008C0860">
        <w:t xml:space="preserve">can </w:t>
      </w:r>
      <w:r w:rsidRPr="005B7BC7">
        <w:t>include:</w:t>
      </w:r>
    </w:p>
    <w:p w:rsidR="0019701E" w:rsidRPr="005B7BC7" w:rsidRDefault="00FB3956" w:rsidP="0039518B">
      <w:pPr>
        <w:pStyle w:val="ListBullet31"/>
        <w:keepNext/>
        <w:numPr>
          <w:ilvl w:val="0"/>
          <w:numId w:val="40"/>
        </w:numPr>
      </w:pPr>
      <w:r w:rsidRPr="005B7BC7">
        <w:t>p</w:t>
      </w:r>
      <w:r w:rsidR="0019701E" w:rsidRPr="005B7BC7">
        <w:t>rofessional, technical, administrative or clerical support staff directly engaged in activities essential to the conduct of research</w:t>
      </w:r>
      <w:r w:rsidR="008C0860">
        <w:t>,</w:t>
      </w:r>
    </w:p>
    <w:p w:rsidR="00802611" w:rsidRPr="005B7BC7" w:rsidRDefault="00AE225F">
      <w:pPr>
        <w:pStyle w:val="ListBullet31"/>
        <w:keepNext/>
        <w:numPr>
          <w:ilvl w:val="0"/>
          <w:numId w:val="40"/>
        </w:numPr>
      </w:pPr>
      <w:r w:rsidRPr="005B7BC7">
        <w:t>management of staff who are either directly engaged in the conduct of research or are providing professional, technical, administrative or clerical support or assistance to those staff</w:t>
      </w:r>
      <w:r w:rsidR="00802611">
        <w:t>,</w:t>
      </w:r>
    </w:p>
    <w:p w:rsidR="0019701E" w:rsidRPr="005B7BC7" w:rsidRDefault="0019701E" w:rsidP="00991911">
      <w:pPr>
        <w:pStyle w:val="ListBullet31"/>
        <w:keepNext/>
        <w:numPr>
          <w:ilvl w:val="0"/>
          <w:numId w:val="40"/>
        </w:numPr>
      </w:pPr>
      <w:r w:rsidRPr="005B7BC7">
        <w:t>the activities and training of HDR</w:t>
      </w:r>
      <w:r w:rsidR="00DF1789" w:rsidRPr="005B7BC7">
        <w:rPr>
          <w:rStyle w:val="FootnoteReference"/>
        </w:rPr>
        <w:footnoteReference w:id="4"/>
      </w:r>
      <w:r w:rsidRPr="005B7BC7">
        <w:t xml:space="preserve"> students enrolled at the HEP</w:t>
      </w:r>
      <w:r w:rsidR="00802611">
        <w:t>,</w:t>
      </w:r>
    </w:p>
    <w:p w:rsidR="0019701E" w:rsidRPr="005B7BC7" w:rsidRDefault="0019701E" w:rsidP="0039518B">
      <w:pPr>
        <w:pStyle w:val="ListBullet31"/>
        <w:numPr>
          <w:ilvl w:val="0"/>
          <w:numId w:val="40"/>
        </w:numPr>
      </w:pPr>
      <w:r w:rsidRPr="005B7BC7">
        <w:t>the development of HDR training and courses</w:t>
      </w:r>
      <w:r w:rsidR="00802611">
        <w:t>,</w:t>
      </w:r>
    </w:p>
    <w:p w:rsidR="0019701E" w:rsidRPr="005B7BC7" w:rsidRDefault="0019701E" w:rsidP="0039518B">
      <w:pPr>
        <w:pStyle w:val="ListBullet31"/>
        <w:numPr>
          <w:ilvl w:val="0"/>
          <w:numId w:val="40"/>
        </w:numPr>
      </w:pPr>
      <w:r w:rsidRPr="005B7BC7">
        <w:lastRenderedPageBreak/>
        <w:t>the supervision of students enrolled at the HEP and undertaking HDR training and courses</w:t>
      </w:r>
      <w:r w:rsidR="00802611">
        <w:t>,</w:t>
      </w:r>
    </w:p>
    <w:p w:rsidR="00E73902" w:rsidRDefault="0019701E" w:rsidP="00991911">
      <w:pPr>
        <w:pStyle w:val="ListBullet31"/>
        <w:numPr>
          <w:ilvl w:val="0"/>
          <w:numId w:val="40"/>
        </w:numPr>
      </w:pPr>
      <w:r w:rsidRPr="005B7BC7">
        <w:t>research and experimental development into applications software, new programming languages and new operating systems (such R&amp;D would normally meet the definition of research)</w:t>
      </w:r>
      <w:r w:rsidR="008C0860">
        <w:t>,</w:t>
      </w:r>
    </w:p>
    <w:p w:rsidR="008C0860" w:rsidRDefault="008C0860" w:rsidP="00991911">
      <w:pPr>
        <w:pStyle w:val="ListBullet31"/>
        <w:numPr>
          <w:ilvl w:val="0"/>
          <w:numId w:val="40"/>
        </w:numPr>
      </w:pPr>
      <w:r>
        <w:t>Prototype development and testing,</w:t>
      </w:r>
    </w:p>
    <w:p w:rsidR="008C0860" w:rsidRDefault="008C0860" w:rsidP="00991911">
      <w:pPr>
        <w:pStyle w:val="ListBullet31"/>
        <w:numPr>
          <w:ilvl w:val="0"/>
          <w:numId w:val="40"/>
        </w:numPr>
      </w:pPr>
      <w:r>
        <w:t>Construction and operation of a pilot plant where the primary objective is to make further improvements,</w:t>
      </w:r>
    </w:p>
    <w:p w:rsidR="008C0860" w:rsidRDefault="008C0860" w:rsidP="00991911">
      <w:pPr>
        <w:pStyle w:val="ListBullet31"/>
        <w:numPr>
          <w:ilvl w:val="0"/>
          <w:numId w:val="40"/>
        </w:numPr>
      </w:pPr>
      <w:r>
        <w:t>Trial production where there is full scale testing and subsequent further design and engineering,</w:t>
      </w:r>
    </w:p>
    <w:p w:rsidR="008C0860" w:rsidRDefault="008C0860" w:rsidP="00991911">
      <w:pPr>
        <w:pStyle w:val="ListBullet31"/>
        <w:numPr>
          <w:ilvl w:val="0"/>
          <w:numId w:val="40"/>
        </w:numPr>
      </w:pPr>
      <w:r>
        <w:t>Phases I to III of clinical trials.</w:t>
      </w:r>
    </w:p>
    <w:p w:rsidR="008C0860" w:rsidRPr="005B7BC7" w:rsidRDefault="008C0860" w:rsidP="00991911">
      <w:pPr>
        <w:pStyle w:val="ListBullet31"/>
        <w:numPr>
          <w:ilvl w:val="0"/>
          <w:numId w:val="0"/>
        </w:numPr>
        <w:ind w:left="720"/>
      </w:pPr>
    </w:p>
    <w:p w:rsidR="0019701E" w:rsidRPr="005B7BC7" w:rsidRDefault="00295053" w:rsidP="00FB3956">
      <w:pPr>
        <w:pStyle w:val="BodyText21"/>
        <w:spacing w:after="120"/>
        <w:ind w:left="0"/>
      </w:pPr>
      <w:r w:rsidRPr="005B7BC7">
        <w:t>Activities that do not support the conduct of research must be excluded, such as:</w:t>
      </w:r>
    </w:p>
    <w:p w:rsidR="00653877" w:rsidRPr="005B7BC7" w:rsidRDefault="00653877" w:rsidP="0039518B">
      <w:pPr>
        <w:pStyle w:val="ListBullet31"/>
        <w:numPr>
          <w:ilvl w:val="0"/>
          <w:numId w:val="41"/>
        </w:numPr>
      </w:pPr>
      <w:r w:rsidRPr="005B7BC7">
        <w:t>scientific and technical information services</w:t>
      </w:r>
      <w:r w:rsidR="00802611">
        <w:t>,</w:t>
      </w:r>
    </w:p>
    <w:p w:rsidR="00653877" w:rsidRPr="005B7BC7" w:rsidRDefault="00653877" w:rsidP="0039518B">
      <w:pPr>
        <w:pStyle w:val="ListBullet31"/>
        <w:numPr>
          <w:ilvl w:val="0"/>
          <w:numId w:val="41"/>
        </w:numPr>
      </w:pPr>
      <w:r w:rsidRPr="005B7BC7">
        <w:t>general purpose or routine data collection</w:t>
      </w:r>
      <w:r w:rsidR="00802611">
        <w:t>,</w:t>
      </w:r>
    </w:p>
    <w:p w:rsidR="00653877" w:rsidRPr="005B7BC7" w:rsidRDefault="00653877" w:rsidP="0039518B">
      <w:pPr>
        <w:pStyle w:val="ListBullet31"/>
        <w:numPr>
          <w:ilvl w:val="0"/>
          <w:numId w:val="41"/>
        </w:numPr>
      </w:pPr>
      <w:r w:rsidRPr="005B7BC7">
        <w:t>standardisation and routine testing</w:t>
      </w:r>
      <w:r w:rsidR="00802611">
        <w:t>,</w:t>
      </w:r>
    </w:p>
    <w:p w:rsidR="00653877" w:rsidRPr="005B7BC7" w:rsidRDefault="00653877" w:rsidP="0039518B">
      <w:pPr>
        <w:pStyle w:val="ListBullet31"/>
        <w:numPr>
          <w:ilvl w:val="0"/>
          <w:numId w:val="41"/>
        </w:numPr>
        <w:ind w:right="-392"/>
      </w:pPr>
      <w:r w:rsidRPr="005B7BC7">
        <w:t>feasibility studies (except into research and experimental development projects)</w:t>
      </w:r>
      <w:r w:rsidR="00802611">
        <w:t>,</w:t>
      </w:r>
    </w:p>
    <w:p w:rsidR="00653877" w:rsidRPr="005B7BC7" w:rsidRDefault="00653877" w:rsidP="0039518B">
      <w:pPr>
        <w:pStyle w:val="ListBullet31"/>
        <w:numPr>
          <w:ilvl w:val="0"/>
          <w:numId w:val="41"/>
        </w:numPr>
      </w:pPr>
      <w:r w:rsidRPr="005B7BC7">
        <w:t>specialised routine medical care</w:t>
      </w:r>
      <w:r w:rsidR="00802611">
        <w:t>,</w:t>
      </w:r>
    </w:p>
    <w:p w:rsidR="00DF1789" w:rsidRPr="005B7BC7" w:rsidRDefault="00DF1789" w:rsidP="0039518B">
      <w:pPr>
        <w:pStyle w:val="ListBullet31"/>
        <w:numPr>
          <w:ilvl w:val="0"/>
          <w:numId w:val="41"/>
        </w:numPr>
      </w:pPr>
      <w:r w:rsidRPr="005B7BC7">
        <w:t>literature review</w:t>
      </w:r>
      <w:r w:rsidR="006D679B" w:rsidRPr="005B7BC7">
        <w:t xml:space="preserve">s that are </w:t>
      </w:r>
      <w:r w:rsidRPr="005B7BC7">
        <w:t>predominantly a summary of the current knowledge and findings of a particular research field or topic</w:t>
      </w:r>
      <w:r w:rsidR="006D679B" w:rsidRPr="005B7BC7">
        <w:t xml:space="preserve"> and</w:t>
      </w:r>
      <w:r w:rsidRPr="005B7BC7">
        <w:t xml:space="preserve"> do not include any critical assessment or report any new findings or original experimental work</w:t>
      </w:r>
      <w:r w:rsidR="00802611">
        <w:t>,</w:t>
      </w:r>
    </w:p>
    <w:p w:rsidR="00653877" w:rsidRPr="005B7BC7" w:rsidRDefault="00653877" w:rsidP="0039518B">
      <w:pPr>
        <w:pStyle w:val="ListBullet31"/>
        <w:numPr>
          <w:ilvl w:val="0"/>
          <w:numId w:val="41"/>
        </w:numPr>
      </w:pPr>
      <w:r w:rsidRPr="005B7BC7">
        <w:t>commercial, legal and administrative aspects of patenting,</w:t>
      </w:r>
      <w:r w:rsidR="00AE2470">
        <w:t xml:space="preserve"> plant breeders rights,</w:t>
      </w:r>
      <w:r w:rsidRPr="005B7BC7">
        <w:t xml:space="preserve"> copyright</w:t>
      </w:r>
      <w:r w:rsidR="00AE2470">
        <w:t>, material transfer agreements</w:t>
      </w:r>
      <w:r w:rsidRPr="005B7BC7">
        <w:t xml:space="preserve"> or </w:t>
      </w:r>
      <w:r w:rsidR="00AE2470">
        <w:t xml:space="preserve">intellectual property </w:t>
      </w:r>
      <w:r w:rsidRPr="005B7BC7">
        <w:t>licensing</w:t>
      </w:r>
      <w:r w:rsidR="00AE2470">
        <w:t>, option and assignment</w:t>
      </w:r>
      <w:r w:rsidRPr="005B7BC7">
        <w:t xml:space="preserve"> activities</w:t>
      </w:r>
      <w:r w:rsidR="00802611">
        <w:t>,</w:t>
      </w:r>
    </w:p>
    <w:p w:rsidR="00802611" w:rsidRPr="00802611" w:rsidRDefault="00653877" w:rsidP="00991911">
      <w:pPr>
        <w:pStyle w:val="ListBullet31"/>
        <w:numPr>
          <w:ilvl w:val="0"/>
          <w:numId w:val="41"/>
        </w:numPr>
      </w:pPr>
      <w:r w:rsidRPr="005B7BC7">
        <w:t>routine computer programming, systems work or software maintenance</w:t>
      </w:r>
      <w:r w:rsidR="00802611">
        <w:t>,</w:t>
      </w:r>
    </w:p>
    <w:p w:rsidR="00802611" w:rsidRPr="00802611" w:rsidRDefault="00802611" w:rsidP="00991911">
      <w:pPr>
        <w:pStyle w:val="ListBullet31"/>
        <w:numPr>
          <w:ilvl w:val="0"/>
          <w:numId w:val="41"/>
        </w:numPr>
      </w:pPr>
      <w:r>
        <w:t>Stages of product development that do not meet the five R&amp;D criteria,</w:t>
      </w:r>
      <w:r w:rsidR="00EA32B0">
        <w:rPr>
          <w:rStyle w:val="FootnoteReference"/>
        </w:rPr>
        <w:footnoteReference w:id="5"/>
      </w:r>
    </w:p>
    <w:p w:rsidR="00802611" w:rsidRPr="00802611" w:rsidRDefault="00802611" w:rsidP="00991911">
      <w:pPr>
        <w:pStyle w:val="ListBullet31"/>
        <w:numPr>
          <w:ilvl w:val="0"/>
          <w:numId w:val="41"/>
        </w:numPr>
      </w:pPr>
      <w:r>
        <w:t>Pre-production development,</w:t>
      </w:r>
      <w:r w:rsidR="00EA32B0">
        <w:rPr>
          <w:rStyle w:val="FootnoteReference"/>
        </w:rPr>
        <w:footnoteReference w:id="6"/>
      </w:r>
    </w:p>
    <w:p w:rsidR="00802611" w:rsidRPr="00802611" w:rsidRDefault="00802611" w:rsidP="00991911">
      <w:pPr>
        <w:pStyle w:val="ListBullet31"/>
        <w:numPr>
          <w:ilvl w:val="0"/>
          <w:numId w:val="41"/>
        </w:numPr>
      </w:pPr>
      <w:r>
        <w:t>Market research,</w:t>
      </w:r>
    </w:p>
    <w:p w:rsidR="00802611" w:rsidRPr="00802611" w:rsidRDefault="00802611" w:rsidP="00991911">
      <w:pPr>
        <w:pStyle w:val="ListBullet31"/>
        <w:numPr>
          <w:ilvl w:val="0"/>
          <w:numId w:val="41"/>
        </w:numPr>
      </w:pPr>
      <w:r>
        <w:t>Construction of fully tested prototypes for marketing purposes,</w:t>
      </w:r>
    </w:p>
    <w:p w:rsidR="00802611" w:rsidRPr="00802611" w:rsidRDefault="00802611" w:rsidP="00991911">
      <w:pPr>
        <w:pStyle w:val="ListBullet31"/>
        <w:numPr>
          <w:ilvl w:val="0"/>
          <w:numId w:val="41"/>
        </w:numPr>
      </w:pPr>
      <w:r>
        <w:t>After sales service and trouble-shooting,</w:t>
      </w:r>
    </w:p>
    <w:p w:rsidR="00802611" w:rsidRPr="00802611" w:rsidRDefault="00802611" w:rsidP="00991911">
      <w:pPr>
        <w:pStyle w:val="ListBullet31"/>
        <w:numPr>
          <w:ilvl w:val="0"/>
          <w:numId w:val="41"/>
        </w:numPr>
      </w:pPr>
      <w:r>
        <w:t xml:space="preserve">Industrial engineering and design for production purposes, </w:t>
      </w:r>
    </w:p>
    <w:p w:rsidR="00802611" w:rsidRPr="00802611" w:rsidRDefault="00802611" w:rsidP="00991911">
      <w:pPr>
        <w:pStyle w:val="ListBullet31"/>
        <w:numPr>
          <w:ilvl w:val="0"/>
          <w:numId w:val="41"/>
        </w:numPr>
      </w:pPr>
      <w:r>
        <w:t>Artistic performance or expression,</w:t>
      </w:r>
    </w:p>
    <w:p w:rsidR="00802611" w:rsidRPr="00802611" w:rsidRDefault="00802611" w:rsidP="00991911">
      <w:pPr>
        <w:pStyle w:val="ListBullet31"/>
        <w:numPr>
          <w:ilvl w:val="0"/>
          <w:numId w:val="41"/>
        </w:numPr>
      </w:pPr>
      <w:r>
        <w:t>R&amp;D financing and support services.</w:t>
      </w:r>
    </w:p>
    <w:p w:rsidR="00BA37C8" w:rsidRPr="0065623D" w:rsidRDefault="00BA37C8" w:rsidP="00991911">
      <w:pPr>
        <w:pStyle w:val="ListBullet31"/>
        <w:numPr>
          <w:ilvl w:val="0"/>
          <w:numId w:val="0"/>
        </w:numPr>
        <w:spacing w:after="240"/>
        <w:ind w:left="720"/>
        <w:rPr>
          <w:b/>
          <w:sz w:val="28"/>
        </w:rPr>
      </w:pPr>
      <w:bookmarkStart w:id="374" w:name="_Toc168817172"/>
      <w:bookmarkStart w:id="375" w:name="_Toc168824790"/>
      <w:bookmarkStart w:id="376" w:name="_Toc168817174"/>
      <w:bookmarkStart w:id="377" w:name="_Toc168824792"/>
      <w:bookmarkStart w:id="378" w:name="_Toc168817175"/>
      <w:bookmarkStart w:id="379" w:name="_Toc168824793"/>
      <w:bookmarkStart w:id="380" w:name="_1.3.10_Subsidiaries"/>
      <w:bookmarkStart w:id="381" w:name="_Toc168817177"/>
      <w:bookmarkStart w:id="382" w:name="_Toc168824795"/>
      <w:bookmarkStart w:id="383" w:name="_Toc168817179"/>
      <w:bookmarkStart w:id="384" w:name="_Toc168824797"/>
      <w:bookmarkStart w:id="385" w:name="_1.3.14__"/>
      <w:bookmarkStart w:id="386" w:name="_Toc168817181"/>
      <w:bookmarkStart w:id="387" w:name="_Toc168824799"/>
      <w:bookmarkStart w:id="388" w:name="_Year_of_Publication"/>
      <w:bookmarkStart w:id="389" w:name="_Toc308708995"/>
      <w:bookmarkStart w:id="390" w:name="_Toc168817183"/>
      <w:bookmarkStart w:id="391" w:name="_Toc168824801"/>
      <w:bookmarkStart w:id="392" w:name="_Toc168817184"/>
      <w:bookmarkStart w:id="393" w:name="_Toc168824802"/>
      <w:bookmarkStart w:id="394" w:name="_Toc96675215"/>
      <w:bookmarkStart w:id="395" w:name="_Toc94942450"/>
      <w:bookmarkStart w:id="396" w:name="_Toc95008739"/>
      <w:bookmarkStart w:id="397" w:name="_Toc95009040"/>
      <w:bookmarkStart w:id="398" w:name="_Toc95010140"/>
      <w:bookmarkStart w:id="399" w:name="_Toc102441014"/>
      <w:bookmarkStart w:id="400" w:name="_Toc102441195"/>
      <w:bookmarkStart w:id="401" w:name="_Toc168817186"/>
      <w:bookmarkStart w:id="402" w:name="_Toc168824804"/>
      <w:bookmarkStart w:id="403" w:name="_Toc87166427"/>
      <w:bookmarkStart w:id="404" w:name="_Toc87170313"/>
      <w:bookmarkStart w:id="405" w:name="_Toc87170901"/>
      <w:bookmarkStart w:id="406" w:name="_Toc94942454"/>
      <w:bookmarkStart w:id="407" w:name="_Toc95008743"/>
      <w:bookmarkStart w:id="408" w:name="_Toc95009044"/>
      <w:bookmarkStart w:id="409" w:name="_Toc95010144"/>
      <w:bookmarkStart w:id="410" w:name="_Toc94942455"/>
      <w:bookmarkStart w:id="411" w:name="_Toc95008744"/>
      <w:bookmarkStart w:id="412" w:name="_Toc95009045"/>
      <w:bookmarkStart w:id="413" w:name="_Toc95010145"/>
      <w:bookmarkStart w:id="414" w:name="_Toc94942456"/>
      <w:bookmarkStart w:id="415" w:name="_Toc95008745"/>
      <w:bookmarkStart w:id="416" w:name="_Toc95009046"/>
      <w:bookmarkStart w:id="417" w:name="_Toc95010146"/>
      <w:bookmarkStart w:id="418" w:name="_Toc94942461"/>
      <w:bookmarkStart w:id="419" w:name="_Toc95008750"/>
      <w:bookmarkStart w:id="420" w:name="_Toc95009051"/>
      <w:bookmarkStart w:id="421" w:name="_Toc95010151"/>
      <w:bookmarkStart w:id="422" w:name="_Toc94942462"/>
      <w:bookmarkStart w:id="423" w:name="_Toc95008751"/>
      <w:bookmarkStart w:id="424" w:name="_Toc95009052"/>
      <w:bookmarkStart w:id="425" w:name="_Toc95010152"/>
      <w:bookmarkStart w:id="426" w:name="_Toc94942463"/>
      <w:bookmarkStart w:id="427" w:name="_Toc95008752"/>
      <w:bookmarkStart w:id="428" w:name="_Toc95009053"/>
      <w:bookmarkStart w:id="429" w:name="_Toc95010153"/>
      <w:bookmarkStart w:id="430" w:name="_Toc94942464"/>
      <w:bookmarkStart w:id="431" w:name="_Toc95008753"/>
      <w:bookmarkStart w:id="432" w:name="_Toc95009054"/>
      <w:bookmarkStart w:id="433" w:name="_Toc95010154"/>
      <w:bookmarkStart w:id="434" w:name="_Toc89842553"/>
      <w:bookmarkStart w:id="435" w:name="_Toc94942468"/>
      <w:bookmarkStart w:id="436" w:name="_Toc95008757"/>
      <w:bookmarkStart w:id="437" w:name="_Toc95009058"/>
      <w:bookmarkStart w:id="438" w:name="_Toc95010158"/>
      <w:bookmarkStart w:id="439" w:name="_Toc168817189"/>
      <w:bookmarkStart w:id="440" w:name="_Toc168824807"/>
      <w:bookmarkStart w:id="441" w:name="_Toc96675226"/>
      <w:bookmarkStart w:id="442" w:name="_Toc168817190"/>
      <w:bookmarkStart w:id="443" w:name="_Toc168824808"/>
      <w:bookmarkStart w:id="444" w:name="_Toc168817193"/>
      <w:bookmarkStart w:id="445" w:name="_Toc168824811"/>
      <w:bookmarkStart w:id="446" w:name="_Toc168817196"/>
      <w:bookmarkStart w:id="447" w:name="_Toc168824814"/>
      <w:bookmarkStart w:id="448" w:name="_Toc172537504"/>
      <w:bookmarkStart w:id="449" w:name="_Toc168817198"/>
      <w:bookmarkStart w:id="450" w:name="_Toc168824816"/>
      <w:bookmarkStart w:id="451" w:name="_Toc249257074"/>
      <w:bookmarkStart w:id="452" w:name="_Toc249257183"/>
      <w:bookmarkStart w:id="453" w:name="_Toc249257332"/>
      <w:bookmarkStart w:id="454" w:name="_Toc86719055"/>
      <w:bookmarkStart w:id="455" w:name="_Toc87166446"/>
      <w:bookmarkStart w:id="456" w:name="_Toc115747799"/>
      <w:bookmarkStart w:id="457" w:name="_Toc116182967"/>
      <w:bookmarkStart w:id="458" w:name="_Toc115747801"/>
      <w:bookmarkStart w:id="459" w:name="_Toc116182969"/>
      <w:bookmarkStart w:id="460" w:name="_Toc115747803"/>
      <w:bookmarkStart w:id="461" w:name="_Toc116182971"/>
      <w:bookmarkStart w:id="462" w:name="_Toc115747804"/>
      <w:bookmarkStart w:id="463" w:name="_Toc116182972"/>
      <w:bookmarkStart w:id="464" w:name="_Toc115747805"/>
      <w:bookmarkStart w:id="465" w:name="_Toc116182973"/>
      <w:bookmarkStart w:id="466" w:name="_Toc115747806"/>
      <w:bookmarkStart w:id="467" w:name="_Toc116182974"/>
      <w:bookmarkStart w:id="468" w:name="_Toc115747807"/>
      <w:bookmarkStart w:id="469" w:name="_Toc116182975"/>
      <w:bookmarkStart w:id="470" w:name="_Toc96678050"/>
      <w:bookmarkStart w:id="471" w:name="_Toc112733792"/>
      <w:bookmarkStart w:id="472" w:name="_Toc112734002"/>
      <w:bookmarkStart w:id="473" w:name="_Toc116182980"/>
      <w:bookmarkStart w:id="474" w:name="_Ref117478130"/>
      <w:bookmarkStart w:id="475" w:name="_Ref217106016"/>
      <w:bookmarkStart w:id="476" w:name="_Toc87171314"/>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65623D">
        <w:rPr>
          <w:sz w:val="28"/>
        </w:rPr>
        <w:br w:type="page"/>
      </w:r>
    </w:p>
    <w:p w:rsidR="004C2F85" w:rsidRDefault="004C2F85" w:rsidP="00BE3A92">
      <w:pPr>
        <w:pStyle w:val="BodyText21"/>
      </w:pPr>
    </w:p>
    <w:p w:rsidR="00E731B7" w:rsidRPr="005B7BC7" w:rsidRDefault="00E731B7" w:rsidP="00E731B7">
      <w:pPr>
        <w:pStyle w:val="Heading4"/>
      </w:pPr>
      <w:bookmarkStart w:id="477" w:name="_Ref440031029"/>
      <w:r w:rsidRPr="005B7BC7">
        <w:rPr>
          <w:sz w:val="28"/>
        </w:rPr>
        <w:t>Part A</w:t>
      </w:r>
      <w:bookmarkEnd w:id="477"/>
    </w:p>
    <w:p w:rsidR="00E731B7" w:rsidRPr="00C66B80" w:rsidRDefault="00E731B7" w:rsidP="00A91DD7">
      <w:pPr>
        <w:pBdr>
          <w:top w:val="single" w:sz="4" w:space="1" w:color="auto"/>
          <w:left w:val="single" w:sz="4" w:space="4" w:color="auto"/>
          <w:bottom w:val="single" w:sz="4" w:space="1" w:color="auto"/>
          <w:right w:val="single" w:sz="4" w:space="4" w:color="auto"/>
        </w:pBdr>
        <w:rPr>
          <w:b/>
        </w:rPr>
      </w:pPr>
      <w:r w:rsidRPr="00C66B80">
        <w:rPr>
          <w:b/>
        </w:rPr>
        <w:t xml:space="preserve">Part A provides the information necessary for HEPs to determine what can and cannot be included under Categories 1-3 of the HERDC Return. </w:t>
      </w:r>
    </w:p>
    <w:p w:rsidR="00E731B7" w:rsidRPr="00C66B80" w:rsidRDefault="00E731B7" w:rsidP="00A91DD7">
      <w:pPr>
        <w:pBdr>
          <w:top w:val="single" w:sz="4" w:space="1" w:color="auto"/>
          <w:left w:val="single" w:sz="4" w:space="4" w:color="auto"/>
          <w:bottom w:val="single" w:sz="4" w:space="1" w:color="auto"/>
          <w:right w:val="single" w:sz="4" w:space="4" w:color="auto"/>
        </w:pBdr>
        <w:rPr>
          <w:b/>
        </w:rPr>
      </w:pPr>
    </w:p>
    <w:p w:rsidR="00E731B7" w:rsidRPr="00C66B80" w:rsidRDefault="00E731B7" w:rsidP="00A91DD7">
      <w:pPr>
        <w:pBdr>
          <w:top w:val="single" w:sz="4" w:space="1" w:color="auto"/>
          <w:left w:val="single" w:sz="4" w:space="4" w:color="auto"/>
          <w:bottom w:val="single" w:sz="4" w:space="1" w:color="auto"/>
          <w:right w:val="single" w:sz="4" w:space="4" w:color="auto"/>
        </w:pBdr>
        <w:rPr>
          <w:b/>
        </w:rPr>
      </w:pPr>
      <w:r w:rsidRPr="00C66B80">
        <w:rPr>
          <w:b/>
        </w:rPr>
        <w:t xml:space="preserve">For information on Category 4 (CRC research income) refer to Part B of this specification document. </w:t>
      </w:r>
    </w:p>
    <w:p w:rsidR="00A838B4" w:rsidRDefault="004C2F85" w:rsidP="00DD5E7F">
      <w:pPr>
        <w:pStyle w:val="Heading1"/>
        <w:spacing w:before="120"/>
      </w:pPr>
      <w:bookmarkStart w:id="478" w:name="_Toc437848417"/>
      <w:bookmarkStart w:id="479" w:name="_Toc437848473"/>
      <w:bookmarkStart w:id="480" w:name="_Toc437848513"/>
      <w:bookmarkStart w:id="481" w:name="_Toc437848588"/>
      <w:bookmarkStart w:id="482" w:name="_Toc437850659"/>
      <w:bookmarkStart w:id="483" w:name="_Toc437850735"/>
      <w:bookmarkStart w:id="484" w:name="_Toc437850810"/>
      <w:bookmarkStart w:id="485" w:name="_Toc437851163"/>
      <w:bookmarkStart w:id="486" w:name="_Toc437848418"/>
      <w:bookmarkStart w:id="487" w:name="_Toc437848474"/>
      <w:bookmarkStart w:id="488" w:name="_Toc437848514"/>
      <w:bookmarkStart w:id="489" w:name="_Toc437848589"/>
      <w:bookmarkStart w:id="490" w:name="_Toc437850660"/>
      <w:bookmarkStart w:id="491" w:name="_Toc437850736"/>
      <w:bookmarkStart w:id="492" w:name="_Toc437850811"/>
      <w:bookmarkStart w:id="493" w:name="_Toc437851164"/>
      <w:bookmarkStart w:id="494" w:name="CursorPositionBM"/>
      <w:bookmarkStart w:id="495" w:name="_Toc96678051"/>
      <w:bookmarkStart w:id="496" w:name="_Toc112733793"/>
      <w:bookmarkStart w:id="497" w:name="_Toc112734003"/>
      <w:bookmarkStart w:id="498" w:name="_Ref114278378"/>
      <w:bookmarkStart w:id="499" w:name="_Ref114297353"/>
      <w:bookmarkStart w:id="500" w:name="_Ref115747975"/>
      <w:bookmarkStart w:id="501" w:name="_Ref115748479"/>
      <w:bookmarkStart w:id="502" w:name="_Toc116182981"/>
      <w:bookmarkStart w:id="503" w:name="_Ref124302019"/>
      <w:bookmarkStart w:id="504" w:name="_Ref124302080"/>
      <w:bookmarkStart w:id="505" w:name="_Ref216080534"/>
      <w:bookmarkStart w:id="506" w:name="_Ref216080609"/>
      <w:bookmarkStart w:id="507" w:name="_Ref216081036"/>
      <w:bookmarkStart w:id="508" w:name="_Toc406668868"/>
      <w:bookmarkStart w:id="509" w:name="_Toc440030054"/>
      <w:bookmarkStart w:id="510" w:name="_Ref440032347"/>
      <w:bookmarkStart w:id="511" w:name="_Ref440032375"/>
      <w:bookmarkEnd w:id="470"/>
      <w:bookmarkEnd w:id="471"/>
      <w:bookmarkEnd w:id="472"/>
      <w:bookmarkEnd w:id="473"/>
      <w:bookmarkEnd w:id="474"/>
      <w:bookmarkEnd w:id="47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t xml:space="preserve">Categories 1 – 3 Research </w:t>
      </w:r>
      <w:r w:rsidR="00A838B4" w:rsidRPr="005B7BC7">
        <w:t>Income</w:t>
      </w:r>
      <w:bookmarkEnd w:id="0"/>
      <w:bookmarkEnd w:id="1"/>
      <w:bookmarkEnd w:id="2"/>
      <w:bookmarkEnd w:id="476"/>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DD6B35" w:rsidRDefault="00DD6B35" w:rsidP="00A91DD7"/>
    <w:p w:rsidR="00DD6B35" w:rsidRDefault="00DD6B35" w:rsidP="00A91DD7">
      <w:r>
        <w:t>HEPs must provide information on all research income received in the reference year that falls into the following three categories:</w:t>
      </w:r>
    </w:p>
    <w:p w:rsidR="00DD6B35" w:rsidRDefault="00DD6B35" w:rsidP="00A91DD7">
      <w:pPr>
        <w:pStyle w:val="ListParagraph"/>
        <w:numPr>
          <w:ilvl w:val="0"/>
          <w:numId w:val="81"/>
        </w:numPr>
      </w:pPr>
      <w:r>
        <w:t>Category 1: Australian competitive grants</w:t>
      </w:r>
    </w:p>
    <w:p w:rsidR="00DD6B35" w:rsidRDefault="00DD6B35" w:rsidP="00A91DD7">
      <w:pPr>
        <w:pStyle w:val="ListParagraph"/>
        <w:numPr>
          <w:ilvl w:val="0"/>
          <w:numId w:val="81"/>
        </w:numPr>
      </w:pPr>
      <w:r>
        <w:t>Category 2: Other public sector research income</w:t>
      </w:r>
    </w:p>
    <w:p w:rsidR="00DD6B35" w:rsidRDefault="00DD6B35" w:rsidP="00A91DD7">
      <w:pPr>
        <w:pStyle w:val="ListParagraph"/>
        <w:numPr>
          <w:ilvl w:val="0"/>
          <w:numId w:val="81"/>
        </w:numPr>
      </w:pPr>
      <w:r>
        <w:t>Category 3: Industry and other research income</w:t>
      </w:r>
    </w:p>
    <w:p w:rsidR="00DD6B35" w:rsidRPr="00DD6B35" w:rsidRDefault="00DD6B35" w:rsidP="00A91DD7"/>
    <w:p w:rsidR="00A838B4" w:rsidRPr="005B7BC7" w:rsidRDefault="00A838B4" w:rsidP="00477661">
      <w:pPr>
        <w:pStyle w:val="Heading2"/>
        <w:numPr>
          <w:ilvl w:val="1"/>
          <w:numId w:val="5"/>
        </w:numPr>
      </w:pPr>
      <w:bookmarkStart w:id="512" w:name="_7.1_General_requirements"/>
      <w:bookmarkStart w:id="513" w:name="_Toc87171315"/>
      <w:bookmarkStart w:id="514" w:name="_Toc96678052"/>
      <w:bookmarkStart w:id="515" w:name="_Toc112733795"/>
      <w:bookmarkStart w:id="516" w:name="_Toc112734005"/>
      <w:bookmarkStart w:id="517" w:name="_Ref115747973"/>
      <w:bookmarkStart w:id="518" w:name="_Toc116182982"/>
      <w:bookmarkStart w:id="519" w:name="_Toc251924125"/>
      <w:bookmarkStart w:id="520" w:name="_Toc406668869"/>
      <w:bookmarkStart w:id="521" w:name="_Toc440030055"/>
      <w:bookmarkEnd w:id="512"/>
      <w:r w:rsidRPr="005B7BC7">
        <w:t>General requirements</w:t>
      </w:r>
      <w:bookmarkEnd w:id="513"/>
      <w:bookmarkEnd w:id="514"/>
      <w:bookmarkEnd w:id="515"/>
      <w:bookmarkEnd w:id="516"/>
      <w:bookmarkEnd w:id="517"/>
      <w:bookmarkEnd w:id="518"/>
      <w:bookmarkEnd w:id="519"/>
      <w:bookmarkEnd w:id="520"/>
      <w:bookmarkEnd w:id="521"/>
    </w:p>
    <w:p w:rsidR="006D679B" w:rsidRPr="005B7BC7" w:rsidRDefault="00C20A03" w:rsidP="00267540">
      <w:pPr>
        <w:pStyle w:val="BodyText1"/>
        <w:spacing w:after="120"/>
      </w:pPr>
      <w:r w:rsidRPr="005B7BC7">
        <w:t>Category 1-3 r</w:t>
      </w:r>
      <w:r w:rsidR="006D679B" w:rsidRPr="005B7BC7">
        <w:t>esearch income can only be included i</w:t>
      </w:r>
      <w:r w:rsidR="00907AD5">
        <w:t>n</w:t>
      </w:r>
      <w:r w:rsidR="006D679B" w:rsidRPr="005B7BC7">
        <w:t xml:space="preserve"> a HEP’s return if it meets </w:t>
      </w:r>
      <w:r w:rsidR="00210306" w:rsidRPr="005B7BC7">
        <w:t xml:space="preserve">all of </w:t>
      </w:r>
      <w:r w:rsidR="006D679B" w:rsidRPr="005B7BC7">
        <w:t>the following principles:</w:t>
      </w:r>
    </w:p>
    <w:p w:rsidR="00387F2C" w:rsidRPr="0039518B" w:rsidRDefault="006D679B" w:rsidP="00387F2C">
      <w:pPr>
        <w:pStyle w:val="ListBullet"/>
        <w:numPr>
          <w:ilvl w:val="0"/>
          <w:numId w:val="82"/>
        </w:numPr>
        <w:spacing w:after="120"/>
        <w:rPr>
          <w:b/>
        </w:rPr>
      </w:pPr>
      <w:r w:rsidRPr="002A2031">
        <w:rPr>
          <w:b/>
        </w:rPr>
        <w:t xml:space="preserve">It must be </w:t>
      </w:r>
      <w:r w:rsidR="005B6EC8" w:rsidRPr="002A2031">
        <w:rPr>
          <w:b/>
        </w:rPr>
        <w:t>for activities consistent with the definition of</w:t>
      </w:r>
      <w:r w:rsidRPr="002A2031">
        <w:rPr>
          <w:b/>
        </w:rPr>
        <w:t xml:space="preserve"> research</w:t>
      </w:r>
    </w:p>
    <w:p w:rsidR="00387F2C" w:rsidRPr="005B7BC7" w:rsidRDefault="00581857" w:rsidP="00A91DD7">
      <w:pPr>
        <w:pStyle w:val="ListBullet"/>
        <w:numPr>
          <w:ilvl w:val="0"/>
          <w:numId w:val="0"/>
        </w:numPr>
        <w:spacing w:after="120"/>
        <w:ind w:left="720"/>
      </w:pPr>
      <w:r>
        <w:t>(</w:t>
      </w:r>
      <w:r w:rsidR="005B6EC8" w:rsidRPr="005B7BC7">
        <w:t>See the definition of research</w:t>
      </w:r>
      <w:r w:rsidR="009D10EE">
        <w:t xml:space="preserve"> </w:t>
      </w:r>
      <w:r w:rsidR="00362579">
        <w:t xml:space="preserve">in </w:t>
      </w:r>
      <w:r w:rsidR="00362579" w:rsidRPr="002A2031">
        <w:rPr>
          <w:b/>
        </w:rPr>
        <w:t>section</w:t>
      </w:r>
      <w:r w:rsidR="009D10EE" w:rsidRPr="002A2031">
        <w:rPr>
          <w:b/>
        </w:rPr>
        <w:t xml:space="preserve"> </w:t>
      </w:r>
      <w:r w:rsidR="00051D5C">
        <w:rPr>
          <w:b/>
        </w:rPr>
        <w:fldChar w:fldCharType="begin"/>
      </w:r>
      <w:r w:rsidR="00051D5C">
        <w:rPr>
          <w:b/>
        </w:rPr>
        <w:instrText xml:space="preserve"> REF _Ref440031843 \r \h </w:instrText>
      </w:r>
      <w:r w:rsidR="00051D5C">
        <w:rPr>
          <w:b/>
        </w:rPr>
      </w:r>
      <w:r w:rsidR="00051D5C">
        <w:rPr>
          <w:b/>
        </w:rPr>
        <w:fldChar w:fldCharType="separate"/>
      </w:r>
      <w:r w:rsidR="007D5E9F">
        <w:rPr>
          <w:b/>
        </w:rPr>
        <w:t>3</w:t>
      </w:r>
      <w:r w:rsidR="00051D5C">
        <w:rPr>
          <w:b/>
        </w:rPr>
        <w:fldChar w:fldCharType="end"/>
      </w:r>
      <w:r w:rsidR="009D10EE">
        <w:t>)</w:t>
      </w:r>
      <w:r w:rsidR="005B6EC8" w:rsidRPr="005B7BC7">
        <w:t>.</w:t>
      </w:r>
    </w:p>
    <w:p w:rsidR="001361E3" w:rsidRPr="00C14BA3" w:rsidRDefault="001361E3" w:rsidP="00C14BA3">
      <w:pPr>
        <w:pStyle w:val="ListBullet"/>
        <w:numPr>
          <w:ilvl w:val="0"/>
          <w:numId w:val="0"/>
        </w:numPr>
        <w:spacing w:after="120"/>
        <w:ind w:left="720"/>
      </w:pPr>
    </w:p>
    <w:p w:rsidR="00387F2C" w:rsidRDefault="005B6EC8" w:rsidP="00387F2C">
      <w:pPr>
        <w:pStyle w:val="ListBullet"/>
        <w:numPr>
          <w:ilvl w:val="0"/>
          <w:numId w:val="82"/>
        </w:numPr>
        <w:spacing w:after="120"/>
      </w:pPr>
      <w:r w:rsidRPr="00387F2C">
        <w:rPr>
          <w:b/>
        </w:rPr>
        <w:t xml:space="preserve">It must be </w:t>
      </w:r>
      <w:r w:rsidR="009D10EE" w:rsidRPr="00387F2C">
        <w:rPr>
          <w:b/>
        </w:rPr>
        <w:t xml:space="preserve">net receipted income, </w:t>
      </w:r>
      <w:r w:rsidRPr="00387F2C">
        <w:rPr>
          <w:b/>
        </w:rPr>
        <w:t xml:space="preserve">received in the </w:t>
      </w:r>
      <w:r w:rsidR="0077623D" w:rsidRPr="00387F2C">
        <w:rPr>
          <w:b/>
        </w:rPr>
        <w:t>reference year</w:t>
      </w:r>
      <w:r w:rsidR="009D10EE" w:rsidRPr="00387F2C">
        <w:rPr>
          <w:b/>
        </w:rPr>
        <w:t xml:space="preserve"> and recognised in a HEPs financial system as being related to the reference</w:t>
      </w:r>
      <w:r w:rsidR="009D10EE" w:rsidRPr="00387F2C">
        <w:rPr>
          <w:b/>
          <w:bCs/>
        </w:rPr>
        <w:t xml:space="preserve"> </w:t>
      </w:r>
      <w:r w:rsidR="009D10EE" w:rsidRPr="00387F2C">
        <w:rPr>
          <w:b/>
        </w:rPr>
        <w:t>year</w:t>
      </w:r>
    </w:p>
    <w:p w:rsidR="00387F2C" w:rsidRDefault="009D10EE" w:rsidP="00A91DD7">
      <w:pPr>
        <w:pStyle w:val="ListBullet"/>
        <w:numPr>
          <w:ilvl w:val="0"/>
          <w:numId w:val="0"/>
        </w:numPr>
        <w:ind w:left="720"/>
      </w:pPr>
      <w:r w:rsidRPr="005B7BC7">
        <w:t>Net receipted income is the amount of research income a HEP (or its subsidiary) retains in its accounting system after shared research income has been divided and/or third party income has been expended and/or distributed.</w:t>
      </w:r>
    </w:p>
    <w:p w:rsidR="0077623D" w:rsidRDefault="0077623D" w:rsidP="00A91DD7">
      <w:pPr>
        <w:pStyle w:val="ListBullet"/>
        <w:numPr>
          <w:ilvl w:val="0"/>
          <w:numId w:val="0"/>
        </w:numPr>
        <w:ind w:left="720"/>
      </w:pPr>
      <w:r w:rsidRPr="005B7BC7">
        <w:t>The reference year for Category 1</w:t>
      </w:r>
      <w:r w:rsidR="0038771E" w:rsidRPr="005B7BC7">
        <w:t xml:space="preserve">, 2 and </w:t>
      </w:r>
      <w:r w:rsidRPr="005B7BC7">
        <w:t>3 research income is the 201</w:t>
      </w:r>
      <w:r w:rsidR="00FB68A3">
        <w:t>6</w:t>
      </w:r>
      <w:r w:rsidRPr="005B7BC7">
        <w:t xml:space="preserve"> calendar year and for Category 4 research income, </w:t>
      </w:r>
      <w:r w:rsidR="0038771E" w:rsidRPr="005B7BC7">
        <w:t xml:space="preserve">the reference year </w:t>
      </w:r>
      <w:r w:rsidRPr="005B7BC7">
        <w:t>is the 201</w:t>
      </w:r>
      <w:r w:rsidR="00FB68A3">
        <w:t>5</w:t>
      </w:r>
      <w:r w:rsidRPr="005B7BC7">
        <w:t>-1</w:t>
      </w:r>
      <w:r w:rsidR="00FB68A3">
        <w:t>6</w:t>
      </w:r>
      <w:r w:rsidRPr="005B7BC7">
        <w:t xml:space="preserve"> financial year</w:t>
      </w:r>
      <w:r w:rsidR="00F96A3A" w:rsidRPr="005B7BC7">
        <w:t>.</w:t>
      </w:r>
    </w:p>
    <w:p w:rsidR="001361E3" w:rsidRDefault="001361E3" w:rsidP="00C14BA3">
      <w:pPr>
        <w:pStyle w:val="ListBullet"/>
        <w:numPr>
          <w:ilvl w:val="0"/>
          <w:numId w:val="0"/>
        </w:numPr>
        <w:ind w:left="720"/>
        <w:rPr>
          <w:b/>
        </w:rPr>
      </w:pPr>
    </w:p>
    <w:p w:rsidR="00387F2C" w:rsidRPr="00EB4368" w:rsidRDefault="00E5370E" w:rsidP="001361E3">
      <w:pPr>
        <w:pStyle w:val="ListBullet"/>
        <w:numPr>
          <w:ilvl w:val="0"/>
          <w:numId w:val="82"/>
        </w:numPr>
        <w:rPr>
          <w:b/>
        </w:rPr>
      </w:pPr>
      <w:r w:rsidRPr="001361E3">
        <w:rPr>
          <w:b/>
        </w:rPr>
        <w:t>It must be consistent with a HEPs</w:t>
      </w:r>
      <w:r w:rsidRPr="00EB4368">
        <w:rPr>
          <w:b/>
        </w:rPr>
        <w:t xml:space="preserve"> audited financial statements</w:t>
      </w:r>
    </w:p>
    <w:p w:rsidR="001025CB" w:rsidRDefault="00E5370E" w:rsidP="00387F2C">
      <w:pPr>
        <w:pStyle w:val="ListBullet"/>
        <w:numPr>
          <w:ilvl w:val="0"/>
          <w:numId w:val="0"/>
        </w:numPr>
        <w:ind w:left="720"/>
      </w:pPr>
      <w:r w:rsidRPr="005B7BC7">
        <w:t xml:space="preserve">Research income must be reported in accordance with the </w:t>
      </w:r>
      <w:r w:rsidRPr="00A91DD7">
        <w:rPr>
          <w:i/>
        </w:rPr>
        <w:t xml:space="preserve">Financial Statement Guidelines for Australian Higher Education Providers </w:t>
      </w:r>
      <w:r w:rsidRPr="00BC5AAF">
        <w:t>for</w:t>
      </w:r>
      <w:r w:rsidRPr="00A91DD7">
        <w:rPr>
          <w:i/>
        </w:rPr>
        <w:t xml:space="preserve"> </w:t>
      </w:r>
      <w:r w:rsidRPr="005B7BC7">
        <w:t>the 201</w:t>
      </w:r>
      <w:r w:rsidR="00FB68A3">
        <w:t>6</w:t>
      </w:r>
      <w:r w:rsidRPr="005B7BC7">
        <w:t xml:space="preserve"> Reporting Period. It must be verified by </w:t>
      </w:r>
      <w:r w:rsidR="00A419DF">
        <w:t xml:space="preserve">and consistent with </w:t>
      </w:r>
      <w:r w:rsidRPr="005B7BC7">
        <w:t>the HEP’s audited financial statements unless exempt as income received from a CRC.</w:t>
      </w:r>
    </w:p>
    <w:p w:rsidR="00DC7139" w:rsidRDefault="00DC7139" w:rsidP="00387F2C">
      <w:pPr>
        <w:pStyle w:val="ListBullet"/>
        <w:numPr>
          <w:ilvl w:val="0"/>
          <w:numId w:val="0"/>
        </w:numPr>
        <w:ind w:left="720"/>
      </w:pPr>
    </w:p>
    <w:p w:rsidR="00DC7139" w:rsidRDefault="000B1ED3" w:rsidP="00387F2C">
      <w:pPr>
        <w:pStyle w:val="ListBullet"/>
        <w:numPr>
          <w:ilvl w:val="0"/>
          <w:numId w:val="0"/>
        </w:numPr>
        <w:ind w:left="720"/>
      </w:pPr>
      <w:r w:rsidRPr="000B1ED3">
        <w:t xml:space="preserve">HEPs must notify the department if they intend to change the basis for reporting </w:t>
      </w:r>
      <w:r w:rsidR="004276F7">
        <w:t xml:space="preserve">HERDC </w:t>
      </w:r>
      <w:r w:rsidRPr="000B1ED3">
        <w:t xml:space="preserve">research income (i.e. change from accrual to cash reporting or vice versa) prior to submitting the HERDC Research Income Return </w:t>
      </w:r>
      <w:r w:rsidR="00DC7139">
        <w:t>(</w:t>
      </w:r>
      <w:r w:rsidR="00DC7139" w:rsidRPr="008A100B">
        <w:rPr>
          <w:b/>
        </w:rPr>
        <w:t xml:space="preserve">section </w:t>
      </w:r>
      <w:r w:rsidR="00DC7139" w:rsidRPr="008A100B">
        <w:rPr>
          <w:b/>
        </w:rPr>
        <w:fldChar w:fldCharType="begin"/>
      </w:r>
      <w:r w:rsidR="00DC7139" w:rsidRPr="008A100B">
        <w:rPr>
          <w:b/>
        </w:rPr>
        <w:instrText xml:space="preserve"> REF _Ref449514367 \r \h </w:instrText>
      </w:r>
      <w:r w:rsidR="008A100B">
        <w:rPr>
          <w:b/>
        </w:rPr>
        <w:instrText xml:space="preserve"> \* MERGEFORMAT </w:instrText>
      </w:r>
      <w:r w:rsidR="00DC7139" w:rsidRPr="008A100B">
        <w:rPr>
          <w:b/>
        </w:rPr>
      </w:r>
      <w:r w:rsidR="00DC7139" w:rsidRPr="008A100B">
        <w:rPr>
          <w:b/>
        </w:rPr>
        <w:fldChar w:fldCharType="separate"/>
      </w:r>
      <w:r w:rsidR="007D5E9F">
        <w:rPr>
          <w:b/>
        </w:rPr>
        <w:t>1.5</w:t>
      </w:r>
      <w:r w:rsidR="00DC7139" w:rsidRPr="008A100B">
        <w:rPr>
          <w:b/>
        </w:rPr>
        <w:fldChar w:fldCharType="end"/>
      </w:r>
      <w:r w:rsidR="00DC7139">
        <w:t xml:space="preserve">). </w:t>
      </w:r>
    </w:p>
    <w:p w:rsidR="001361E3" w:rsidRPr="00C14BA3" w:rsidRDefault="001361E3" w:rsidP="00C14BA3">
      <w:pPr>
        <w:pStyle w:val="ListBullet"/>
        <w:numPr>
          <w:ilvl w:val="0"/>
          <w:numId w:val="0"/>
        </w:numPr>
        <w:ind w:left="720"/>
      </w:pPr>
    </w:p>
    <w:p w:rsidR="00387F2C" w:rsidRDefault="005B6EC8" w:rsidP="00A91DD7">
      <w:pPr>
        <w:pStyle w:val="ListBullet"/>
        <w:numPr>
          <w:ilvl w:val="0"/>
          <w:numId w:val="82"/>
        </w:numPr>
      </w:pPr>
      <w:r w:rsidRPr="00387F2C">
        <w:rPr>
          <w:b/>
        </w:rPr>
        <w:t xml:space="preserve">It must only be counted once </w:t>
      </w:r>
    </w:p>
    <w:p w:rsidR="001361E3" w:rsidRDefault="00B25832" w:rsidP="00C14BA3">
      <w:pPr>
        <w:pStyle w:val="ListBullet"/>
        <w:numPr>
          <w:ilvl w:val="0"/>
          <w:numId w:val="0"/>
        </w:numPr>
        <w:ind w:left="720"/>
        <w:rPr>
          <w:b/>
        </w:rPr>
      </w:pPr>
      <w:r w:rsidRPr="005B7BC7">
        <w:t>HEPs should apply the principle that no income is to be double counted, or included in the income returns for multiple years.</w:t>
      </w:r>
    </w:p>
    <w:p w:rsidR="001361E3" w:rsidRPr="005B7BC7" w:rsidRDefault="001361E3" w:rsidP="00A91DD7">
      <w:pPr>
        <w:pStyle w:val="ListBullet"/>
        <w:numPr>
          <w:ilvl w:val="0"/>
          <w:numId w:val="0"/>
        </w:numPr>
        <w:ind w:left="720"/>
      </w:pPr>
    </w:p>
    <w:p w:rsidR="001361E3" w:rsidRDefault="00B25832" w:rsidP="00C14BA3">
      <w:pPr>
        <w:pStyle w:val="ListBullet"/>
        <w:numPr>
          <w:ilvl w:val="0"/>
          <w:numId w:val="82"/>
        </w:numPr>
        <w:rPr>
          <w:b/>
        </w:rPr>
      </w:pPr>
      <w:r w:rsidRPr="00CB510E">
        <w:rPr>
          <w:b/>
        </w:rPr>
        <w:t xml:space="preserve">It must include any variations to research income </w:t>
      </w:r>
      <w:r w:rsidR="0038771E" w:rsidRPr="00CB510E">
        <w:rPr>
          <w:b/>
        </w:rPr>
        <w:t xml:space="preserve">previously </w:t>
      </w:r>
      <w:r w:rsidRPr="00CB510E">
        <w:rPr>
          <w:b/>
        </w:rPr>
        <w:t>reported</w:t>
      </w:r>
    </w:p>
    <w:p w:rsidR="00F87F22" w:rsidRDefault="00B25832" w:rsidP="00C14BA3">
      <w:pPr>
        <w:pStyle w:val="ListBullet"/>
        <w:numPr>
          <w:ilvl w:val="0"/>
          <w:numId w:val="0"/>
        </w:numPr>
        <w:ind w:left="720"/>
      </w:pPr>
      <w:r w:rsidRPr="005B7BC7">
        <w:t xml:space="preserve">HEPs may count research income for </w:t>
      </w:r>
      <w:r w:rsidR="00143F7C" w:rsidRPr="005B7BC7">
        <w:t>201</w:t>
      </w:r>
      <w:r w:rsidR="00FB68A3">
        <w:t>5</w:t>
      </w:r>
      <w:r w:rsidR="00143F7C" w:rsidRPr="005B7BC7">
        <w:t xml:space="preserve"> </w:t>
      </w:r>
      <w:r w:rsidRPr="005B7BC7">
        <w:t>(Categories 1, 2 and 3) or 201</w:t>
      </w:r>
      <w:r w:rsidR="00FB68A3">
        <w:t>4</w:t>
      </w:r>
      <w:r w:rsidRPr="005B7BC7">
        <w:t>-1</w:t>
      </w:r>
      <w:r w:rsidR="00FB68A3">
        <w:t>5</w:t>
      </w:r>
      <w:r w:rsidRPr="005B7BC7">
        <w:t xml:space="preserve"> (Category 4) </w:t>
      </w:r>
      <w:r w:rsidR="0038771E" w:rsidRPr="00CB510E">
        <w:rPr>
          <w:u w:val="single"/>
        </w:rPr>
        <w:t>only</w:t>
      </w:r>
      <w:r w:rsidRPr="005B7BC7">
        <w:t xml:space="preserve"> where the HEP has made a genuine omission of that income from its previous year’s HERDC return and the HEP can verify to its auditor’s satisfaction that the income has not been reported in the previous year’s return. A HEP must reduce the research income reported for a particular category where research income received in an earlier year has been refunded.</w:t>
      </w:r>
      <w:r w:rsidR="00F87F22">
        <w:br w:type="page"/>
      </w:r>
    </w:p>
    <w:p w:rsidR="00ED0EED" w:rsidRPr="005B7BC7" w:rsidRDefault="00ED0EED" w:rsidP="0039518B"/>
    <w:p w:rsidR="00593C48" w:rsidRPr="00513DB1" w:rsidRDefault="0038771E" w:rsidP="00513DB1">
      <w:pPr>
        <w:pStyle w:val="Heading2"/>
        <w:numPr>
          <w:ilvl w:val="1"/>
          <w:numId w:val="5"/>
        </w:numPr>
      </w:pPr>
      <w:bookmarkStart w:id="522" w:name="_Toc406668873"/>
      <w:bookmarkStart w:id="523" w:name="_Toc440030056"/>
      <w:r w:rsidRPr="005B7BC7">
        <w:t>Inclusions and Exclusions</w:t>
      </w:r>
      <w:bookmarkEnd w:id="522"/>
      <w:bookmarkEnd w:id="523"/>
    </w:p>
    <w:p w:rsidR="00C62F1E" w:rsidRPr="005B7BC7" w:rsidRDefault="00B25832" w:rsidP="00A91DD7">
      <w:pPr>
        <w:spacing w:after="240"/>
      </w:pPr>
      <w:r w:rsidRPr="0039518B">
        <w:t xml:space="preserve">The sections below </w:t>
      </w:r>
      <w:r w:rsidRPr="005B7BC7">
        <w:t>provide guidance in respect of the net receipted research income that can be included and excluded from a HEP’s research income return. These lists are not exhaustive and it is the department’s expectation that HEPs work with their auditors in determining which research income can be reported</w:t>
      </w:r>
      <w:r w:rsidR="0038771E" w:rsidRPr="005B7BC7">
        <w:t>.</w:t>
      </w:r>
      <w:r w:rsidR="00C20A03" w:rsidRPr="005B7BC7">
        <w:t xml:space="preserve"> Additional guidance on income involving other parties is at section </w:t>
      </w:r>
      <w:r w:rsidR="00051D5C">
        <w:fldChar w:fldCharType="begin"/>
      </w:r>
      <w:r w:rsidR="00051D5C">
        <w:instrText xml:space="preserve"> REF _Ref440031869 \r \h </w:instrText>
      </w:r>
      <w:r w:rsidR="00051D5C">
        <w:fldChar w:fldCharType="separate"/>
      </w:r>
      <w:r w:rsidR="007D5E9F">
        <w:t>4.3</w:t>
      </w:r>
      <w:r w:rsidR="00051D5C">
        <w:fldChar w:fldCharType="end"/>
      </w:r>
      <w:r w:rsidR="00C20A03" w:rsidRPr="005B7BC7">
        <w:t>.</w:t>
      </w:r>
    </w:p>
    <w:p w:rsidR="00734763" w:rsidRPr="0039518B" w:rsidRDefault="00CE30BB" w:rsidP="002F69EF">
      <w:pPr>
        <w:pStyle w:val="Heading3"/>
        <w:tabs>
          <w:tab w:val="clear" w:pos="1504"/>
          <w:tab w:val="num" w:pos="1276"/>
        </w:tabs>
        <w:ind w:left="1276" w:hanging="850"/>
      </w:pPr>
      <w:bookmarkStart w:id="524" w:name="_Toc168817205"/>
      <w:bookmarkStart w:id="525" w:name="_Toc168824824"/>
      <w:bookmarkStart w:id="526" w:name="_7.2_Research_income"/>
      <w:bookmarkStart w:id="527" w:name="_Toc251924126"/>
      <w:bookmarkStart w:id="528" w:name="_Toc406668875"/>
      <w:bookmarkStart w:id="529" w:name="_Toc406669258"/>
      <w:bookmarkEnd w:id="524"/>
      <w:bookmarkEnd w:id="525"/>
      <w:bookmarkEnd w:id="526"/>
      <w:r w:rsidRPr="0039518B">
        <w:t>Net r</w:t>
      </w:r>
      <w:r w:rsidR="00AB4AA7" w:rsidRPr="0039518B">
        <w:t xml:space="preserve">eceipted </w:t>
      </w:r>
      <w:r w:rsidRPr="0039518B">
        <w:t>i</w:t>
      </w:r>
      <w:r w:rsidR="00AB4AA7" w:rsidRPr="0039518B">
        <w:t>ncom</w:t>
      </w:r>
      <w:r w:rsidR="00E511CE" w:rsidRPr="0039518B">
        <w:t>e which can be</w:t>
      </w:r>
      <w:r w:rsidR="00A16BCF" w:rsidRPr="0039518B">
        <w:t xml:space="preserve"> </w:t>
      </w:r>
      <w:r w:rsidR="00A16BCF" w:rsidRPr="00473F9D">
        <w:rPr>
          <w:u w:val="single"/>
        </w:rPr>
        <w:t>included</w:t>
      </w:r>
      <w:r w:rsidR="00A16BCF" w:rsidRPr="0039518B">
        <w:t xml:space="preserve"> in the R</w:t>
      </w:r>
      <w:r w:rsidR="00AB4AA7" w:rsidRPr="0039518B">
        <w:t>ese</w:t>
      </w:r>
      <w:r w:rsidR="00E511CE" w:rsidRPr="0039518B">
        <w:t xml:space="preserve">arch </w:t>
      </w:r>
      <w:r w:rsidR="00A16BCF" w:rsidRPr="0039518B">
        <w:t>I</w:t>
      </w:r>
      <w:r w:rsidR="003D5640" w:rsidRPr="0039518B">
        <w:t>ncome Return – Return </w:t>
      </w:r>
      <w:r w:rsidR="00AB4AA7" w:rsidRPr="0039518B">
        <w:t>1</w:t>
      </w:r>
      <w:bookmarkEnd w:id="527"/>
      <w:bookmarkEnd w:id="528"/>
      <w:bookmarkEnd w:id="529"/>
    </w:p>
    <w:p w:rsidR="007B0ADC" w:rsidRPr="005B7BC7" w:rsidRDefault="00A838B4" w:rsidP="00E4575F">
      <w:pPr>
        <w:pStyle w:val="ListBullet10"/>
        <w:keepNext/>
        <w:keepLines/>
        <w:tabs>
          <w:tab w:val="clear" w:pos="360"/>
          <w:tab w:val="num" w:pos="1134"/>
        </w:tabs>
        <w:ind w:left="1134" w:hanging="425"/>
      </w:pPr>
      <w:r w:rsidRPr="005B7BC7">
        <w:t xml:space="preserve">stipends and scholarships for </w:t>
      </w:r>
      <w:r w:rsidR="004E525A" w:rsidRPr="005B7BC7">
        <w:t>HDR</w:t>
      </w:r>
      <w:r w:rsidR="00E82C1D" w:rsidRPr="005B7BC7">
        <w:t xml:space="preserve"> </w:t>
      </w:r>
      <w:r w:rsidRPr="005B7BC7">
        <w:t>students</w:t>
      </w:r>
      <w:r w:rsidR="00E82C1D" w:rsidRPr="005B7BC7">
        <w:t xml:space="preserve"> enrolled at the HEP</w:t>
      </w:r>
      <w:r w:rsidRPr="005B7BC7">
        <w:t xml:space="preserve">, unless explicitly excluded </w:t>
      </w:r>
      <w:r w:rsidR="0038771E" w:rsidRPr="005B7BC7">
        <w:t>below</w:t>
      </w:r>
      <w:r w:rsidR="00746D48" w:rsidRPr="005B7BC7">
        <w:rPr>
          <w:rStyle w:val="Strong"/>
        </w:rPr>
        <w:t xml:space="preserve"> </w:t>
      </w:r>
    </w:p>
    <w:p w:rsidR="006F46D1" w:rsidRPr="005B7BC7" w:rsidRDefault="001B03EC" w:rsidP="00E4575F">
      <w:pPr>
        <w:pStyle w:val="ListBullet10"/>
        <w:keepNext/>
        <w:keepLines/>
        <w:tabs>
          <w:tab w:val="clear" w:pos="360"/>
          <w:tab w:val="num" w:pos="1134"/>
        </w:tabs>
        <w:ind w:left="1134" w:hanging="425"/>
      </w:pPr>
      <w:r w:rsidRPr="005B7BC7">
        <w:t xml:space="preserve">competitive, peer reviewed HDR </w:t>
      </w:r>
      <w:r w:rsidR="00963630">
        <w:t xml:space="preserve">student </w:t>
      </w:r>
      <w:r w:rsidRPr="005B7BC7">
        <w:t>stipend</w:t>
      </w:r>
      <w:r w:rsidR="00963630">
        <w:t>s</w:t>
      </w:r>
      <w:r w:rsidRPr="005B7BC7">
        <w:t xml:space="preserve"> and scholarships from non-Australian industry or non-Australian Government agencies</w:t>
      </w:r>
    </w:p>
    <w:p w:rsidR="001B03EC" w:rsidRPr="005B7BC7" w:rsidRDefault="006F46D1" w:rsidP="00E4575F">
      <w:pPr>
        <w:pStyle w:val="ListBullet10"/>
        <w:tabs>
          <w:tab w:val="clear" w:pos="360"/>
          <w:tab w:val="num" w:pos="1134"/>
        </w:tabs>
        <w:ind w:left="1134" w:hanging="425"/>
      </w:pPr>
      <w:r w:rsidRPr="005B7BC7">
        <w:t>income derived from the investment of donations, bequests and foundations</w:t>
      </w:r>
    </w:p>
    <w:p w:rsidR="003731C9" w:rsidRPr="005B7BC7" w:rsidRDefault="003731C9" w:rsidP="00E4575F">
      <w:pPr>
        <w:pStyle w:val="ListBullet10"/>
        <w:tabs>
          <w:tab w:val="clear" w:pos="360"/>
          <w:tab w:val="num" w:pos="1134"/>
        </w:tabs>
        <w:ind w:left="1134" w:hanging="425"/>
      </w:pPr>
      <w:r w:rsidRPr="0039518B">
        <w:t xml:space="preserve">income derived from </w:t>
      </w:r>
      <w:r w:rsidR="006176DB" w:rsidRPr="0039518B">
        <w:t xml:space="preserve">the provision of </w:t>
      </w:r>
      <w:r w:rsidRPr="005B7BC7">
        <w:t xml:space="preserve">research services </w:t>
      </w:r>
      <w:r w:rsidR="006176DB" w:rsidRPr="005B7BC7">
        <w:t>(</w:t>
      </w:r>
      <w:r w:rsidRPr="005B7BC7">
        <w:t>exclusive of GST</w:t>
      </w:r>
      <w:r w:rsidR="006176DB" w:rsidRPr="005B7BC7">
        <w:t>)</w:t>
      </w:r>
    </w:p>
    <w:p w:rsidR="00A838B4" w:rsidRPr="005B7BC7" w:rsidRDefault="00A838B4" w:rsidP="00E4575F">
      <w:pPr>
        <w:pStyle w:val="ListBullet10"/>
        <w:tabs>
          <w:tab w:val="clear" w:pos="360"/>
          <w:tab w:val="num" w:pos="1134"/>
        </w:tabs>
        <w:ind w:left="1134" w:hanging="425"/>
      </w:pPr>
      <w:r w:rsidRPr="005B7BC7">
        <w:t xml:space="preserve">travel grants where funds are provided specifically for the purpose of travel and used to enable access to a </w:t>
      </w:r>
      <w:r w:rsidR="00A4799F" w:rsidRPr="005B7BC7">
        <w:t>program</w:t>
      </w:r>
      <w:r w:rsidRPr="005B7BC7">
        <w:t xml:space="preserve"> of research</w:t>
      </w:r>
      <w:r w:rsidR="00BB4B02" w:rsidRPr="005B7BC7">
        <w:t>. Researchers using the funds are expected to be active participants in the research program, rather than observers or visitors</w:t>
      </w:r>
    </w:p>
    <w:p w:rsidR="00A838B4" w:rsidRPr="005B7BC7" w:rsidRDefault="00A838B4" w:rsidP="00E4575F">
      <w:pPr>
        <w:pStyle w:val="ListBullet10"/>
        <w:tabs>
          <w:tab w:val="clear" w:pos="360"/>
          <w:tab w:val="num" w:pos="1134"/>
        </w:tabs>
        <w:ind w:left="1134" w:hanging="425"/>
      </w:pPr>
      <w:r w:rsidRPr="005B7BC7">
        <w:t xml:space="preserve">funds provided for the </w:t>
      </w:r>
      <w:r w:rsidR="00BA169E" w:rsidRPr="005B7BC7">
        <w:t xml:space="preserve">conduct </w:t>
      </w:r>
      <w:r w:rsidRPr="005B7BC7">
        <w:t>of clinical trials provided the purpose of the trial meets the definition of research</w:t>
      </w:r>
    </w:p>
    <w:p w:rsidR="00033515" w:rsidRPr="005B7BC7" w:rsidRDefault="00033515" w:rsidP="00E4575F">
      <w:pPr>
        <w:pStyle w:val="ListBullet10"/>
        <w:tabs>
          <w:tab w:val="clear" w:pos="360"/>
          <w:tab w:val="num" w:pos="1134"/>
        </w:tabs>
        <w:ind w:left="1134" w:hanging="425"/>
      </w:pPr>
      <w:bookmarkStart w:id="530" w:name="OLE_LINK13"/>
      <w:bookmarkStart w:id="531" w:name="OLE_LINK14"/>
      <w:r w:rsidRPr="005B7BC7">
        <w:t xml:space="preserve">research infrastructure grants </w:t>
      </w:r>
      <w:r w:rsidR="003708DF" w:rsidRPr="005B7BC7">
        <w:t>(</w:t>
      </w:r>
      <w:r w:rsidRPr="005B7BC7">
        <w:t xml:space="preserve">unless explicitly excluded </w:t>
      </w:r>
      <w:r w:rsidR="0038771E" w:rsidRPr="005B7BC7">
        <w:t>below</w:t>
      </w:r>
      <w:r w:rsidR="00504A4F" w:rsidRPr="005B7BC7">
        <w:t xml:space="preserve"> -</w:t>
      </w:r>
      <w:r w:rsidR="00D94DAB" w:rsidRPr="005B7BC7">
        <w:t xml:space="preserve"> </w:t>
      </w:r>
      <w:r w:rsidR="00504A4F" w:rsidRPr="005B7BC7">
        <w:t>t</w:t>
      </w:r>
      <w:r w:rsidR="003708DF" w:rsidRPr="005B7BC7">
        <w:t>his includes grants for specific and specialised equipment used</w:t>
      </w:r>
      <w:r w:rsidR="004819CA" w:rsidRPr="005B7BC7">
        <w:t xml:space="preserve"> </w:t>
      </w:r>
      <w:r w:rsidR="00BA169E" w:rsidRPr="005B7BC7">
        <w:t xml:space="preserve">for the conduct of </w:t>
      </w:r>
      <w:r w:rsidR="003708DF" w:rsidRPr="005B7BC7">
        <w:t>research</w:t>
      </w:r>
      <w:r w:rsidR="00504A4F" w:rsidRPr="005B7BC7">
        <w:t>)</w:t>
      </w:r>
    </w:p>
    <w:bookmarkEnd w:id="530"/>
    <w:bookmarkEnd w:id="531"/>
    <w:p w:rsidR="004B4E45" w:rsidRPr="005B7BC7" w:rsidRDefault="00A838B4" w:rsidP="00E4575F">
      <w:pPr>
        <w:pStyle w:val="ListBullet10"/>
        <w:tabs>
          <w:tab w:val="clear" w:pos="360"/>
          <w:tab w:val="num" w:pos="1134"/>
        </w:tabs>
        <w:ind w:left="1134" w:hanging="425"/>
      </w:pPr>
      <w:r w:rsidRPr="005B7BC7">
        <w:t xml:space="preserve">income from overseas HEPs provided specifically for </w:t>
      </w:r>
      <w:r w:rsidR="00384ABF" w:rsidRPr="005B7BC7">
        <w:t xml:space="preserve">the </w:t>
      </w:r>
      <w:r w:rsidR="00BA169E" w:rsidRPr="005B7BC7">
        <w:t xml:space="preserve">conduct </w:t>
      </w:r>
      <w:r w:rsidR="00384ABF" w:rsidRPr="005B7BC7">
        <w:t>of research</w:t>
      </w:r>
    </w:p>
    <w:p w:rsidR="00A838B4" w:rsidRPr="005B7BC7" w:rsidRDefault="00A838B4" w:rsidP="00E4575F">
      <w:pPr>
        <w:pStyle w:val="ListBullet10"/>
        <w:tabs>
          <w:tab w:val="clear" w:pos="360"/>
          <w:tab w:val="num" w:pos="1134"/>
        </w:tabs>
        <w:ind w:left="1134" w:hanging="425"/>
      </w:pPr>
      <w:r w:rsidRPr="005B7BC7">
        <w:t xml:space="preserve">income used to manage staff directly engaged in </w:t>
      </w:r>
      <w:r w:rsidR="00BA169E" w:rsidRPr="005B7BC7">
        <w:t xml:space="preserve">the conduct of </w:t>
      </w:r>
      <w:r w:rsidRPr="005B7BC7">
        <w:t>research or providing professional, technical or clerical support or assistance to those staff</w:t>
      </w:r>
      <w:bookmarkStart w:id="532" w:name="OLE_LINK3"/>
      <w:bookmarkStart w:id="533" w:name="OLE_LINK7"/>
      <w:r w:rsidR="00BA169E" w:rsidRPr="005B7BC7">
        <w:rPr>
          <w:rStyle w:val="FootnoteReference"/>
        </w:rPr>
        <w:footnoteReference w:id="7"/>
      </w:r>
      <w:bookmarkEnd w:id="532"/>
      <w:bookmarkEnd w:id="533"/>
    </w:p>
    <w:p w:rsidR="00A838B4" w:rsidRPr="005B7BC7" w:rsidRDefault="00A838B4" w:rsidP="00E4575F">
      <w:pPr>
        <w:pStyle w:val="ListBullet10"/>
        <w:tabs>
          <w:tab w:val="clear" w:pos="360"/>
          <w:tab w:val="num" w:pos="1134"/>
        </w:tabs>
        <w:spacing w:after="120"/>
        <w:ind w:left="1134" w:hanging="425"/>
      </w:pPr>
      <w:r w:rsidRPr="005B7BC7">
        <w:t>income received in support of:</w:t>
      </w:r>
    </w:p>
    <w:p w:rsidR="00A838B4" w:rsidRPr="005B7BC7" w:rsidRDefault="00A838B4" w:rsidP="00E4575F">
      <w:pPr>
        <w:pStyle w:val="ListBullet31"/>
        <w:tabs>
          <w:tab w:val="clear" w:pos="7448"/>
          <w:tab w:val="num" w:pos="1134"/>
        </w:tabs>
        <w:ind w:left="1134" w:hanging="425"/>
      </w:pPr>
      <w:r w:rsidRPr="005B7BC7">
        <w:t xml:space="preserve">professional, technical, administrative or clerical support staff directly engaged in </w:t>
      </w:r>
      <w:r w:rsidR="00BA169E" w:rsidRPr="005B7BC7">
        <w:t xml:space="preserve">activities essential to the conduct of </w:t>
      </w:r>
      <w:r w:rsidRPr="005B7BC7">
        <w:t>research</w:t>
      </w:r>
      <w:r w:rsidR="00BA169E" w:rsidRPr="005B7BC7">
        <w:rPr>
          <w:rStyle w:val="FootnoteReference"/>
        </w:rPr>
        <w:footnoteReference w:id="8"/>
      </w:r>
    </w:p>
    <w:p w:rsidR="00A838B4" w:rsidRPr="005B7BC7" w:rsidRDefault="00A838B4" w:rsidP="00E4575F">
      <w:pPr>
        <w:pStyle w:val="ListBullet31"/>
        <w:tabs>
          <w:tab w:val="clear" w:pos="7448"/>
          <w:tab w:val="num" w:pos="1134"/>
        </w:tabs>
        <w:ind w:left="1134" w:hanging="425"/>
      </w:pPr>
      <w:r w:rsidRPr="005B7BC7">
        <w:t xml:space="preserve">the activities </w:t>
      </w:r>
      <w:r w:rsidR="00BA169E" w:rsidRPr="005B7BC7">
        <w:t xml:space="preserve">and training </w:t>
      </w:r>
      <w:r w:rsidRPr="005B7BC7">
        <w:t xml:space="preserve">of </w:t>
      </w:r>
      <w:r w:rsidR="00BA169E" w:rsidRPr="005B7BC7">
        <w:t xml:space="preserve">HDR </w:t>
      </w:r>
      <w:r w:rsidRPr="005B7BC7">
        <w:t xml:space="preserve">students </w:t>
      </w:r>
      <w:r w:rsidR="00E82C1D" w:rsidRPr="005B7BC7">
        <w:t>enrolled at the HEP</w:t>
      </w:r>
      <w:r w:rsidR="0038771E" w:rsidRPr="005B7BC7">
        <w:t>. T</w:t>
      </w:r>
      <w:r w:rsidR="003A355A" w:rsidRPr="005B7BC7">
        <w:t xml:space="preserve">his includes funds providing the cost of a student’s HDR fee-paying place, but </w:t>
      </w:r>
      <w:r w:rsidR="004F1732" w:rsidRPr="005B7BC7">
        <w:t>exclud</w:t>
      </w:r>
      <w:r w:rsidR="004F1732">
        <w:t>es</w:t>
      </w:r>
      <w:r w:rsidR="004F1732" w:rsidRPr="005B7BC7">
        <w:t xml:space="preserve"> </w:t>
      </w:r>
      <w:r w:rsidR="003A355A" w:rsidRPr="005B7BC7">
        <w:t>Commonwealth supported places or places funded through the RTS. Funds include tuition fees that fee paying students (non</w:t>
      </w:r>
      <w:r w:rsidR="00504A4F" w:rsidRPr="005B7BC7">
        <w:t>-</w:t>
      </w:r>
      <w:r w:rsidR="003A355A" w:rsidRPr="005B7BC7">
        <w:t>Commonwealth supported) pay to their HEP for a HDR program or HDR-related course of study</w:t>
      </w:r>
    </w:p>
    <w:p w:rsidR="00A838B4" w:rsidRPr="005B7BC7" w:rsidRDefault="00A838B4" w:rsidP="00E4575F">
      <w:pPr>
        <w:pStyle w:val="ListBullet31"/>
        <w:tabs>
          <w:tab w:val="clear" w:pos="7448"/>
          <w:tab w:val="num" w:pos="1134"/>
        </w:tabs>
        <w:ind w:left="1134" w:hanging="425"/>
      </w:pPr>
      <w:r w:rsidRPr="005B7BC7">
        <w:t xml:space="preserve">the development of </w:t>
      </w:r>
      <w:r w:rsidR="00454B6E" w:rsidRPr="005B7BC7">
        <w:t>HDR</w:t>
      </w:r>
      <w:r w:rsidRPr="005B7BC7">
        <w:t xml:space="preserve"> </w:t>
      </w:r>
      <w:r w:rsidR="00454B6E" w:rsidRPr="005B7BC7">
        <w:t xml:space="preserve">training and </w:t>
      </w:r>
      <w:r w:rsidRPr="005B7BC7">
        <w:t>courses</w:t>
      </w:r>
    </w:p>
    <w:p w:rsidR="00A838B4" w:rsidRPr="005B7BC7" w:rsidRDefault="00A838B4" w:rsidP="00E4575F">
      <w:pPr>
        <w:pStyle w:val="ListBullet31"/>
        <w:tabs>
          <w:tab w:val="clear" w:pos="7448"/>
          <w:tab w:val="num" w:pos="1134"/>
        </w:tabs>
        <w:ind w:left="1134" w:hanging="425"/>
      </w:pPr>
      <w:r w:rsidRPr="005B7BC7">
        <w:t xml:space="preserve">the supervision of students </w:t>
      </w:r>
      <w:r w:rsidR="00E82C1D" w:rsidRPr="005B7BC7">
        <w:t xml:space="preserve">enrolled at the HEP and </w:t>
      </w:r>
      <w:r w:rsidRPr="005B7BC7">
        <w:t xml:space="preserve">undertaking </w:t>
      </w:r>
      <w:r w:rsidR="00454B6E" w:rsidRPr="005B7BC7">
        <w:t xml:space="preserve">HDR training and </w:t>
      </w:r>
      <w:r w:rsidRPr="005B7BC7">
        <w:t>courses</w:t>
      </w:r>
    </w:p>
    <w:p w:rsidR="00384ABF" w:rsidRPr="005B7BC7" w:rsidRDefault="00A838B4" w:rsidP="00E4575F">
      <w:pPr>
        <w:pStyle w:val="ListBullet31"/>
        <w:tabs>
          <w:tab w:val="clear" w:pos="7448"/>
          <w:tab w:val="num" w:pos="1134"/>
        </w:tabs>
        <w:spacing w:after="120"/>
        <w:ind w:left="1134" w:hanging="425"/>
      </w:pPr>
      <w:r w:rsidRPr="005B7BC7">
        <w:t>research and experimental development into applications software, new programming languages and new operating systems (such R&amp;D would normally meet the definition of research)</w:t>
      </w:r>
    </w:p>
    <w:p w:rsidR="006421EC" w:rsidRPr="005B7BC7" w:rsidRDefault="00B163B7" w:rsidP="00E4575F">
      <w:pPr>
        <w:pStyle w:val="ListBullet10"/>
        <w:tabs>
          <w:tab w:val="clear" w:pos="360"/>
          <w:tab w:val="num" w:pos="1134"/>
        </w:tabs>
        <w:ind w:left="1134" w:hanging="425"/>
      </w:pPr>
      <w:r w:rsidRPr="005B7BC7">
        <w:t xml:space="preserve">where a HEP receives a general or untied grant from an Australian government (whether Commonwealth, state, territory or local) for the purposes of conducting research, </w:t>
      </w:r>
      <w:r w:rsidR="006F2F94" w:rsidRPr="005B7BC7">
        <w:t xml:space="preserve">the HEP may report </w:t>
      </w:r>
      <w:r w:rsidR="00CE75CB" w:rsidRPr="005B7BC7">
        <w:t xml:space="preserve">the proportion of </w:t>
      </w:r>
      <w:r w:rsidRPr="005B7BC7">
        <w:t xml:space="preserve">that grant </w:t>
      </w:r>
      <w:r w:rsidR="006421EC" w:rsidRPr="005B7BC7">
        <w:t xml:space="preserve">that </w:t>
      </w:r>
      <w:r w:rsidR="00CE75CB" w:rsidRPr="005B7BC7">
        <w:t xml:space="preserve">can be clearly and transparently attributed as </w:t>
      </w:r>
      <w:r w:rsidRPr="005B7BC7">
        <w:t xml:space="preserve">to be </w:t>
      </w:r>
      <w:r w:rsidR="00CE75CB" w:rsidRPr="005B7BC7">
        <w:t xml:space="preserve">expended on </w:t>
      </w:r>
      <w:r w:rsidR="000F243D" w:rsidRPr="005B7BC7">
        <w:t xml:space="preserve">the </w:t>
      </w:r>
      <w:r w:rsidRPr="005B7BC7">
        <w:t xml:space="preserve">direct costs of </w:t>
      </w:r>
      <w:r w:rsidR="000F243D" w:rsidRPr="005B7BC7">
        <w:t>conduct</w:t>
      </w:r>
      <w:r w:rsidRPr="005B7BC7">
        <w:t xml:space="preserve">ing </w:t>
      </w:r>
      <w:r w:rsidR="000F243D" w:rsidRPr="005B7BC7">
        <w:t>research</w:t>
      </w:r>
      <w:r w:rsidR="00D00B7E" w:rsidRPr="005B7BC7">
        <w:t>.</w:t>
      </w:r>
      <w:r w:rsidR="000F243D" w:rsidRPr="005B7BC7">
        <w:t xml:space="preserve"> </w:t>
      </w:r>
      <w:r w:rsidR="00100E69" w:rsidRPr="005B7BC7">
        <w:t xml:space="preserve">HEPs </w:t>
      </w:r>
      <w:r w:rsidR="009039F8" w:rsidRPr="005B7BC7">
        <w:t xml:space="preserve">must </w:t>
      </w:r>
      <w:r w:rsidR="009039F8" w:rsidRPr="005B7BC7">
        <w:rPr>
          <w:rStyle w:val="Strong"/>
        </w:rPr>
        <w:t>exclude</w:t>
      </w:r>
      <w:r w:rsidR="009039F8" w:rsidRPr="005B7BC7">
        <w:t xml:space="preserve"> indirect costs</w:t>
      </w:r>
      <w:r w:rsidR="00100E69" w:rsidRPr="005B7BC7">
        <w:t xml:space="preserve"> of conducting research to be expended from the grant</w:t>
      </w:r>
      <w:r w:rsidR="009039F8" w:rsidRPr="005B7BC7">
        <w:t>.</w:t>
      </w:r>
    </w:p>
    <w:p w:rsidR="007F6E7B" w:rsidRPr="005B7BC7" w:rsidRDefault="007F6E7B" w:rsidP="00E4575F">
      <w:pPr>
        <w:pStyle w:val="ListBullet10"/>
        <w:tabs>
          <w:tab w:val="clear" w:pos="360"/>
          <w:tab w:val="num" w:pos="1134"/>
        </w:tabs>
        <w:ind w:left="1134" w:hanging="425"/>
      </w:pPr>
      <w:r w:rsidRPr="005B7BC7">
        <w:t>where a HEP receives income for the purposes of conducting research but also for activities that do not comply with the definition of research, the HEP may report the proportion of that grant that can be clearly and transparently attributed as to be expended on the direct costs of conducting research</w:t>
      </w:r>
      <w:r w:rsidR="00D00B7E" w:rsidRPr="005B7BC7">
        <w:t xml:space="preserve">. </w:t>
      </w:r>
      <w:r w:rsidRPr="005B7BC7">
        <w:t xml:space="preserve">HEPs must </w:t>
      </w:r>
      <w:r w:rsidRPr="0039518B">
        <w:rPr>
          <w:b/>
        </w:rPr>
        <w:t>exclude</w:t>
      </w:r>
      <w:r w:rsidRPr="005B7BC7">
        <w:t xml:space="preserve"> indirect costs of conducting research to be expended from the grant.</w:t>
      </w:r>
    </w:p>
    <w:p w:rsidR="007F6E7B" w:rsidRPr="005B7BC7" w:rsidRDefault="007F6E7B" w:rsidP="00E4575F">
      <w:pPr>
        <w:pStyle w:val="ListBullet10"/>
        <w:numPr>
          <w:ilvl w:val="0"/>
          <w:numId w:val="0"/>
        </w:numPr>
        <w:tabs>
          <w:tab w:val="num" w:pos="360"/>
          <w:tab w:val="num" w:pos="1134"/>
        </w:tabs>
        <w:ind w:left="360" w:hanging="425"/>
      </w:pPr>
    </w:p>
    <w:p w:rsidR="00A838B4" w:rsidRPr="0039518B" w:rsidRDefault="00A838B4" w:rsidP="002F69EF">
      <w:pPr>
        <w:pStyle w:val="Heading3"/>
        <w:tabs>
          <w:tab w:val="clear" w:pos="1504"/>
          <w:tab w:val="num" w:pos="426"/>
        </w:tabs>
        <w:ind w:left="426" w:firstLine="0"/>
      </w:pPr>
      <w:bookmarkStart w:id="534" w:name="_7.3_Research_income"/>
      <w:bookmarkStart w:id="535" w:name="_Toc168817207"/>
      <w:bookmarkStart w:id="536" w:name="_Toc168824826"/>
      <w:bookmarkStart w:id="537" w:name="_Research_income_which"/>
      <w:bookmarkStart w:id="538" w:name="_Toc96678054"/>
      <w:bookmarkStart w:id="539" w:name="_Toc112733797"/>
      <w:bookmarkStart w:id="540" w:name="_Toc112734007"/>
      <w:bookmarkStart w:id="541" w:name="_Ref114289615"/>
      <w:bookmarkStart w:id="542" w:name="_Ref114289632"/>
      <w:bookmarkStart w:id="543" w:name="_Toc116182984"/>
      <w:bookmarkStart w:id="544" w:name="_Ref216077597"/>
      <w:bookmarkStart w:id="545" w:name="_Toc251924127"/>
      <w:bookmarkStart w:id="546" w:name="OLE_LINK23"/>
      <w:bookmarkStart w:id="547" w:name="OLE_LINK24"/>
      <w:bookmarkStart w:id="548" w:name="_Toc406668876"/>
      <w:bookmarkStart w:id="549" w:name="_Toc406669259"/>
      <w:bookmarkEnd w:id="534"/>
      <w:bookmarkEnd w:id="535"/>
      <w:bookmarkEnd w:id="536"/>
      <w:bookmarkEnd w:id="537"/>
      <w:r w:rsidRPr="0039518B">
        <w:t xml:space="preserve">Research income which </w:t>
      </w:r>
      <w:r w:rsidR="009D10EE">
        <w:t xml:space="preserve">is </w:t>
      </w:r>
      <w:r w:rsidR="009D10EE" w:rsidRPr="00473F9D">
        <w:rPr>
          <w:u w:val="single"/>
        </w:rPr>
        <w:t>excluded</w:t>
      </w:r>
      <w:r w:rsidR="00623E3E" w:rsidRPr="0039518B">
        <w:t xml:space="preserve"> in the R</w:t>
      </w:r>
      <w:r w:rsidR="00E511CE" w:rsidRPr="0039518B">
        <w:t xml:space="preserve">esearch </w:t>
      </w:r>
      <w:r w:rsidR="00623E3E" w:rsidRPr="0039518B">
        <w:t>I</w:t>
      </w:r>
      <w:r w:rsidRPr="0039518B">
        <w:t xml:space="preserve">ncome </w:t>
      </w:r>
      <w:r w:rsidR="00953974" w:rsidRPr="0039518B">
        <w:t xml:space="preserve">Return </w:t>
      </w:r>
      <w:r w:rsidR="003D5640" w:rsidRPr="0039518B">
        <w:t>–</w:t>
      </w:r>
      <w:r w:rsidR="00D00B7E" w:rsidRPr="005B7BC7">
        <w:t xml:space="preserve"> </w:t>
      </w:r>
      <w:r w:rsidR="00AC1F8D" w:rsidRPr="0039518B">
        <w:t>R</w:t>
      </w:r>
      <w:r w:rsidRPr="0039518B">
        <w:t>eturn</w:t>
      </w:r>
      <w:r w:rsidR="003D5640" w:rsidRPr="0039518B">
        <w:t> </w:t>
      </w:r>
      <w:r w:rsidRPr="0039518B">
        <w:t>1</w:t>
      </w:r>
      <w:bookmarkEnd w:id="538"/>
      <w:bookmarkEnd w:id="539"/>
      <w:bookmarkEnd w:id="540"/>
      <w:bookmarkEnd w:id="541"/>
      <w:bookmarkEnd w:id="542"/>
      <w:bookmarkEnd w:id="543"/>
      <w:bookmarkEnd w:id="544"/>
      <w:bookmarkEnd w:id="545"/>
      <w:bookmarkEnd w:id="546"/>
      <w:bookmarkEnd w:id="547"/>
      <w:bookmarkEnd w:id="548"/>
      <w:bookmarkEnd w:id="549"/>
    </w:p>
    <w:p w:rsidR="00B23BD0" w:rsidRPr="005B7BC7" w:rsidRDefault="00B23BD0" w:rsidP="00E4575F">
      <w:pPr>
        <w:pStyle w:val="ListBullet10"/>
        <w:keepNext/>
        <w:keepLines/>
        <w:tabs>
          <w:tab w:val="clear" w:pos="360"/>
          <w:tab w:val="num" w:pos="1134"/>
        </w:tabs>
        <w:ind w:left="1134" w:hanging="425"/>
      </w:pPr>
      <w:r w:rsidRPr="005B7BC7">
        <w:t xml:space="preserve">any income above the amount of </w:t>
      </w:r>
      <w:r w:rsidR="006421EC" w:rsidRPr="005B7BC7">
        <w:t>n</w:t>
      </w:r>
      <w:r w:rsidRPr="005B7BC7">
        <w:t xml:space="preserve">et </w:t>
      </w:r>
      <w:r w:rsidR="006421EC" w:rsidRPr="005B7BC7">
        <w:t>r</w:t>
      </w:r>
      <w:r w:rsidRPr="005B7BC7">
        <w:t xml:space="preserve">eceipted </w:t>
      </w:r>
      <w:r w:rsidR="006421EC" w:rsidRPr="005B7BC7">
        <w:t>i</w:t>
      </w:r>
      <w:r w:rsidRPr="005B7BC7">
        <w:t>ncome</w:t>
      </w:r>
    </w:p>
    <w:p w:rsidR="00A838B4" w:rsidRPr="005B7BC7" w:rsidRDefault="00A838B4" w:rsidP="00E4575F">
      <w:pPr>
        <w:pStyle w:val="ListBullet10"/>
        <w:keepNext/>
        <w:keepLines/>
        <w:tabs>
          <w:tab w:val="clear" w:pos="360"/>
          <w:tab w:val="num" w:pos="1134"/>
        </w:tabs>
        <w:ind w:left="1134" w:hanging="425"/>
      </w:pPr>
      <w:r w:rsidRPr="005B7BC7">
        <w:t>any research income received by the HEP from its subsidiaries</w:t>
      </w:r>
      <w:r w:rsidR="00DF1789" w:rsidRPr="005B7BC7">
        <w:rPr>
          <w:rStyle w:val="FootnoteReference"/>
        </w:rPr>
        <w:footnoteReference w:id="9"/>
      </w:r>
    </w:p>
    <w:p w:rsidR="00A838B4" w:rsidRPr="005B7BC7" w:rsidRDefault="00A838B4" w:rsidP="00E4575F">
      <w:pPr>
        <w:pStyle w:val="ListBullet10"/>
        <w:keepNext/>
        <w:keepLines/>
        <w:tabs>
          <w:tab w:val="clear" w:pos="360"/>
          <w:tab w:val="num" w:pos="1134"/>
        </w:tabs>
        <w:ind w:left="1134" w:hanging="425"/>
      </w:pPr>
      <w:r w:rsidRPr="005B7BC7">
        <w:t xml:space="preserve">any research income received by the HEP from any other Australian HEP or its subsidiaries except in respect of </w:t>
      </w:r>
      <w:r w:rsidR="006421EC" w:rsidRPr="005B7BC7">
        <w:t>s</w:t>
      </w:r>
      <w:r w:rsidRPr="005B7BC7">
        <w:t xml:space="preserve">hared </w:t>
      </w:r>
      <w:r w:rsidR="006421EC" w:rsidRPr="005B7BC7">
        <w:t>r</w:t>
      </w:r>
      <w:r w:rsidR="00020F39" w:rsidRPr="005B7BC7">
        <w:t xml:space="preserve">esearch </w:t>
      </w:r>
      <w:r w:rsidR="006421EC" w:rsidRPr="005B7BC7">
        <w:t>i</w:t>
      </w:r>
      <w:r w:rsidR="007073FF" w:rsidRPr="005B7BC7">
        <w:t xml:space="preserve">ncome </w:t>
      </w:r>
      <w:r w:rsidR="00600F3E" w:rsidRPr="005B7BC7">
        <w:t>(</w:t>
      </w:r>
      <w:bookmarkStart w:id="550" w:name="OLE_LINK17"/>
      <w:bookmarkStart w:id="551" w:name="OLE_LINK18"/>
      <w:r w:rsidR="00812EC6" w:rsidRPr="005B7BC7">
        <w:t>in accordance with</w:t>
      </w:r>
      <w:r w:rsidR="00746E06" w:rsidRPr="005B7BC7">
        <w:t xml:space="preserve"> </w:t>
      </w:r>
      <w:bookmarkEnd w:id="550"/>
      <w:bookmarkEnd w:id="551"/>
      <w:r w:rsidR="00600F3E" w:rsidRPr="005B7BC7">
        <w:rPr>
          <w:rStyle w:val="Strong"/>
        </w:rPr>
        <w:t xml:space="preserve">section </w:t>
      </w:r>
      <w:r w:rsidR="00051D5C">
        <w:rPr>
          <w:rStyle w:val="Strong"/>
        </w:rPr>
        <w:fldChar w:fldCharType="begin"/>
      </w:r>
      <w:r w:rsidR="00051D5C">
        <w:rPr>
          <w:rStyle w:val="Strong"/>
        </w:rPr>
        <w:instrText xml:space="preserve"> REF _Ref440031896 \r \h </w:instrText>
      </w:r>
      <w:r w:rsidR="00051D5C">
        <w:rPr>
          <w:rStyle w:val="Strong"/>
        </w:rPr>
      </w:r>
      <w:r w:rsidR="00051D5C">
        <w:rPr>
          <w:rStyle w:val="Strong"/>
        </w:rPr>
        <w:fldChar w:fldCharType="separate"/>
      </w:r>
      <w:r w:rsidR="007D5E9F">
        <w:rPr>
          <w:rStyle w:val="Strong"/>
        </w:rPr>
        <w:t>4.3</w:t>
      </w:r>
      <w:r w:rsidR="00051D5C">
        <w:rPr>
          <w:rStyle w:val="Strong"/>
        </w:rPr>
        <w:fldChar w:fldCharType="end"/>
      </w:r>
      <w:r w:rsidR="00563E62" w:rsidRPr="005B7BC7">
        <w:rPr>
          <w:rStyle w:val="Strong"/>
        </w:rPr>
        <w:t xml:space="preserve"> </w:t>
      </w:r>
      <w:r w:rsidR="008A3010" w:rsidRPr="005B7BC7">
        <w:rPr>
          <w:rStyle w:val="Strong"/>
        </w:rPr>
        <w:t>of Part A</w:t>
      </w:r>
      <w:r w:rsidR="00600F3E" w:rsidRPr="005B7BC7">
        <w:t xml:space="preserve">) </w:t>
      </w:r>
      <w:r w:rsidRPr="005B7BC7">
        <w:t xml:space="preserve">or </w:t>
      </w:r>
      <w:r w:rsidR="00020F39" w:rsidRPr="005B7BC7">
        <w:t>t</w:t>
      </w:r>
      <w:r w:rsidRPr="005B7BC7">
        <w:t>ransfers</w:t>
      </w:r>
      <w:r w:rsidR="00600F3E" w:rsidRPr="005B7BC7">
        <w:t xml:space="preserve"> (</w:t>
      </w:r>
      <w:r w:rsidR="00812EC6" w:rsidRPr="005B7BC7">
        <w:t xml:space="preserve">in accordance with </w:t>
      </w:r>
      <w:r w:rsidR="00600F3E" w:rsidRPr="005B7BC7">
        <w:rPr>
          <w:rStyle w:val="Strong"/>
        </w:rPr>
        <w:t xml:space="preserve">section </w:t>
      </w:r>
      <w:r w:rsidR="00051D5C">
        <w:rPr>
          <w:rStyle w:val="Strong"/>
        </w:rPr>
        <w:fldChar w:fldCharType="begin"/>
      </w:r>
      <w:r w:rsidR="00051D5C">
        <w:rPr>
          <w:rStyle w:val="Strong"/>
        </w:rPr>
        <w:instrText xml:space="preserve"> REF _Ref440031911 \r \h </w:instrText>
      </w:r>
      <w:r w:rsidR="00051D5C">
        <w:rPr>
          <w:rStyle w:val="Strong"/>
        </w:rPr>
      </w:r>
      <w:r w:rsidR="00051D5C">
        <w:rPr>
          <w:rStyle w:val="Strong"/>
        </w:rPr>
        <w:fldChar w:fldCharType="separate"/>
      </w:r>
      <w:r w:rsidR="007D5E9F">
        <w:rPr>
          <w:rStyle w:val="Strong"/>
        </w:rPr>
        <w:t>4.4</w:t>
      </w:r>
      <w:r w:rsidR="00051D5C">
        <w:rPr>
          <w:rStyle w:val="Strong"/>
        </w:rPr>
        <w:fldChar w:fldCharType="end"/>
      </w:r>
      <w:r w:rsidR="008A3010" w:rsidRPr="005B7BC7">
        <w:rPr>
          <w:rStyle w:val="Strong"/>
        </w:rPr>
        <w:t xml:space="preserve"> of Part A</w:t>
      </w:r>
      <w:r w:rsidR="00600F3E" w:rsidRPr="005B7BC7">
        <w:t>)</w:t>
      </w:r>
      <w:r w:rsidR="003B6B8A" w:rsidRPr="005B7BC7">
        <w:t xml:space="preserve"> </w:t>
      </w:r>
    </w:p>
    <w:p w:rsidR="001069D8" w:rsidRPr="005B7BC7" w:rsidRDefault="001069D8" w:rsidP="00E4575F">
      <w:pPr>
        <w:pStyle w:val="ListBullet10"/>
        <w:tabs>
          <w:tab w:val="clear" w:pos="360"/>
          <w:tab w:val="num" w:pos="1134"/>
        </w:tabs>
        <w:ind w:left="1134" w:hanging="425"/>
      </w:pPr>
      <w:r w:rsidRPr="005B7BC7">
        <w:t xml:space="preserve">any income received by a HEP </w:t>
      </w:r>
      <w:r w:rsidR="000F243D" w:rsidRPr="005B7BC7">
        <w:t xml:space="preserve">or its subsidiaries </w:t>
      </w:r>
      <w:r w:rsidRPr="005B7BC7">
        <w:t xml:space="preserve">for the rental and use of its facilities and accommodation, even if this is related to the </w:t>
      </w:r>
      <w:r w:rsidR="00454B6E" w:rsidRPr="005B7BC7">
        <w:t xml:space="preserve">conduct </w:t>
      </w:r>
      <w:r w:rsidRPr="005B7BC7">
        <w:t>of research</w:t>
      </w:r>
    </w:p>
    <w:p w:rsidR="00DB5806" w:rsidRPr="005B7BC7" w:rsidRDefault="00C65312" w:rsidP="00E4575F">
      <w:pPr>
        <w:pStyle w:val="ListBullet10"/>
        <w:tabs>
          <w:tab w:val="clear" w:pos="360"/>
          <w:tab w:val="num" w:pos="1134"/>
        </w:tabs>
        <w:ind w:left="1134" w:hanging="425"/>
      </w:pPr>
      <w:r w:rsidRPr="005B7BC7">
        <w:t xml:space="preserve">any </w:t>
      </w:r>
      <w:r w:rsidR="006421EC" w:rsidRPr="005B7BC7">
        <w:t>t</w:t>
      </w:r>
      <w:r w:rsidRPr="005B7BC7">
        <w:t xml:space="preserve">hird </w:t>
      </w:r>
      <w:r w:rsidR="006421EC" w:rsidRPr="005B7BC7">
        <w:t>p</w:t>
      </w:r>
      <w:r w:rsidRPr="005B7BC7">
        <w:t xml:space="preserve">arty </w:t>
      </w:r>
      <w:r w:rsidR="006421EC" w:rsidRPr="005B7BC7">
        <w:t>i</w:t>
      </w:r>
      <w:r w:rsidRPr="005B7BC7">
        <w:t>ncome</w:t>
      </w:r>
      <w:r w:rsidR="006421EC" w:rsidRPr="005B7BC7">
        <w:t xml:space="preserve"> except </w:t>
      </w:r>
      <w:r w:rsidR="00F96A3A" w:rsidRPr="005B7BC7">
        <w:t xml:space="preserve">for those instances specified in </w:t>
      </w:r>
      <w:r w:rsidR="00051D5C">
        <w:rPr>
          <w:b/>
        </w:rPr>
        <w:t xml:space="preserve">section </w:t>
      </w:r>
      <w:r w:rsidR="00051D5C">
        <w:rPr>
          <w:b/>
        </w:rPr>
        <w:fldChar w:fldCharType="begin"/>
      </w:r>
      <w:r w:rsidR="00051D5C">
        <w:rPr>
          <w:b/>
        </w:rPr>
        <w:instrText xml:space="preserve"> REF _Ref440031924 \r \h </w:instrText>
      </w:r>
      <w:r w:rsidR="00051D5C">
        <w:rPr>
          <w:b/>
        </w:rPr>
      </w:r>
      <w:r w:rsidR="00051D5C">
        <w:rPr>
          <w:b/>
        </w:rPr>
        <w:fldChar w:fldCharType="separate"/>
      </w:r>
      <w:r w:rsidR="007D5E9F">
        <w:rPr>
          <w:b/>
        </w:rPr>
        <w:t>4.3</w:t>
      </w:r>
      <w:r w:rsidR="00051D5C">
        <w:rPr>
          <w:b/>
        </w:rPr>
        <w:fldChar w:fldCharType="end"/>
      </w:r>
      <w:r w:rsidR="00F96A3A" w:rsidRPr="005B7BC7">
        <w:rPr>
          <w:b/>
        </w:rPr>
        <w:t xml:space="preserve"> of Part A </w:t>
      </w:r>
    </w:p>
    <w:p w:rsidR="00805114" w:rsidRPr="005B7BC7" w:rsidRDefault="00805114" w:rsidP="00E4575F">
      <w:pPr>
        <w:pStyle w:val="ListBullet10"/>
        <w:tabs>
          <w:tab w:val="clear" w:pos="360"/>
          <w:tab w:val="num" w:pos="1134"/>
        </w:tabs>
        <w:ind w:left="1134" w:hanging="425"/>
      </w:pPr>
      <w:bookmarkStart w:id="552" w:name="OLE_LINK27"/>
      <w:bookmarkStart w:id="553" w:name="OLE_LINK28"/>
      <w:r w:rsidRPr="005B7BC7">
        <w:t>any scholarships or grants that are provided by the HEP for its own students</w:t>
      </w:r>
    </w:p>
    <w:p w:rsidR="005664B4" w:rsidRPr="005B7BC7" w:rsidRDefault="005664B4" w:rsidP="00E4575F">
      <w:pPr>
        <w:pStyle w:val="ListBullet10"/>
        <w:tabs>
          <w:tab w:val="clear" w:pos="360"/>
          <w:tab w:val="num" w:pos="1134"/>
        </w:tabs>
        <w:ind w:left="1134" w:hanging="425"/>
      </w:pPr>
      <w:r w:rsidRPr="005B7BC7">
        <w:t>income received in respect of fees that h</w:t>
      </w:r>
      <w:r w:rsidR="00775D86" w:rsidRPr="005B7BC7">
        <w:t xml:space="preserve">ave been charged by a HEP to a domestic </w:t>
      </w:r>
      <w:r w:rsidRPr="005B7BC7">
        <w:t>HDR student who has exhausted his/her RTS funding entitlement and has continued his/her enrolment</w:t>
      </w:r>
    </w:p>
    <w:p w:rsidR="005664B4" w:rsidRPr="005B7BC7" w:rsidRDefault="005664B4" w:rsidP="00E4575F">
      <w:pPr>
        <w:pStyle w:val="ListBullet10"/>
        <w:tabs>
          <w:tab w:val="clear" w:pos="360"/>
          <w:tab w:val="num" w:pos="1134"/>
        </w:tabs>
        <w:ind w:left="1134" w:hanging="425"/>
      </w:pPr>
      <w:r w:rsidRPr="005B7BC7">
        <w:t>income received in respect of Commonwealth contributions paid by the Australian Government directly to HEPs for Commonwealth supported places</w:t>
      </w:r>
    </w:p>
    <w:p w:rsidR="00FB27D7" w:rsidRPr="005B7BC7" w:rsidRDefault="00FB27D7" w:rsidP="00E4575F">
      <w:pPr>
        <w:pStyle w:val="ListBullet10"/>
        <w:tabs>
          <w:tab w:val="clear" w:pos="360"/>
          <w:tab w:val="num" w:pos="1134"/>
        </w:tabs>
        <w:ind w:left="1134" w:hanging="425"/>
      </w:pPr>
      <w:r w:rsidRPr="005B7BC7">
        <w:t>income received by honours students</w:t>
      </w:r>
      <w:r w:rsidR="00425061" w:rsidRPr="005B7BC7">
        <w:t>, or by HEPs on behalf of honours students,</w:t>
      </w:r>
      <w:r w:rsidRPr="005B7BC7">
        <w:t xml:space="preserve"> for the research component of their honours degrees</w:t>
      </w:r>
      <w:r w:rsidR="00B163B7" w:rsidRPr="005B7BC7">
        <w:t xml:space="preserve">, including </w:t>
      </w:r>
      <w:r w:rsidR="00425061" w:rsidRPr="005B7BC7">
        <w:t>externally funded scholarships or stipends</w:t>
      </w:r>
    </w:p>
    <w:bookmarkEnd w:id="552"/>
    <w:bookmarkEnd w:id="553"/>
    <w:p w:rsidR="005C4E7C" w:rsidRPr="005B7BC7" w:rsidRDefault="00A838B4" w:rsidP="00E4575F">
      <w:pPr>
        <w:pStyle w:val="ListBullet10"/>
        <w:tabs>
          <w:tab w:val="clear" w:pos="360"/>
          <w:tab w:val="num" w:pos="1134"/>
        </w:tabs>
        <w:ind w:left="1134" w:hanging="425"/>
      </w:pPr>
      <w:r w:rsidRPr="005B7BC7">
        <w:t>in-kind contributions</w:t>
      </w:r>
    </w:p>
    <w:p w:rsidR="005C4E7C" w:rsidRPr="005B7BC7" w:rsidRDefault="00A838B4" w:rsidP="00E4575F">
      <w:pPr>
        <w:pStyle w:val="ListBullet10"/>
        <w:tabs>
          <w:tab w:val="clear" w:pos="360"/>
          <w:tab w:val="num" w:pos="1134"/>
        </w:tabs>
        <w:ind w:left="1134" w:hanging="425"/>
      </w:pPr>
      <w:r w:rsidRPr="005B7BC7">
        <w:t>capital grants</w:t>
      </w:r>
      <w:r w:rsidR="00503E3F">
        <w:rPr>
          <w:rStyle w:val="FootnoteReference"/>
        </w:rPr>
        <w:footnoteReference w:id="10"/>
      </w:r>
      <w:r w:rsidR="005C4E7C" w:rsidRPr="005B7BC7">
        <w:t xml:space="preserve"> </w:t>
      </w:r>
    </w:p>
    <w:p w:rsidR="006A53AC" w:rsidRPr="005B7BC7" w:rsidRDefault="005664B4" w:rsidP="00E4575F">
      <w:pPr>
        <w:pStyle w:val="ListBullet10"/>
        <w:tabs>
          <w:tab w:val="clear" w:pos="360"/>
          <w:tab w:val="num" w:pos="1134"/>
        </w:tabs>
        <w:ind w:left="1134" w:hanging="425"/>
      </w:pPr>
      <w:bookmarkStart w:id="554" w:name="OLE_LINK6"/>
      <w:bookmarkStart w:id="555" w:name="OLE_LINK9"/>
      <w:r w:rsidRPr="005B7BC7">
        <w:t xml:space="preserve">income </w:t>
      </w:r>
      <w:r w:rsidR="006F2F94" w:rsidRPr="005B7BC7">
        <w:t xml:space="preserve">received </w:t>
      </w:r>
      <w:r w:rsidRPr="005B7BC7">
        <w:t xml:space="preserve">from a general or untied grant from an Australian government (whether Commonwealth, state, territory or local) </w:t>
      </w:r>
      <w:r w:rsidR="00054D7A" w:rsidRPr="005B7BC7">
        <w:t>that ca</w:t>
      </w:r>
      <w:r w:rsidR="006F2F94" w:rsidRPr="005B7BC7">
        <w:t xml:space="preserve">nnot be attributed as </w:t>
      </w:r>
      <w:r w:rsidR="00054D7A" w:rsidRPr="005B7BC7">
        <w:t xml:space="preserve">to be expended on the direct costs of conducting research, even if the income was provided for research purposes. HEPs </w:t>
      </w:r>
      <w:r w:rsidR="00054D7A" w:rsidRPr="005B7BC7">
        <w:rPr>
          <w:rStyle w:val="Strong"/>
        </w:rPr>
        <w:t xml:space="preserve">must </w:t>
      </w:r>
      <w:r w:rsidR="009541DF">
        <w:rPr>
          <w:rStyle w:val="Strong"/>
        </w:rPr>
        <w:t>exclude</w:t>
      </w:r>
      <w:r w:rsidR="00054D7A" w:rsidRPr="005B7BC7">
        <w:t xml:space="preserve"> indirect costs of conducting research that are to be expended from the grant </w:t>
      </w:r>
      <w:bookmarkEnd w:id="554"/>
      <w:bookmarkEnd w:id="555"/>
    </w:p>
    <w:p w:rsidR="00054D7A" w:rsidRPr="005B7BC7" w:rsidRDefault="00054D7A" w:rsidP="00E4575F">
      <w:pPr>
        <w:pStyle w:val="ListBullet10"/>
        <w:tabs>
          <w:tab w:val="clear" w:pos="360"/>
          <w:tab w:val="num" w:pos="1134"/>
        </w:tabs>
        <w:ind w:left="1134" w:hanging="425"/>
      </w:pPr>
      <w:r w:rsidRPr="005B7BC7">
        <w:t>income received from government</w:t>
      </w:r>
      <w:r w:rsidR="006F2F94" w:rsidRPr="005B7BC7">
        <w:t xml:space="preserve"> grants that are for </w:t>
      </w:r>
      <w:r w:rsidRPr="005B7BC7">
        <w:t xml:space="preserve">other purposes </w:t>
      </w:r>
      <w:r w:rsidR="00057A74" w:rsidRPr="005B7BC7">
        <w:t xml:space="preserve">which have been specified by the funding source or sponsor </w:t>
      </w:r>
      <w:r w:rsidRPr="005B7BC7">
        <w:t xml:space="preserve">(such as teaching), even if </w:t>
      </w:r>
      <w:r w:rsidR="000E6EFF" w:rsidRPr="005B7BC7">
        <w:t>a proportion of</w:t>
      </w:r>
      <w:r w:rsidRPr="005B7BC7">
        <w:t xml:space="preserve"> income is to be expended on the conduct of r</w:t>
      </w:r>
      <w:r w:rsidR="00057A74" w:rsidRPr="005B7BC7">
        <w:t>esearch</w:t>
      </w:r>
      <w:r w:rsidR="005664B4" w:rsidRPr="005B7BC7">
        <w:t xml:space="preserve"> at the HEP’s discretion</w:t>
      </w:r>
    </w:p>
    <w:p w:rsidR="00054D7A" w:rsidRPr="005B7BC7" w:rsidRDefault="00054D7A" w:rsidP="00E4575F">
      <w:pPr>
        <w:pStyle w:val="ListBullet10"/>
        <w:tabs>
          <w:tab w:val="clear" w:pos="360"/>
          <w:tab w:val="num" w:pos="1134"/>
        </w:tabs>
        <w:ind w:left="1134" w:hanging="425"/>
      </w:pPr>
      <w:r w:rsidRPr="005B7BC7">
        <w:t>income received</w:t>
      </w:r>
      <w:r w:rsidR="005664B4" w:rsidRPr="005B7BC7">
        <w:t xml:space="preserve"> by HEPs from the sale of </w:t>
      </w:r>
      <w:r w:rsidRPr="005B7BC7">
        <w:t>assets, even if that income is to be expended on the conduct of research</w:t>
      </w:r>
      <w:r w:rsidR="005664B4" w:rsidRPr="005B7BC7">
        <w:t xml:space="preserve"> at the HEP’s discretion</w:t>
      </w:r>
    </w:p>
    <w:p w:rsidR="00EA32B0" w:rsidRDefault="00A838B4" w:rsidP="00865B3C">
      <w:pPr>
        <w:pStyle w:val="ListBullet10"/>
        <w:tabs>
          <w:tab w:val="clear" w:pos="360"/>
          <w:tab w:val="num" w:pos="1134"/>
        </w:tabs>
        <w:ind w:left="1134" w:hanging="425"/>
      </w:pPr>
      <w:r w:rsidRPr="005B7BC7">
        <w:t>funds provided specifically for the purpose of hosting, organising or attending</w:t>
      </w:r>
      <w:r w:rsidR="00166728">
        <w:t xml:space="preserve"> </w:t>
      </w:r>
      <w:r w:rsidRPr="005B7BC7">
        <w:t>a conference</w:t>
      </w:r>
      <w:r w:rsidR="007F4A0D" w:rsidRPr="005B7BC7">
        <w:t xml:space="preserve">, </w:t>
      </w:r>
      <w:r w:rsidRPr="005B7BC7">
        <w:t>workshop</w:t>
      </w:r>
      <w:r w:rsidR="007F4A0D" w:rsidRPr="005B7BC7">
        <w:t xml:space="preserve"> or meeting </w:t>
      </w:r>
    </w:p>
    <w:p w:rsidR="00A838B4" w:rsidRPr="005B7BC7" w:rsidRDefault="00A838B4" w:rsidP="00865B3C">
      <w:pPr>
        <w:pStyle w:val="ListBullet10"/>
        <w:tabs>
          <w:tab w:val="clear" w:pos="360"/>
          <w:tab w:val="num" w:pos="1134"/>
        </w:tabs>
        <w:ind w:left="1134" w:hanging="425"/>
      </w:pPr>
      <w:r w:rsidRPr="005B7BC7">
        <w:t>funds provided specifically for the purpose of producing research publications (that is, for publishing research rather than conducting it)</w:t>
      </w:r>
    </w:p>
    <w:p w:rsidR="00A838B4" w:rsidRPr="005B7BC7" w:rsidRDefault="00A838B4" w:rsidP="00E4575F">
      <w:pPr>
        <w:pStyle w:val="ListBullet10"/>
        <w:tabs>
          <w:tab w:val="clear" w:pos="360"/>
          <w:tab w:val="num" w:pos="1134"/>
        </w:tabs>
        <w:ind w:left="1134" w:hanging="425"/>
      </w:pPr>
      <w:r w:rsidRPr="005B7BC7">
        <w:t>consultancy fees for projects that do not meet the definition of research</w:t>
      </w:r>
    </w:p>
    <w:p w:rsidR="00A838B4" w:rsidRPr="005B7BC7" w:rsidRDefault="00A838B4" w:rsidP="00E4575F">
      <w:pPr>
        <w:pStyle w:val="ListBullet10"/>
        <w:tabs>
          <w:tab w:val="clear" w:pos="360"/>
          <w:tab w:val="num" w:pos="1134"/>
        </w:tabs>
        <w:ind w:left="1134" w:hanging="425"/>
      </w:pPr>
      <w:r w:rsidRPr="005B7BC7">
        <w:t>interest income accruing to research grants and contract research grants</w:t>
      </w:r>
    </w:p>
    <w:p w:rsidR="008D0EF6" w:rsidRDefault="00A838B4" w:rsidP="00E4575F">
      <w:pPr>
        <w:pStyle w:val="ListBullet10"/>
        <w:tabs>
          <w:tab w:val="clear" w:pos="360"/>
          <w:tab w:val="num" w:pos="1134"/>
        </w:tabs>
        <w:ind w:left="1134" w:hanging="425"/>
      </w:pPr>
      <w:r w:rsidRPr="005B7BC7">
        <w:t xml:space="preserve">research income received by independent operations which do not meet the definition of a </w:t>
      </w:r>
      <w:r w:rsidR="006F385C" w:rsidRPr="005B7BC7">
        <w:t>s</w:t>
      </w:r>
      <w:r w:rsidRPr="005B7BC7">
        <w:t xml:space="preserve">ubsidiary </w:t>
      </w:r>
    </w:p>
    <w:p w:rsidR="00A838B4" w:rsidRPr="005B7BC7" w:rsidRDefault="00A838B4" w:rsidP="00E4575F">
      <w:pPr>
        <w:pStyle w:val="ListBullet10"/>
        <w:tabs>
          <w:tab w:val="clear" w:pos="360"/>
          <w:tab w:val="num" w:pos="1134"/>
        </w:tabs>
        <w:ind w:left="1134" w:hanging="425"/>
      </w:pPr>
      <w:r w:rsidRPr="005B7BC7">
        <w:t>income provided for preparation for teaching</w:t>
      </w:r>
    </w:p>
    <w:p w:rsidR="00A838B4" w:rsidRPr="005B7BC7" w:rsidRDefault="00A838B4" w:rsidP="00E4575F">
      <w:pPr>
        <w:pStyle w:val="ListBullet10"/>
        <w:keepNext/>
        <w:keepLines/>
        <w:tabs>
          <w:tab w:val="clear" w:pos="360"/>
          <w:tab w:val="num" w:pos="1134"/>
        </w:tabs>
        <w:spacing w:after="120"/>
        <w:ind w:left="1134" w:hanging="425"/>
      </w:pPr>
      <w:r w:rsidRPr="005B7BC7">
        <w:t>funds used for</w:t>
      </w:r>
      <w:r w:rsidR="005C2657" w:rsidRPr="005B7BC7">
        <w:t>:</w:t>
      </w:r>
    </w:p>
    <w:p w:rsidR="00A838B4" w:rsidRPr="005B7BC7" w:rsidRDefault="00A838B4" w:rsidP="00E4575F">
      <w:pPr>
        <w:pStyle w:val="ListBullet31"/>
        <w:keepNext/>
        <w:keepLines/>
        <w:tabs>
          <w:tab w:val="num" w:pos="1134"/>
        </w:tabs>
        <w:ind w:left="1134" w:hanging="425"/>
      </w:pPr>
      <w:r w:rsidRPr="005B7BC7">
        <w:t>scientific and technical information services</w:t>
      </w:r>
    </w:p>
    <w:p w:rsidR="00A838B4" w:rsidRPr="005B7BC7" w:rsidRDefault="00A838B4" w:rsidP="00E4575F">
      <w:pPr>
        <w:pStyle w:val="ListBullet31"/>
        <w:keepNext/>
        <w:keepLines/>
        <w:tabs>
          <w:tab w:val="num" w:pos="1134"/>
        </w:tabs>
        <w:ind w:left="1134" w:hanging="425"/>
      </w:pPr>
      <w:r w:rsidRPr="005B7BC7">
        <w:t>general purpose or routine data collection</w:t>
      </w:r>
    </w:p>
    <w:p w:rsidR="00A838B4" w:rsidRPr="005B7BC7" w:rsidRDefault="00A838B4" w:rsidP="00E4575F">
      <w:pPr>
        <w:pStyle w:val="ListBullet31"/>
        <w:tabs>
          <w:tab w:val="num" w:pos="1134"/>
        </w:tabs>
        <w:ind w:left="1134" w:hanging="425"/>
      </w:pPr>
      <w:r w:rsidRPr="005B7BC7">
        <w:t>standardisation and routine testing</w:t>
      </w:r>
    </w:p>
    <w:p w:rsidR="00A838B4" w:rsidRPr="005B7BC7" w:rsidRDefault="00A838B4" w:rsidP="00E4575F">
      <w:pPr>
        <w:pStyle w:val="ListBullet31"/>
        <w:tabs>
          <w:tab w:val="num" w:pos="1134"/>
        </w:tabs>
        <w:ind w:left="1134" w:hanging="425"/>
      </w:pPr>
      <w:r w:rsidRPr="005B7BC7">
        <w:t>feasibility studies (except into research and experimental development projects)</w:t>
      </w:r>
    </w:p>
    <w:p w:rsidR="00A838B4" w:rsidRPr="005B7BC7" w:rsidRDefault="00A838B4" w:rsidP="00E4575F">
      <w:pPr>
        <w:pStyle w:val="ListBullet31"/>
        <w:tabs>
          <w:tab w:val="num" w:pos="1134"/>
        </w:tabs>
        <w:ind w:left="1134" w:hanging="425"/>
      </w:pPr>
      <w:r w:rsidRPr="005B7BC7">
        <w:t>specialised routine medical care</w:t>
      </w:r>
    </w:p>
    <w:p w:rsidR="004B3A22" w:rsidRPr="005B7BC7" w:rsidRDefault="004B3A22" w:rsidP="00E4575F">
      <w:pPr>
        <w:pStyle w:val="ListBullet31"/>
        <w:tabs>
          <w:tab w:val="num" w:pos="1134"/>
        </w:tabs>
        <w:ind w:left="1134" w:hanging="425"/>
      </w:pPr>
      <w:r w:rsidRPr="005B7BC7">
        <w:lastRenderedPageBreak/>
        <w:t>literature reviews that are predominantly a summary of the current knowledge and findings of a particular research field or topic and do not include any critical assessment or report any new findings or original experimental work</w:t>
      </w:r>
    </w:p>
    <w:p w:rsidR="00A838B4" w:rsidRPr="005B7BC7" w:rsidRDefault="00A838B4" w:rsidP="00E4575F">
      <w:pPr>
        <w:pStyle w:val="ListBullet31"/>
        <w:tabs>
          <w:tab w:val="num" w:pos="1134"/>
        </w:tabs>
        <w:ind w:left="1134" w:hanging="425"/>
      </w:pPr>
      <w:r w:rsidRPr="005B7BC7">
        <w:t>commercial, legal and administrative aspects of patenting, copyright or licensing activities</w:t>
      </w:r>
    </w:p>
    <w:p w:rsidR="005C4E7C" w:rsidRPr="005B7BC7" w:rsidRDefault="00A838B4" w:rsidP="00E4575F">
      <w:pPr>
        <w:pStyle w:val="ListBullet31"/>
        <w:tabs>
          <w:tab w:val="num" w:pos="1134"/>
        </w:tabs>
        <w:ind w:left="1134" w:hanging="425"/>
      </w:pPr>
      <w:r w:rsidRPr="005B7BC7">
        <w:t>routine computer programming, syste</w:t>
      </w:r>
      <w:r w:rsidR="00DD5E7F" w:rsidRPr="005B7BC7">
        <w:t>ms work or software maintenance</w:t>
      </w:r>
    </w:p>
    <w:p w:rsidR="00596105" w:rsidRPr="005B7BC7" w:rsidRDefault="00596105" w:rsidP="00E4575F">
      <w:pPr>
        <w:pStyle w:val="ListBullet31"/>
        <w:numPr>
          <w:ilvl w:val="0"/>
          <w:numId w:val="0"/>
        </w:numPr>
        <w:tabs>
          <w:tab w:val="num" w:pos="1134"/>
        </w:tabs>
        <w:ind w:left="1134" w:hanging="425"/>
      </w:pPr>
    </w:p>
    <w:p w:rsidR="00A315E0" w:rsidRPr="005B7BC7" w:rsidRDefault="00A315E0" w:rsidP="00E4575F">
      <w:pPr>
        <w:pStyle w:val="ListBullet10"/>
        <w:tabs>
          <w:tab w:val="clear" w:pos="360"/>
          <w:tab w:val="num" w:pos="1134"/>
        </w:tabs>
        <w:spacing w:after="120"/>
        <w:ind w:left="1134" w:hanging="425"/>
      </w:pPr>
      <w:r w:rsidRPr="005B7BC7">
        <w:t>Grants or funding from the following Commonwealth programs:</w:t>
      </w:r>
    </w:p>
    <w:p w:rsidR="00A315E0" w:rsidRPr="005B7BC7" w:rsidRDefault="00A315E0" w:rsidP="00E4575F">
      <w:pPr>
        <w:pStyle w:val="ListBullet31"/>
        <w:keepNext/>
        <w:keepLines/>
        <w:tabs>
          <w:tab w:val="num" w:pos="1134"/>
        </w:tabs>
        <w:ind w:left="1134" w:hanging="425"/>
      </w:pPr>
      <w:r w:rsidRPr="005B7BC7">
        <w:t xml:space="preserve">Australian Research Council (ARC) Linkage-Infrastructure, Equipment and Facilities (LIEF) </w:t>
      </w:r>
    </w:p>
    <w:p w:rsidR="00A315E0" w:rsidRPr="005B7BC7" w:rsidRDefault="00A315E0" w:rsidP="00E4575F">
      <w:pPr>
        <w:pStyle w:val="ListBullet31"/>
        <w:keepNext/>
        <w:keepLines/>
        <w:tabs>
          <w:tab w:val="num" w:pos="1134"/>
        </w:tabs>
        <w:ind w:left="1134" w:hanging="425"/>
      </w:pPr>
      <w:r w:rsidRPr="005B7BC7">
        <w:t>Independent Research Institutes Infrastructure Support Scheme (IRIISS) grants</w:t>
      </w:r>
    </w:p>
    <w:p w:rsidR="00A315E0" w:rsidRPr="005B7BC7" w:rsidRDefault="00A315E0" w:rsidP="00E4575F">
      <w:pPr>
        <w:pStyle w:val="ListBullet31"/>
        <w:keepNext/>
        <w:keepLines/>
        <w:tabs>
          <w:tab w:val="num" w:pos="1134"/>
        </w:tabs>
        <w:ind w:left="1134" w:hanging="425"/>
      </w:pPr>
      <w:r w:rsidRPr="005B7BC7">
        <w:t>ARC’s Research Networks scheme</w:t>
      </w:r>
    </w:p>
    <w:p w:rsidR="00A315E0" w:rsidRPr="005B7BC7" w:rsidRDefault="00A315E0" w:rsidP="00E4575F">
      <w:pPr>
        <w:pStyle w:val="ListBullet31"/>
        <w:keepNext/>
        <w:keepLines/>
        <w:tabs>
          <w:tab w:val="num" w:pos="1134"/>
        </w:tabs>
        <w:ind w:left="1134" w:hanging="425"/>
      </w:pPr>
      <w:r w:rsidRPr="005B7BC7">
        <w:t>Commonwealth Grant Scheme (CGS)</w:t>
      </w:r>
    </w:p>
    <w:p w:rsidR="00D618B1" w:rsidRPr="005B7BC7" w:rsidRDefault="00D618B1" w:rsidP="00E4575F">
      <w:pPr>
        <w:pStyle w:val="ListBullet31"/>
        <w:keepNext/>
        <w:keepLines/>
        <w:tabs>
          <w:tab w:val="num" w:pos="1134"/>
        </w:tabs>
        <w:spacing w:after="120"/>
        <w:ind w:left="1134" w:hanging="425"/>
      </w:pPr>
      <w:r w:rsidRPr="005B7BC7">
        <w:t>National Computational Infrastructure</w:t>
      </w:r>
    </w:p>
    <w:p w:rsidR="000E21C0" w:rsidRPr="005B7BC7" w:rsidRDefault="00E85B27" w:rsidP="00E4575F">
      <w:pPr>
        <w:pStyle w:val="ListBullet10"/>
        <w:tabs>
          <w:tab w:val="clear" w:pos="360"/>
          <w:tab w:val="num" w:pos="1134"/>
        </w:tabs>
        <w:spacing w:after="120"/>
        <w:ind w:left="1134" w:hanging="425"/>
      </w:pPr>
      <w:r w:rsidRPr="005B7BC7">
        <w:t>G</w:t>
      </w:r>
      <w:r w:rsidR="00A838B4" w:rsidRPr="005B7BC7">
        <w:t xml:space="preserve">rants from the following </w:t>
      </w:r>
      <w:r w:rsidR="00C67812" w:rsidRPr="005B7BC7">
        <w:t xml:space="preserve">Department of </w:t>
      </w:r>
      <w:r w:rsidR="00DD5E7F" w:rsidRPr="005B7BC7">
        <w:t>Education</w:t>
      </w:r>
      <w:r w:rsidR="00C67812" w:rsidRPr="005B7BC7">
        <w:t xml:space="preserve"> </w:t>
      </w:r>
      <w:r w:rsidR="00A275CB">
        <w:t xml:space="preserve">and Training </w:t>
      </w:r>
      <w:r w:rsidR="00A4799F" w:rsidRPr="005B7BC7">
        <w:t>program</w:t>
      </w:r>
      <w:r w:rsidR="00A838B4" w:rsidRPr="005B7BC7">
        <w:t>s:</w:t>
      </w:r>
    </w:p>
    <w:p w:rsidR="00F96A3A" w:rsidRPr="005B7BC7" w:rsidRDefault="00F96A3A" w:rsidP="00E4575F">
      <w:pPr>
        <w:pStyle w:val="ListBullet31"/>
        <w:keepNext/>
        <w:keepLines/>
        <w:tabs>
          <w:tab w:val="num" w:pos="1134"/>
        </w:tabs>
        <w:ind w:left="1134" w:hanging="425"/>
      </w:pPr>
      <w:r w:rsidRPr="005B7BC7">
        <w:t xml:space="preserve">National Collaborative Research Infrastructure Strategy (NCRIS) </w:t>
      </w:r>
    </w:p>
    <w:p w:rsidR="00F96A3A" w:rsidRPr="005B7BC7" w:rsidRDefault="00F96A3A" w:rsidP="00E4575F">
      <w:pPr>
        <w:pStyle w:val="ListBullet31"/>
        <w:keepNext/>
        <w:keepLines/>
        <w:tabs>
          <w:tab w:val="num" w:pos="1134"/>
        </w:tabs>
        <w:ind w:left="1134" w:hanging="425"/>
      </w:pPr>
      <w:r w:rsidRPr="005B7BC7">
        <w:t>Collaborative Research Infrastructure Scheme (CRIS)</w:t>
      </w:r>
    </w:p>
    <w:p w:rsidR="00F96A3A" w:rsidRPr="005B7BC7" w:rsidRDefault="00F96A3A" w:rsidP="00E4575F">
      <w:pPr>
        <w:pStyle w:val="ListBullet31"/>
        <w:keepNext/>
        <w:keepLines/>
        <w:tabs>
          <w:tab w:val="num" w:pos="1134"/>
        </w:tabs>
        <w:ind w:left="1134" w:hanging="425"/>
      </w:pPr>
      <w:r w:rsidRPr="005B7BC7">
        <w:t xml:space="preserve">the Education Investment Fund (EIF) </w:t>
      </w:r>
    </w:p>
    <w:p w:rsidR="009A2D9C" w:rsidRPr="005B7BC7" w:rsidRDefault="009A2D9C" w:rsidP="00E4575F">
      <w:pPr>
        <w:pStyle w:val="ListBullet31"/>
        <w:tabs>
          <w:tab w:val="num" w:pos="1134"/>
        </w:tabs>
        <w:ind w:left="1134" w:hanging="425"/>
      </w:pPr>
      <w:r w:rsidRPr="005B7BC7">
        <w:t>Research Training Scheme (RTS)</w:t>
      </w:r>
    </w:p>
    <w:p w:rsidR="009A2D9C" w:rsidRPr="005B7BC7" w:rsidRDefault="009A2D9C" w:rsidP="00E4575F">
      <w:pPr>
        <w:pStyle w:val="ListBullet31"/>
        <w:tabs>
          <w:tab w:val="num" w:pos="1134"/>
        </w:tabs>
        <w:ind w:left="1134" w:hanging="425"/>
      </w:pPr>
      <w:r w:rsidRPr="005B7BC7">
        <w:t>Joint Research Engagement (JRE)</w:t>
      </w:r>
    </w:p>
    <w:p w:rsidR="009A2D9C" w:rsidRPr="005B7BC7" w:rsidRDefault="009A2D9C" w:rsidP="00E4575F">
      <w:pPr>
        <w:pStyle w:val="ListBullet31"/>
        <w:tabs>
          <w:tab w:val="num" w:pos="1134"/>
        </w:tabs>
        <w:ind w:left="1134" w:hanging="425"/>
      </w:pPr>
      <w:r w:rsidRPr="005B7BC7">
        <w:t>Sustainable Research Excellence (SRE)</w:t>
      </w:r>
    </w:p>
    <w:p w:rsidR="009A2D9C" w:rsidRPr="005B7BC7" w:rsidRDefault="009A2D9C" w:rsidP="00E4575F">
      <w:pPr>
        <w:pStyle w:val="ListBullet31"/>
        <w:tabs>
          <w:tab w:val="num" w:pos="1134"/>
        </w:tabs>
        <w:ind w:left="1134" w:hanging="425"/>
      </w:pPr>
      <w:r w:rsidRPr="005B7BC7">
        <w:t>Research Infrastructure Block Grants (RIBG)</w:t>
      </w:r>
    </w:p>
    <w:p w:rsidR="00A838B4" w:rsidRPr="005B7BC7" w:rsidRDefault="00A838B4" w:rsidP="00E4575F">
      <w:pPr>
        <w:pStyle w:val="ListBullet31"/>
        <w:tabs>
          <w:tab w:val="num" w:pos="1134"/>
        </w:tabs>
        <w:ind w:left="1134" w:hanging="425"/>
      </w:pPr>
      <w:r w:rsidRPr="005B7BC7">
        <w:t>Australian Postgraduate Awards (APA)</w:t>
      </w:r>
    </w:p>
    <w:p w:rsidR="00A838B4" w:rsidRPr="005B7BC7" w:rsidRDefault="00A838B4" w:rsidP="00E4575F">
      <w:pPr>
        <w:pStyle w:val="ListBullet31"/>
        <w:tabs>
          <w:tab w:val="num" w:pos="1134"/>
        </w:tabs>
        <w:ind w:left="1134" w:hanging="425"/>
      </w:pPr>
      <w:r w:rsidRPr="005B7BC7">
        <w:t>International Postgraduate Research Sch</w:t>
      </w:r>
      <w:r w:rsidR="006977D2" w:rsidRPr="005B7BC7">
        <w:t>olarships</w:t>
      </w:r>
      <w:r w:rsidRPr="005B7BC7">
        <w:t xml:space="preserve"> (IPRS)</w:t>
      </w:r>
    </w:p>
    <w:p w:rsidR="009573FF" w:rsidRPr="005B7BC7" w:rsidRDefault="009573FF" w:rsidP="00E4575F">
      <w:pPr>
        <w:pStyle w:val="ListBullet31"/>
        <w:tabs>
          <w:tab w:val="num" w:pos="1134"/>
        </w:tabs>
        <w:spacing w:after="240"/>
        <w:ind w:left="1134" w:hanging="425"/>
      </w:pPr>
      <w:r w:rsidRPr="005B7BC7">
        <w:t>Collaborative Research Networks (CRN)</w:t>
      </w:r>
    </w:p>
    <w:p w:rsidR="008725C8" w:rsidRPr="005B7BC7" w:rsidRDefault="008C0560" w:rsidP="0039518B">
      <w:pPr>
        <w:pStyle w:val="Heading2"/>
        <w:numPr>
          <w:ilvl w:val="1"/>
          <w:numId w:val="5"/>
        </w:numPr>
        <w:spacing w:before="240"/>
      </w:pPr>
      <w:bookmarkStart w:id="556" w:name="_7.4_Research_Income"/>
      <w:bookmarkStart w:id="557" w:name="_Toc168817209"/>
      <w:bookmarkStart w:id="558" w:name="_Toc168824828"/>
      <w:bookmarkStart w:id="559" w:name="_Research_Income_Categories"/>
      <w:bookmarkStart w:id="560" w:name="_Toc406668877"/>
      <w:bookmarkStart w:id="561" w:name="_Toc440030057"/>
      <w:bookmarkStart w:id="562" w:name="_Ref440031869"/>
      <w:bookmarkStart w:id="563" w:name="_Ref440031896"/>
      <w:bookmarkStart w:id="564" w:name="_Ref440031924"/>
      <w:bookmarkStart w:id="565" w:name="_Toc116182985"/>
      <w:bookmarkStart w:id="566" w:name="_Ref117398489"/>
      <w:bookmarkStart w:id="567" w:name="_Ref117485216"/>
      <w:bookmarkStart w:id="568" w:name="_Ref117485539"/>
      <w:bookmarkStart w:id="569" w:name="_Ref124324157"/>
      <w:bookmarkStart w:id="570" w:name="_Ref216077473"/>
      <w:bookmarkStart w:id="571" w:name="_Ref217291601"/>
      <w:bookmarkStart w:id="572" w:name="_Toc251924128"/>
      <w:bookmarkStart w:id="573" w:name="_Toc96678060"/>
      <w:bookmarkStart w:id="574" w:name="_Toc112733803"/>
      <w:bookmarkStart w:id="575" w:name="_Toc112734013"/>
      <w:bookmarkStart w:id="576" w:name="_Ref114289192"/>
      <w:bookmarkStart w:id="577" w:name="_Toc87171321"/>
      <w:bookmarkStart w:id="578" w:name="OLE_LINK8"/>
      <w:bookmarkStart w:id="579" w:name="_Toc87171317"/>
      <w:bookmarkStart w:id="580" w:name="_Toc96678056"/>
      <w:bookmarkStart w:id="581" w:name="_Toc112733799"/>
      <w:bookmarkStart w:id="582" w:name="_Toc112734009"/>
      <w:bookmarkEnd w:id="556"/>
      <w:bookmarkEnd w:id="557"/>
      <w:bookmarkEnd w:id="558"/>
      <w:bookmarkEnd w:id="559"/>
      <w:r w:rsidRPr="0039518B">
        <w:rPr>
          <w:rStyle w:val="Strong"/>
          <w:b/>
        </w:rPr>
        <w:t>Income involving other parties</w:t>
      </w:r>
      <w:bookmarkEnd w:id="560"/>
      <w:bookmarkEnd w:id="561"/>
      <w:bookmarkEnd w:id="562"/>
      <w:bookmarkEnd w:id="563"/>
      <w:bookmarkEnd w:id="564"/>
    </w:p>
    <w:p w:rsidR="0040346A" w:rsidRPr="005B7BC7" w:rsidRDefault="0040346A" w:rsidP="00D84D54">
      <w:pPr>
        <w:tabs>
          <w:tab w:val="left" w:pos="284"/>
        </w:tabs>
      </w:pPr>
      <w:r w:rsidRPr="0039518B">
        <w:rPr>
          <w:b/>
        </w:rPr>
        <w:t>Third party income</w:t>
      </w:r>
    </w:p>
    <w:p w:rsidR="0040346A" w:rsidRPr="005B7BC7" w:rsidRDefault="0040346A">
      <w:pPr>
        <w:tabs>
          <w:tab w:val="left" w:pos="284"/>
        </w:tabs>
      </w:pPr>
    </w:p>
    <w:p w:rsidR="00EC75BD" w:rsidRPr="005B7BC7" w:rsidRDefault="00EC75BD">
      <w:pPr>
        <w:tabs>
          <w:tab w:val="left" w:pos="284"/>
        </w:tabs>
      </w:pPr>
      <w:r w:rsidRPr="005B7BC7">
        <w:t xml:space="preserve">Net receipted income is intended to identify only the income that a HEP (or its subsidiary) receives for its own research activities. </w:t>
      </w:r>
    </w:p>
    <w:p w:rsidR="00EC75BD" w:rsidRPr="005B7BC7" w:rsidRDefault="00EC75BD">
      <w:pPr>
        <w:tabs>
          <w:tab w:val="left" w:pos="284"/>
        </w:tabs>
      </w:pPr>
    </w:p>
    <w:p w:rsidR="00C62F1E" w:rsidRPr="005B7BC7" w:rsidRDefault="00EC75BD">
      <w:pPr>
        <w:tabs>
          <w:tab w:val="left" w:pos="284"/>
        </w:tabs>
      </w:pPr>
      <w:r w:rsidRPr="005B7BC7">
        <w:t>Research income administered by a HEP on behalf of a third party research organisation where the third party conducts the research independently of the HEP, must be excluded.</w:t>
      </w:r>
    </w:p>
    <w:p w:rsidR="00EC75BD" w:rsidRPr="005B7BC7" w:rsidRDefault="00EC75BD"/>
    <w:p w:rsidR="006277DB" w:rsidRPr="005B7BC7" w:rsidRDefault="006277DB">
      <w:pPr>
        <w:tabs>
          <w:tab w:val="left" w:pos="284"/>
        </w:tabs>
      </w:pPr>
      <w:r w:rsidRPr="005B7BC7">
        <w:t>Exceptions to this rule are:</w:t>
      </w:r>
    </w:p>
    <w:p w:rsidR="006277DB" w:rsidRPr="005B7BC7" w:rsidRDefault="00E85B27" w:rsidP="00D84D54">
      <w:pPr>
        <w:pStyle w:val="ListBullet"/>
        <w:numPr>
          <w:ilvl w:val="0"/>
          <w:numId w:val="78"/>
        </w:numPr>
      </w:pPr>
      <w:r w:rsidRPr="005B7BC7">
        <w:t xml:space="preserve">where the third party is a subsidiary of the HEP </w:t>
      </w:r>
    </w:p>
    <w:p w:rsidR="00D84D54" w:rsidRDefault="006277DB" w:rsidP="00D84D54">
      <w:pPr>
        <w:pStyle w:val="ListBullet"/>
        <w:numPr>
          <w:ilvl w:val="0"/>
          <w:numId w:val="78"/>
        </w:numPr>
      </w:pPr>
      <w:r w:rsidRPr="005B7BC7">
        <w:t>where the third party is an affiliate of the HEP</w:t>
      </w:r>
    </w:p>
    <w:p w:rsidR="008C0560" w:rsidRPr="005B7BC7" w:rsidRDefault="00E85B27" w:rsidP="00D84D54">
      <w:pPr>
        <w:pStyle w:val="ListBullet"/>
        <w:numPr>
          <w:ilvl w:val="0"/>
          <w:numId w:val="78"/>
        </w:numPr>
      </w:pPr>
      <w:r w:rsidRPr="005B7BC7">
        <w:t>where a HEP has made payments to a third party for goods and services in support of the</w:t>
      </w:r>
      <w:r w:rsidR="00D84D54">
        <w:t xml:space="preserve"> </w:t>
      </w:r>
      <w:r w:rsidRPr="005B7BC7">
        <w:t>conduct of research under the control of the HEP</w:t>
      </w:r>
    </w:p>
    <w:p w:rsidR="00875AFA" w:rsidRDefault="00875AFA" w:rsidP="00875AFA">
      <w:pPr>
        <w:tabs>
          <w:tab w:val="left" w:pos="284"/>
        </w:tabs>
      </w:pPr>
      <w:r>
        <w:t xml:space="preserve">Where HEPs have entered into formal employment arrangements with researchers in affiliated or partner organisations (external to the HEP), income that can be reported must be net receipted income and commensurable with the employment arrangements. </w:t>
      </w:r>
    </w:p>
    <w:p w:rsidR="00875AFA" w:rsidRDefault="00875AFA" w:rsidP="00875AFA">
      <w:pPr>
        <w:tabs>
          <w:tab w:val="left" w:pos="284"/>
        </w:tabs>
      </w:pPr>
    </w:p>
    <w:p w:rsidR="00875AFA" w:rsidRDefault="00875AFA" w:rsidP="00875AFA">
      <w:pPr>
        <w:tabs>
          <w:tab w:val="left" w:pos="284"/>
        </w:tabs>
      </w:pPr>
      <w:r>
        <w:t xml:space="preserve">However, HEPs can report the total amount of income for a research project - even if the researcher(s) conducting the research project is partially employed by the HEP (i.e. the HEP pays a proportion of salary direct to the researcher or there is a formal legal relationship or agreement which covers employment) - as long as the HEP is the grant recipient and where that total amount of income is net receipted income (i.e. received, retained in the HEP’s accounting system and verified in the HEP’s audited financial statements). </w:t>
      </w:r>
    </w:p>
    <w:p w:rsidR="00875AFA" w:rsidRDefault="00875AFA" w:rsidP="00875AFA">
      <w:pPr>
        <w:tabs>
          <w:tab w:val="left" w:pos="284"/>
        </w:tabs>
      </w:pPr>
    </w:p>
    <w:p w:rsidR="00A75493" w:rsidRDefault="00875AFA" w:rsidP="00875AFA">
      <w:pPr>
        <w:tabs>
          <w:tab w:val="left" w:pos="284"/>
        </w:tabs>
      </w:pPr>
      <w:r>
        <w:t xml:space="preserve">Employment arrangements must be bona fide. HEPs must exclude that research income which is subject to cost reimbursement arrangements with affiliates or partner organisations (i.e. to reimburse </w:t>
      </w:r>
      <w:r>
        <w:lastRenderedPageBreak/>
        <w:t>research costs, including researcher salaries) which are not explicitly covered within a formal legal relationship between the HEP and the external organisation.</w:t>
      </w:r>
    </w:p>
    <w:p w:rsidR="00080EDC" w:rsidRDefault="00080EDC" w:rsidP="00875AFA">
      <w:pPr>
        <w:tabs>
          <w:tab w:val="left" w:pos="284"/>
        </w:tabs>
      </w:pPr>
    </w:p>
    <w:p w:rsidR="007F1082" w:rsidRDefault="009541DF" w:rsidP="00875AFA">
      <w:pPr>
        <w:tabs>
          <w:tab w:val="left" w:pos="284"/>
        </w:tabs>
      </w:pPr>
      <w:r>
        <w:t>Any third party a</w:t>
      </w:r>
      <w:r w:rsidR="00080EDC">
        <w:t>ffiliate income</w:t>
      </w:r>
      <w:r>
        <w:t xml:space="preserve"> reported in accordance with section 4.3 and</w:t>
      </w:r>
      <w:r w:rsidR="00080EDC">
        <w:t xml:space="preserve"> </w:t>
      </w:r>
      <w:r>
        <w:t xml:space="preserve">included in a HEP’s Research Income Return </w:t>
      </w:r>
      <w:r w:rsidR="00080EDC">
        <w:t xml:space="preserve">must be reported </w:t>
      </w:r>
      <w:r w:rsidR="006D0D15">
        <w:t>separately</w:t>
      </w:r>
      <w:r w:rsidR="00080EDC">
        <w:t xml:space="preserve"> </w:t>
      </w:r>
      <w:r>
        <w:t>from</w:t>
      </w:r>
      <w:r w:rsidR="00080EDC">
        <w:t xml:space="preserve"> </w:t>
      </w:r>
      <w:r w:rsidR="006D0D15">
        <w:t xml:space="preserve">other </w:t>
      </w:r>
      <w:r w:rsidR="007F1082">
        <w:t>u</w:t>
      </w:r>
      <w:r w:rsidR="00080EDC">
        <w:t xml:space="preserve">niversity income </w:t>
      </w:r>
      <w:r>
        <w:t>in</w:t>
      </w:r>
      <w:r w:rsidR="00080EDC">
        <w:t xml:space="preserve"> the 201</w:t>
      </w:r>
      <w:r w:rsidR="000E2B12">
        <w:t>7</w:t>
      </w:r>
      <w:r w:rsidR="00080EDC">
        <w:t xml:space="preserve"> </w:t>
      </w:r>
      <w:r w:rsidR="0021474E">
        <w:t>return</w:t>
      </w:r>
      <w:r w:rsidR="00080EDC">
        <w:t>.</w:t>
      </w:r>
      <w:r w:rsidR="00641868">
        <w:t xml:space="preserve"> </w:t>
      </w:r>
      <w:r w:rsidR="00641868" w:rsidRPr="0068015B">
        <w:t>HEPs should report all eligible income in the ‘university’ column of the form except any income reported in accordance with section 4.3 of this specification.</w:t>
      </w:r>
      <w:r w:rsidR="00080EDC">
        <w:t xml:space="preserve"> </w:t>
      </w:r>
    </w:p>
    <w:p w:rsidR="00A60895" w:rsidRDefault="00A60895" w:rsidP="00C14BA3">
      <w:pPr>
        <w:tabs>
          <w:tab w:val="left" w:pos="284"/>
        </w:tabs>
      </w:pPr>
    </w:p>
    <w:p w:rsidR="0040346A" w:rsidRPr="005B7BC7" w:rsidRDefault="0040346A" w:rsidP="0039518B">
      <w:pPr>
        <w:rPr>
          <w:b/>
        </w:rPr>
      </w:pPr>
      <w:r w:rsidRPr="005B7BC7">
        <w:rPr>
          <w:b/>
        </w:rPr>
        <w:t xml:space="preserve">Shared income </w:t>
      </w:r>
    </w:p>
    <w:p w:rsidR="0040346A" w:rsidRPr="005B7BC7" w:rsidRDefault="0040346A" w:rsidP="0039518B">
      <w:pPr>
        <w:pStyle w:val="ListBullet10"/>
        <w:numPr>
          <w:ilvl w:val="0"/>
          <w:numId w:val="0"/>
        </w:numPr>
        <w:rPr>
          <w:b/>
        </w:rPr>
      </w:pPr>
    </w:p>
    <w:p w:rsidR="004A0D2D" w:rsidRPr="005B7BC7" w:rsidRDefault="004A0D2D" w:rsidP="0039518B">
      <w:pPr>
        <w:pStyle w:val="ListBullet10"/>
        <w:numPr>
          <w:ilvl w:val="0"/>
          <w:numId w:val="0"/>
        </w:numPr>
      </w:pPr>
      <w:r w:rsidRPr="005B7BC7">
        <w:t xml:space="preserve">A grant is considered shared research income if a component of the grant is passed from the primary recipient to another party, where that party is named in the contract/agreement for the grant or tender/application for funding. A party may be a HEP, the staff of a HEP, or another research performing organisation. </w:t>
      </w:r>
    </w:p>
    <w:p w:rsidR="004A0D2D" w:rsidRPr="005B7BC7" w:rsidRDefault="004A0D2D" w:rsidP="004A0D2D">
      <w:pPr>
        <w:pStyle w:val="ListBullet10"/>
        <w:numPr>
          <w:ilvl w:val="0"/>
          <w:numId w:val="0"/>
        </w:numPr>
      </w:pPr>
    </w:p>
    <w:p w:rsidR="00596105" w:rsidRPr="005B7BC7" w:rsidRDefault="005E1D63" w:rsidP="0039518B">
      <w:pPr>
        <w:pStyle w:val="ListBullet10"/>
        <w:numPr>
          <w:ilvl w:val="0"/>
          <w:numId w:val="0"/>
        </w:numPr>
      </w:pPr>
      <w:r w:rsidRPr="005B7BC7">
        <w:t>HEP</w:t>
      </w:r>
      <w:r w:rsidR="0040346A" w:rsidRPr="005B7BC7">
        <w:t>s can only report the income receive</w:t>
      </w:r>
      <w:r w:rsidR="007419F8" w:rsidRPr="005B7BC7">
        <w:t>d</w:t>
      </w:r>
      <w:r w:rsidR="0040346A" w:rsidRPr="005B7BC7">
        <w:t xml:space="preserve"> or retain</w:t>
      </w:r>
      <w:r w:rsidR="007419F8" w:rsidRPr="005B7BC7">
        <w:t>ed</w:t>
      </w:r>
      <w:r w:rsidR="0040346A" w:rsidRPr="005B7BC7">
        <w:t xml:space="preserve"> following the distribution of shared research income. </w:t>
      </w:r>
      <w:r w:rsidR="00C27D9C" w:rsidRPr="005B7BC7">
        <w:t xml:space="preserve"> </w:t>
      </w:r>
    </w:p>
    <w:p w:rsidR="007764D0" w:rsidRPr="00D84D54" w:rsidRDefault="007764D0" w:rsidP="0039518B">
      <w:pPr>
        <w:pStyle w:val="BodyText21"/>
        <w:pBdr>
          <w:top w:val="single" w:sz="4" w:space="1" w:color="auto"/>
          <w:left w:val="single" w:sz="4" w:space="4" w:color="auto"/>
          <w:bottom w:val="single" w:sz="4" w:space="1" w:color="auto"/>
          <w:right w:val="single" w:sz="4" w:space="4" w:color="auto"/>
        </w:pBdr>
        <w:ind w:left="0"/>
        <w:rPr>
          <w:b/>
        </w:rPr>
      </w:pPr>
      <w:r w:rsidRPr="00D84D54">
        <w:rPr>
          <w:b/>
        </w:rPr>
        <w:t>E</w:t>
      </w:r>
      <w:r w:rsidR="00BA715C" w:rsidRPr="00D84D54">
        <w:rPr>
          <w:b/>
        </w:rPr>
        <w:t>xampl</w:t>
      </w:r>
      <w:r w:rsidRPr="00D84D54">
        <w:rPr>
          <w:b/>
        </w:rPr>
        <w:t>e</w:t>
      </w:r>
      <w:r w:rsidR="00BA715C" w:rsidRPr="00D84D54">
        <w:rPr>
          <w:b/>
        </w:rPr>
        <w:t xml:space="preserve"> </w:t>
      </w:r>
    </w:p>
    <w:p w:rsidR="00474678" w:rsidRPr="005B7BC7" w:rsidRDefault="007764D0" w:rsidP="0039518B">
      <w:pPr>
        <w:pStyle w:val="BodyText21"/>
        <w:pBdr>
          <w:top w:val="single" w:sz="4" w:space="1" w:color="auto"/>
          <w:left w:val="single" w:sz="4" w:space="4" w:color="auto"/>
          <w:bottom w:val="single" w:sz="4" w:space="1" w:color="auto"/>
          <w:right w:val="single" w:sz="4" w:space="4" w:color="auto"/>
        </w:pBdr>
        <w:ind w:left="0"/>
      </w:pPr>
      <w:r>
        <w:t>W</w:t>
      </w:r>
      <w:r w:rsidR="00474678" w:rsidRPr="005B7BC7">
        <w:t xml:space="preserve">here a shared research income grant exists, </w:t>
      </w:r>
      <w:r w:rsidR="00BA715C" w:rsidRPr="005B7BC7">
        <w:t xml:space="preserve">if HEP A receives a grant of $50,000 of which $20,000 is transferred to HEP B, HEP A should report $30,000 and HEP B $20,000. </w:t>
      </w:r>
    </w:p>
    <w:p w:rsidR="00275FE9" w:rsidRDefault="00275FE9" w:rsidP="00A91DD7">
      <w:pPr>
        <w:pStyle w:val="Heading2"/>
        <w:numPr>
          <w:ilvl w:val="1"/>
          <w:numId w:val="5"/>
        </w:numPr>
      </w:pPr>
      <w:bookmarkStart w:id="583" w:name="_Toc440030058"/>
      <w:bookmarkStart w:id="584" w:name="_Ref440031911"/>
      <w:bookmarkStart w:id="585" w:name="_Toc406668880"/>
      <w:r>
        <w:t>Transfers</w:t>
      </w:r>
      <w:bookmarkEnd w:id="583"/>
      <w:bookmarkEnd w:id="584"/>
    </w:p>
    <w:p w:rsidR="00275FE9" w:rsidRPr="00A84EBB" w:rsidRDefault="00275FE9" w:rsidP="00A91DD7">
      <w:pPr>
        <w:pStyle w:val="BodyText1"/>
      </w:pPr>
      <w:r w:rsidRPr="00A84EBB">
        <w:t>Where staff transfer into, exit from, or move between HEPs and carry research grant funding with them, this must be reflected in adjustments to the affected HEPs’ income returns.</w:t>
      </w:r>
    </w:p>
    <w:p w:rsidR="005E7F83" w:rsidRPr="005B7BC7" w:rsidRDefault="00CE30BB" w:rsidP="00477661">
      <w:pPr>
        <w:pStyle w:val="Heading2"/>
        <w:numPr>
          <w:ilvl w:val="1"/>
          <w:numId w:val="5"/>
        </w:numPr>
      </w:pPr>
      <w:bookmarkStart w:id="586" w:name="_Toc437848425"/>
      <w:bookmarkStart w:id="587" w:name="_Toc437848480"/>
      <w:bookmarkStart w:id="588" w:name="_Toc437848520"/>
      <w:bookmarkStart w:id="589" w:name="_Toc437848595"/>
      <w:bookmarkStart w:id="590" w:name="_Toc437850666"/>
      <w:bookmarkStart w:id="591" w:name="_Toc437850742"/>
      <w:bookmarkStart w:id="592" w:name="_Toc437850817"/>
      <w:bookmarkStart w:id="593" w:name="_Toc437851170"/>
      <w:bookmarkStart w:id="594" w:name="_Toc440030059"/>
      <w:bookmarkEnd w:id="586"/>
      <w:bookmarkEnd w:id="587"/>
      <w:bookmarkEnd w:id="588"/>
      <w:bookmarkEnd w:id="589"/>
      <w:bookmarkEnd w:id="590"/>
      <w:bookmarkEnd w:id="591"/>
      <w:bookmarkEnd w:id="592"/>
      <w:bookmarkEnd w:id="593"/>
      <w:r w:rsidRPr="005B7BC7">
        <w:t>Research i</w:t>
      </w:r>
      <w:r w:rsidR="005E7F83" w:rsidRPr="005B7BC7">
        <w:t xml:space="preserve">ncome </w:t>
      </w:r>
      <w:r w:rsidRPr="005B7BC7">
        <w:t>c</w:t>
      </w:r>
      <w:r w:rsidR="005E7F83" w:rsidRPr="005B7BC7">
        <w:t>ategories</w:t>
      </w:r>
      <w:bookmarkEnd w:id="585"/>
      <w:bookmarkEnd w:id="594"/>
    </w:p>
    <w:bookmarkEnd w:id="565"/>
    <w:bookmarkEnd w:id="566"/>
    <w:bookmarkEnd w:id="567"/>
    <w:bookmarkEnd w:id="568"/>
    <w:bookmarkEnd w:id="569"/>
    <w:bookmarkEnd w:id="570"/>
    <w:bookmarkEnd w:id="571"/>
    <w:bookmarkEnd w:id="572"/>
    <w:bookmarkEnd w:id="573"/>
    <w:bookmarkEnd w:id="574"/>
    <w:bookmarkEnd w:id="575"/>
    <w:bookmarkEnd w:id="576"/>
    <w:p w:rsidR="00A838B4" w:rsidRPr="005B7BC7" w:rsidRDefault="00A838B4" w:rsidP="00DD5E7F">
      <w:pPr>
        <w:pStyle w:val="BodyText1"/>
        <w:spacing w:after="120"/>
      </w:pPr>
      <w:r w:rsidRPr="005B7BC7">
        <w:t xml:space="preserve">HEPs must enter all research income into Research Income </w:t>
      </w:r>
      <w:r w:rsidR="00953974" w:rsidRPr="005B7BC7">
        <w:t xml:space="preserve">Return - </w:t>
      </w:r>
      <w:r w:rsidR="00AC1F8D" w:rsidRPr="005B7BC7">
        <w:t>R</w:t>
      </w:r>
      <w:r w:rsidRPr="005B7BC7">
        <w:t xml:space="preserve">eturn 1 according to the </w:t>
      </w:r>
      <w:r w:rsidR="00727075" w:rsidRPr="005B7BC7">
        <w:t xml:space="preserve">following </w:t>
      </w:r>
      <w:r w:rsidRPr="005B7BC7">
        <w:t>four categories:</w:t>
      </w:r>
    </w:p>
    <w:p w:rsidR="00A838B4" w:rsidRPr="005B7BC7" w:rsidRDefault="00A838B4" w:rsidP="00C91F64">
      <w:pPr>
        <w:pStyle w:val="ListBullet10"/>
      </w:pPr>
      <w:r w:rsidRPr="005B7BC7">
        <w:t xml:space="preserve">Category 1: Australian </w:t>
      </w:r>
      <w:r w:rsidR="004D4C40" w:rsidRPr="005B7BC7">
        <w:t>c</w:t>
      </w:r>
      <w:r w:rsidRPr="005B7BC7">
        <w:t xml:space="preserve">ompetitive </w:t>
      </w:r>
      <w:r w:rsidR="004D4C40" w:rsidRPr="005B7BC7">
        <w:t>g</w:t>
      </w:r>
      <w:r w:rsidRPr="005B7BC7">
        <w:t>rants</w:t>
      </w:r>
    </w:p>
    <w:p w:rsidR="00A838B4" w:rsidRPr="005B7BC7" w:rsidRDefault="00A838B4" w:rsidP="00C91F64">
      <w:pPr>
        <w:pStyle w:val="ListBullet10"/>
      </w:pPr>
      <w:r w:rsidRPr="005B7BC7">
        <w:t xml:space="preserve">Category 2: Other </w:t>
      </w:r>
      <w:r w:rsidR="004D4C40" w:rsidRPr="005B7BC7">
        <w:t>p</w:t>
      </w:r>
      <w:r w:rsidRPr="005B7BC7">
        <w:t xml:space="preserve">ublic </w:t>
      </w:r>
      <w:r w:rsidR="004D4C40" w:rsidRPr="005B7BC7">
        <w:t>s</w:t>
      </w:r>
      <w:r w:rsidRPr="005B7BC7">
        <w:t xml:space="preserve">ector </w:t>
      </w:r>
      <w:r w:rsidR="004D4C40" w:rsidRPr="005B7BC7">
        <w:t>r</w:t>
      </w:r>
      <w:r w:rsidRPr="005B7BC7">
        <w:t xml:space="preserve">esearch </w:t>
      </w:r>
      <w:r w:rsidR="004D4C40" w:rsidRPr="005B7BC7">
        <w:t>i</w:t>
      </w:r>
      <w:r w:rsidRPr="005B7BC7">
        <w:t>ncome</w:t>
      </w:r>
    </w:p>
    <w:p w:rsidR="00A838B4" w:rsidRPr="005B7BC7" w:rsidRDefault="00A838B4" w:rsidP="00C91F64">
      <w:pPr>
        <w:pStyle w:val="ListBullet10"/>
      </w:pPr>
      <w:r w:rsidRPr="005B7BC7">
        <w:t xml:space="preserve">Category 3: Industry and </w:t>
      </w:r>
      <w:r w:rsidR="004D4C40" w:rsidRPr="005B7BC7">
        <w:t>o</w:t>
      </w:r>
      <w:r w:rsidRPr="005B7BC7">
        <w:t xml:space="preserve">ther </w:t>
      </w:r>
      <w:r w:rsidR="004D4C40" w:rsidRPr="005B7BC7">
        <w:t>r</w:t>
      </w:r>
      <w:r w:rsidRPr="005B7BC7">
        <w:t xml:space="preserve">esearch </w:t>
      </w:r>
      <w:r w:rsidR="004D4C40" w:rsidRPr="005B7BC7">
        <w:t>i</w:t>
      </w:r>
      <w:r w:rsidRPr="005B7BC7">
        <w:t>ncome</w:t>
      </w:r>
    </w:p>
    <w:p w:rsidR="00860AB9" w:rsidRPr="005B7BC7" w:rsidRDefault="00A838B4" w:rsidP="00C91F64">
      <w:pPr>
        <w:pStyle w:val="ListBullet10"/>
      </w:pPr>
      <w:r w:rsidRPr="005B7BC7">
        <w:t xml:space="preserve">Category 4: CRC </w:t>
      </w:r>
      <w:r w:rsidR="004D4C40" w:rsidRPr="005B7BC7">
        <w:t>r</w:t>
      </w:r>
      <w:r w:rsidRPr="005B7BC7">
        <w:t xml:space="preserve">esearch </w:t>
      </w:r>
      <w:r w:rsidR="004D4C40" w:rsidRPr="005B7BC7">
        <w:t>i</w:t>
      </w:r>
      <w:r w:rsidRPr="005B7BC7">
        <w:t>ncome</w:t>
      </w:r>
      <w:r w:rsidR="00860AB9" w:rsidRPr="005B7BC7">
        <w:t xml:space="preserve"> (</w:t>
      </w:r>
      <w:r w:rsidR="00860AB9" w:rsidRPr="005B7BC7">
        <w:rPr>
          <w:rStyle w:val="Strong"/>
        </w:rPr>
        <w:t>Part B)</w:t>
      </w:r>
    </w:p>
    <w:p w:rsidR="007419F8" w:rsidRPr="005B7BC7" w:rsidRDefault="006176DB" w:rsidP="0039518B">
      <w:pPr>
        <w:pStyle w:val="BodyText21"/>
        <w:tabs>
          <w:tab w:val="num" w:pos="284"/>
        </w:tabs>
        <w:ind w:left="0"/>
      </w:pPr>
      <w:r w:rsidRPr="005B7BC7">
        <w:t xml:space="preserve">There is </w:t>
      </w:r>
      <w:r w:rsidR="007419F8" w:rsidRPr="005B7BC7">
        <w:t>no</w:t>
      </w:r>
      <w:r w:rsidRPr="005B7BC7">
        <w:t xml:space="preserve"> separate category for income received through shared research arrangements. Shared research income should be assigned to the appropriate reporting category (according to the original source of the income).</w:t>
      </w:r>
    </w:p>
    <w:p w:rsidR="007419F8" w:rsidRPr="005B7BC7" w:rsidRDefault="007419F8" w:rsidP="0039518B">
      <w:pPr>
        <w:pStyle w:val="BodyText21"/>
        <w:tabs>
          <w:tab w:val="num" w:pos="284"/>
        </w:tabs>
        <w:ind w:left="0"/>
      </w:pPr>
      <w:r w:rsidRPr="005B7BC7">
        <w:t>HEPs are to manage the categorisation of research income correctly. It is suggested that HEPs nominate the appropriate HERDC income category (or categories) at the time that funding agreements, grants or contracts are executed. HEP faculties or departments should be provided with this information to help ensure that all income is coded to the correct HERDC income category for the duration of the funding.</w:t>
      </w:r>
    </w:p>
    <w:p w:rsidR="007419F8" w:rsidRDefault="007419F8" w:rsidP="0039518B">
      <w:pPr>
        <w:pStyle w:val="BodyText21"/>
        <w:tabs>
          <w:tab w:val="num" w:pos="284"/>
        </w:tabs>
        <w:ind w:left="0"/>
      </w:pPr>
      <w:r w:rsidRPr="005B7BC7">
        <w:t>Where HEPs have received funding from multiple sources for a research project, then funding must be apportioned to the correct category based on each funding source.</w:t>
      </w:r>
    </w:p>
    <w:p w:rsidR="00480434" w:rsidRPr="00091EE7" w:rsidRDefault="00480434" w:rsidP="00BE3A92">
      <w:pPr>
        <w:pStyle w:val="BodyText21"/>
      </w:pPr>
    </w:p>
    <w:p w:rsidR="006E0AF5" w:rsidRPr="005B7BC7" w:rsidRDefault="009A6A79" w:rsidP="00E52057">
      <w:pPr>
        <w:pStyle w:val="Heading3"/>
        <w:tabs>
          <w:tab w:val="clear" w:pos="1504"/>
          <w:tab w:val="num" w:pos="1560"/>
        </w:tabs>
        <w:spacing w:before="240"/>
        <w:ind w:left="1560" w:hanging="851"/>
      </w:pPr>
      <w:bookmarkStart w:id="595" w:name="_Toc168817211"/>
      <w:bookmarkStart w:id="596" w:name="_Toc168824830"/>
      <w:bookmarkStart w:id="597" w:name="_Ref213670512"/>
      <w:bookmarkStart w:id="598" w:name="_Toc406668881"/>
      <w:bookmarkEnd w:id="577"/>
      <w:bookmarkEnd w:id="595"/>
      <w:bookmarkEnd w:id="596"/>
      <w:r w:rsidRPr="005B7BC7">
        <w:t>Category 1:</w:t>
      </w:r>
      <w:r w:rsidR="00AE1BC7" w:rsidRPr="005B7BC7">
        <w:t xml:space="preserve"> </w:t>
      </w:r>
      <w:r w:rsidR="006E0AF5" w:rsidRPr="005B7BC7">
        <w:t>Austra</w:t>
      </w:r>
      <w:r w:rsidR="00CE30BB" w:rsidRPr="005B7BC7">
        <w:t>lian c</w:t>
      </w:r>
      <w:r w:rsidR="006E0AF5" w:rsidRPr="005B7BC7">
        <w:t xml:space="preserve">ompetitive </w:t>
      </w:r>
      <w:r w:rsidR="00CE30BB" w:rsidRPr="005B7BC7">
        <w:t>g</w:t>
      </w:r>
      <w:r w:rsidR="006E0AF5" w:rsidRPr="005B7BC7">
        <w:t>rants</w:t>
      </w:r>
      <w:bookmarkEnd w:id="597"/>
      <w:bookmarkEnd w:id="598"/>
    </w:p>
    <w:p w:rsidR="00285965" w:rsidRPr="005B7BC7" w:rsidRDefault="00285965" w:rsidP="00E52057">
      <w:pPr>
        <w:pStyle w:val="BodyText21"/>
        <w:tabs>
          <w:tab w:val="num" w:pos="284"/>
        </w:tabs>
        <w:ind w:left="709"/>
      </w:pPr>
      <w:r w:rsidRPr="0039518B">
        <w:rPr>
          <w:i/>
        </w:rPr>
        <w:t>Category 1</w:t>
      </w:r>
      <w:r w:rsidRPr="005B7BC7">
        <w:t xml:space="preserve"> consists only of</w:t>
      </w:r>
      <w:r w:rsidR="00B43A3D">
        <w:t xml:space="preserve"> net receipted</w:t>
      </w:r>
      <w:r w:rsidRPr="005B7BC7">
        <w:t xml:space="preserve"> </w:t>
      </w:r>
      <w:r w:rsidR="00054C0B" w:rsidRPr="005B7BC7">
        <w:t xml:space="preserve">income </w:t>
      </w:r>
      <w:r w:rsidR="00B43A3D">
        <w:t xml:space="preserve">received </w:t>
      </w:r>
      <w:r w:rsidR="00054C0B" w:rsidRPr="005B7BC7">
        <w:t xml:space="preserve">from </w:t>
      </w:r>
      <w:r w:rsidR="00B43A3D">
        <w:t xml:space="preserve">funding bodies for </w:t>
      </w:r>
      <w:r w:rsidRPr="005B7BC7">
        <w:t>those research schemes</w:t>
      </w:r>
      <w:r w:rsidR="00AE1BC7" w:rsidRPr="005B7BC7">
        <w:t xml:space="preserve"> and </w:t>
      </w:r>
      <w:r w:rsidR="00A4799F" w:rsidRPr="005B7BC7">
        <w:t>program</w:t>
      </w:r>
      <w:r w:rsidRPr="005B7BC7">
        <w:t xml:space="preserve">s </w:t>
      </w:r>
      <w:r w:rsidR="00CB226F">
        <w:t xml:space="preserve">as </w:t>
      </w:r>
      <w:r w:rsidR="00D008EF" w:rsidRPr="005B7BC7">
        <w:t xml:space="preserve">registered </w:t>
      </w:r>
      <w:r w:rsidRPr="005B7BC7">
        <w:t xml:space="preserve">on the </w:t>
      </w:r>
      <w:bookmarkStart w:id="599" w:name="OLE_LINK2"/>
      <w:bookmarkStart w:id="600" w:name="OLE_LINK10"/>
      <w:r w:rsidR="009C7D91" w:rsidRPr="005B7BC7">
        <w:t>201</w:t>
      </w:r>
      <w:r w:rsidR="00F31E71">
        <w:t>7</w:t>
      </w:r>
      <w:r w:rsidR="00132446" w:rsidRPr="005B7BC7">
        <w:t xml:space="preserve"> </w:t>
      </w:r>
      <w:r w:rsidR="007419F8" w:rsidRPr="005B7BC7">
        <w:t>Australian Competitive Grants Register (</w:t>
      </w:r>
      <w:r w:rsidRPr="005B7BC7">
        <w:t>A</w:t>
      </w:r>
      <w:r w:rsidR="0000734B" w:rsidRPr="005B7BC7">
        <w:t>CGR</w:t>
      </w:r>
      <w:bookmarkEnd w:id="599"/>
      <w:bookmarkEnd w:id="600"/>
      <w:r w:rsidR="007419F8" w:rsidRPr="005B7BC7">
        <w:t>)</w:t>
      </w:r>
      <w:r w:rsidRPr="005B7BC7">
        <w:t>.</w:t>
      </w:r>
    </w:p>
    <w:p w:rsidR="00B43A3D" w:rsidRDefault="00B43A3D" w:rsidP="00A91DD7">
      <w:pPr>
        <w:autoSpaceDE w:val="0"/>
        <w:autoSpaceDN w:val="0"/>
        <w:adjustRightInd w:val="0"/>
        <w:ind w:left="709"/>
      </w:pPr>
      <w:r w:rsidRPr="00B43A3D">
        <w:lastRenderedPageBreak/>
        <w:t xml:space="preserve">The ACGR is available through the department’s website at: </w:t>
      </w:r>
      <w:hyperlink r:id="rId26" w:history="1">
        <w:r w:rsidRPr="00EC4DF8">
          <w:rPr>
            <w:rStyle w:val="Hyperlink"/>
            <w:rFonts w:cs="Arial"/>
          </w:rPr>
          <w:t>www.education.gov.au/australian-competitive-grants-register</w:t>
        </w:r>
      </w:hyperlink>
      <w:r w:rsidRPr="00B43A3D">
        <w:t>.</w:t>
      </w:r>
      <w:r>
        <w:t xml:space="preserve"> </w:t>
      </w:r>
    </w:p>
    <w:p w:rsidR="00B43A3D" w:rsidRDefault="00B43A3D" w:rsidP="00A91DD7">
      <w:pPr>
        <w:autoSpaceDE w:val="0"/>
        <w:autoSpaceDN w:val="0"/>
        <w:adjustRightInd w:val="0"/>
        <w:ind w:left="709"/>
      </w:pPr>
    </w:p>
    <w:p w:rsidR="00B43A3D" w:rsidRPr="00A91DD7" w:rsidRDefault="00B43A3D" w:rsidP="00A91DD7">
      <w:pPr>
        <w:autoSpaceDE w:val="0"/>
        <w:autoSpaceDN w:val="0"/>
        <w:adjustRightInd w:val="0"/>
        <w:ind w:left="709"/>
      </w:pPr>
      <w:r w:rsidRPr="00A91DD7">
        <w:t xml:space="preserve">Partner organisation contributions to grants awarded by schemes listed on the ACGR should not be reported in Category 1 regardless of whether the partner contributions were identified in an Australian Competitive Grant application or not. This income should instead be reported under the HERDC category relevant to the source of the funding. </w:t>
      </w:r>
    </w:p>
    <w:p w:rsidR="00627918" w:rsidRDefault="00B43A3D" w:rsidP="00627918">
      <w:pPr>
        <w:pStyle w:val="Heading3"/>
        <w:numPr>
          <w:ilvl w:val="0"/>
          <w:numId w:val="0"/>
        </w:numPr>
        <w:ind w:left="710"/>
        <w:rPr>
          <w:rFonts w:ascii="Arial" w:hAnsi="Arial"/>
          <w:b w:val="0"/>
          <w:bCs w:val="0"/>
        </w:rPr>
      </w:pPr>
      <w:r w:rsidRPr="00627918">
        <w:rPr>
          <w:rFonts w:ascii="Arial" w:hAnsi="Arial"/>
          <w:b w:val="0"/>
          <w:bCs w:val="0"/>
        </w:rPr>
        <w:t>Australian Competitive Grant applications are competitive funding applications that result in grants (income) from schemes listed on the ACGR.</w:t>
      </w:r>
      <w:bookmarkStart w:id="601" w:name="_7.4.2_Category_2:"/>
      <w:bookmarkStart w:id="602" w:name="_Toc168817213"/>
      <w:bookmarkStart w:id="603" w:name="_Toc168824832"/>
      <w:bookmarkStart w:id="604" w:name="_Toc87171322"/>
      <w:bookmarkStart w:id="605" w:name="_Toc96678062"/>
      <w:bookmarkStart w:id="606" w:name="_Toc112733805"/>
      <w:bookmarkStart w:id="607" w:name="_Toc112734015"/>
      <w:bookmarkStart w:id="608" w:name="_Ref114290897"/>
      <w:bookmarkStart w:id="609" w:name="_Ref115748270"/>
      <w:bookmarkStart w:id="610" w:name="_Ref115748274"/>
      <w:bookmarkStart w:id="611" w:name="_Toc116182987"/>
      <w:bookmarkStart w:id="612" w:name="_Ref117493856"/>
      <w:bookmarkStart w:id="613" w:name="_Toc406668882"/>
      <w:bookmarkStart w:id="614" w:name="_Ref440032156"/>
      <w:bookmarkEnd w:id="601"/>
      <w:bookmarkEnd w:id="602"/>
      <w:bookmarkEnd w:id="603"/>
    </w:p>
    <w:p w:rsidR="00627918" w:rsidRPr="00627918" w:rsidRDefault="00627918" w:rsidP="00627918"/>
    <w:p w:rsidR="00A838B4" w:rsidRPr="005B7BC7" w:rsidRDefault="00A838B4" w:rsidP="00E52057">
      <w:pPr>
        <w:pStyle w:val="Heading3"/>
        <w:tabs>
          <w:tab w:val="clear" w:pos="1504"/>
          <w:tab w:val="num" w:pos="1560"/>
        </w:tabs>
        <w:ind w:left="1560" w:hanging="851"/>
      </w:pPr>
      <w:bookmarkStart w:id="615" w:name="_Ref445299481"/>
      <w:r w:rsidRPr="005B7BC7">
        <w:t>Category 2:</w:t>
      </w:r>
      <w:r w:rsidR="00AE1BC7" w:rsidRPr="005B7BC7">
        <w:t xml:space="preserve"> </w:t>
      </w:r>
      <w:r w:rsidRPr="005B7BC7">
        <w:t xml:space="preserve">Other </w:t>
      </w:r>
      <w:r w:rsidR="00CE30BB" w:rsidRPr="005B7BC7">
        <w:t>p</w:t>
      </w:r>
      <w:r w:rsidRPr="005B7BC7">
        <w:t xml:space="preserve">ublic </w:t>
      </w:r>
      <w:r w:rsidR="00CE30BB" w:rsidRPr="005B7BC7">
        <w:t>s</w:t>
      </w:r>
      <w:r w:rsidRPr="005B7BC7">
        <w:t xml:space="preserve">ector </w:t>
      </w:r>
      <w:r w:rsidR="00CE30BB" w:rsidRPr="005B7BC7">
        <w:t>r</w:t>
      </w:r>
      <w:r w:rsidRPr="005B7BC7">
        <w:t xml:space="preserve">esearch </w:t>
      </w:r>
      <w:bookmarkEnd w:id="604"/>
      <w:r w:rsidR="00CE30BB" w:rsidRPr="005B7BC7">
        <w:t>i</w:t>
      </w:r>
      <w:r w:rsidRPr="005B7BC7">
        <w:t>ncome</w:t>
      </w:r>
      <w:bookmarkEnd w:id="605"/>
      <w:bookmarkEnd w:id="606"/>
      <w:bookmarkEnd w:id="607"/>
      <w:bookmarkEnd w:id="608"/>
      <w:bookmarkEnd w:id="609"/>
      <w:bookmarkEnd w:id="610"/>
      <w:bookmarkEnd w:id="611"/>
      <w:bookmarkEnd w:id="612"/>
      <w:bookmarkEnd w:id="613"/>
      <w:bookmarkEnd w:id="614"/>
      <w:bookmarkEnd w:id="615"/>
    </w:p>
    <w:p w:rsidR="009064D0" w:rsidRPr="005B7BC7" w:rsidRDefault="009064D0" w:rsidP="00E52057">
      <w:pPr>
        <w:pStyle w:val="BodyText21"/>
        <w:tabs>
          <w:tab w:val="num" w:pos="284"/>
        </w:tabs>
        <w:ind w:left="709"/>
      </w:pPr>
      <w:r w:rsidRPr="0039518B">
        <w:rPr>
          <w:i/>
        </w:rPr>
        <w:t>Category 2</w:t>
      </w:r>
      <w:r w:rsidR="00D759BB" w:rsidRPr="005B7BC7">
        <w:rPr>
          <w:i/>
        </w:rPr>
        <w:t xml:space="preserve">- </w:t>
      </w:r>
      <w:r w:rsidRPr="0039518B">
        <w:rPr>
          <w:i/>
        </w:rPr>
        <w:t>Other public sector research income</w:t>
      </w:r>
      <w:r w:rsidRPr="005B7BC7">
        <w:t xml:space="preserve"> </w:t>
      </w:r>
      <w:r w:rsidR="00B017AC" w:rsidRPr="005B7BC7">
        <w:t>includes</w:t>
      </w:r>
      <w:r w:rsidRPr="005B7BC7">
        <w:t>:</w:t>
      </w:r>
    </w:p>
    <w:p w:rsidR="00580AFE" w:rsidRPr="005B7BC7" w:rsidRDefault="00CE30BB" w:rsidP="00E52057">
      <w:pPr>
        <w:pStyle w:val="BodyText21"/>
        <w:ind w:left="709"/>
        <w:rPr>
          <w:rStyle w:val="Strong"/>
        </w:rPr>
      </w:pPr>
      <w:r w:rsidRPr="005B7BC7">
        <w:rPr>
          <w:rStyle w:val="Strong"/>
        </w:rPr>
        <w:t>Australian g</w:t>
      </w:r>
      <w:r w:rsidR="00580AFE" w:rsidRPr="005B7BC7">
        <w:rPr>
          <w:rStyle w:val="Strong"/>
        </w:rPr>
        <w:t xml:space="preserve">overnment </w:t>
      </w:r>
      <w:r w:rsidR="002E500D" w:rsidRPr="005B7BC7">
        <w:rPr>
          <w:rStyle w:val="Strong"/>
        </w:rPr>
        <w:t>(</w:t>
      </w:r>
      <w:r w:rsidR="00580AFE" w:rsidRPr="005B7BC7">
        <w:rPr>
          <w:rStyle w:val="Strong"/>
        </w:rPr>
        <w:t>– Non Category 1</w:t>
      </w:r>
      <w:r w:rsidR="002E500D" w:rsidRPr="005B7BC7">
        <w:rPr>
          <w:rStyle w:val="Strong"/>
        </w:rPr>
        <w:t>)</w:t>
      </w:r>
      <w:r w:rsidR="00214FFE" w:rsidRPr="005B7BC7">
        <w:rPr>
          <w:rStyle w:val="Strong"/>
        </w:rPr>
        <w:t>:</w:t>
      </w:r>
    </w:p>
    <w:p w:rsidR="00580AFE" w:rsidRPr="005B7BC7" w:rsidRDefault="00580AFE" w:rsidP="00E52057">
      <w:pPr>
        <w:pStyle w:val="BodyText21"/>
        <w:tabs>
          <w:tab w:val="num" w:pos="851"/>
        </w:tabs>
        <w:ind w:left="709"/>
      </w:pPr>
      <w:r w:rsidRPr="005B7BC7">
        <w:t xml:space="preserve">This </w:t>
      </w:r>
      <w:r w:rsidR="00860AB9" w:rsidRPr="005B7BC7">
        <w:t>relates to</w:t>
      </w:r>
      <w:r w:rsidRPr="005B7BC7">
        <w:t xml:space="preserve"> any other income </w:t>
      </w:r>
      <w:r w:rsidR="00214FFE" w:rsidRPr="005B7BC7">
        <w:t xml:space="preserve">for the purposes of </w:t>
      </w:r>
      <w:r w:rsidR="00B017AC" w:rsidRPr="005B7BC7">
        <w:t xml:space="preserve">conducting </w:t>
      </w:r>
      <w:r w:rsidR="00214FFE" w:rsidRPr="005B7BC7">
        <w:t xml:space="preserve">research </w:t>
      </w:r>
      <w:r w:rsidRPr="005B7BC7">
        <w:t>received from the Australian Government</w:t>
      </w:r>
      <w:r w:rsidR="00860AB9" w:rsidRPr="005B7BC7">
        <w:t>;</w:t>
      </w:r>
      <w:r w:rsidR="00214FFE" w:rsidRPr="005B7BC7">
        <w:t xml:space="preserve"> whether </w:t>
      </w:r>
      <w:r w:rsidR="00860AB9" w:rsidRPr="005B7BC7">
        <w:t xml:space="preserve">through </w:t>
      </w:r>
      <w:r w:rsidR="00214FFE" w:rsidRPr="005B7BC7">
        <w:t xml:space="preserve">programs, grants or </w:t>
      </w:r>
      <w:r w:rsidR="00477661" w:rsidRPr="005B7BC7">
        <w:t>contracts, that are</w:t>
      </w:r>
      <w:r w:rsidRPr="005B7BC7">
        <w:t xml:space="preserve"> not eligible for inclusion as Category 1 research income.</w:t>
      </w:r>
    </w:p>
    <w:p w:rsidR="00214FFE" w:rsidRPr="005B7BC7" w:rsidRDefault="00CE30BB" w:rsidP="00E52057">
      <w:pPr>
        <w:pStyle w:val="BodyText21"/>
        <w:ind w:left="709"/>
        <w:rPr>
          <w:rStyle w:val="Strong"/>
        </w:rPr>
      </w:pPr>
      <w:r w:rsidRPr="005B7BC7">
        <w:rPr>
          <w:rStyle w:val="Strong"/>
        </w:rPr>
        <w:t>State or Territory g</w:t>
      </w:r>
      <w:r w:rsidR="00214FFE" w:rsidRPr="005B7BC7">
        <w:rPr>
          <w:rStyle w:val="Strong"/>
        </w:rPr>
        <w:t>overnment:</w:t>
      </w:r>
    </w:p>
    <w:p w:rsidR="00214FFE" w:rsidRPr="005B7BC7" w:rsidRDefault="00214FFE" w:rsidP="00E52057">
      <w:pPr>
        <w:pStyle w:val="BodyText21"/>
        <w:ind w:left="709"/>
      </w:pPr>
      <w:r w:rsidRPr="005B7BC7">
        <w:t xml:space="preserve">This is income </w:t>
      </w:r>
      <w:r w:rsidR="00860AB9" w:rsidRPr="005B7BC7">
        <w:t xml:space="preserve">received from state or territory government departments or agencies </w:t>
      </w:r>
      <w:r w:rsidRPr="005B7BC7">
        <w:t xml:space="preserve">for the </w:t>
      </w:r>
      <w:r w:rsidR="00A440C2" w:rsidRPr="005B7BC7">
        <w:t>conduct of</w:t>
      </w:r>
      <w:r w:rsidR="00B017AC" w:rsidRPr="005B7BC7">
        <w:t xml:space="preserve"> </w:t>
      </w:r>
      <w:r w:rsidRPr="005B7BC7">
        <w:t>research</w:t>
      </w:r>
      <w:r w:rsidR="00860AB9" w:rsidRPr="005B7BC7">
        <w:t>;</w:t>
      </w:r>
      <w:r w:rsidRPr="005B7BC7">
        <w:t xml:space="preserve"> whether </w:t>
      </w:r>
      <w:r w:rsidR="00860AB9" w:rsidRPr="005B7BC7">
        <w:t xml:space="preserve">through </w:t>
      </w:r>
      <w:r w:rsidRPr="005B7BC7">
        <w:t>programs, grants or contracts.</w:t>
      </w:r>
    </w:p>
    <w:p w:rsidR="00214FFE" w:rsidRPr="005B7BC7" w:rsidRDefault="00CE30BB" w:rsidP="00E52057">
      <w:pPr>
        <w:pStyle w:val="BodyText21"/>
        <w:ind w:left="709"/>
        <w:rPr>
          <w:rStyle w:val="Strong"/>
        </w:rPr>
      </w:pPr>
      <w:r w:rsidRPr="005B7BC7">
        <w:rPr>
          <w:rStyle w:val="Strong"/>
        </w:rPr>
        <w:t>Local g</w:t>
      </w:r>
      <w:r w:rsidR="00214FFE" w:rsidRPr="005B7BC7">
        <w:rPr>
          <w:rStyle w:val="Strong"/>
        </w:rPr>
        <w:t>overnment:</w:t>
      </w:r>
    </w:p>
    <w:p w:rsidR="00214FFE" w:rsidRPr="005B7BC7" w:rsidRDefault="00214FFE" w:rsidP="00E52057">
      <w:pPr>
        <w:pStyle w:val="BodyText21"/>
        <w:ind w:left="709"/>
      </w:pPr>
      <w:r w:rsidRPr="005B7BC7">
        <w:t xml:space="preserve">This is income </w:t>
      </w:r>
      <w:r w:rsidR="00860AB9" w:rsidRPr="005B7BC7">
        <w:t xml:space="preserve">received from local government departments or agencies </w:t>
      </w:r>
      <w:r w:rsidRPr="005B7BC7">
        <w:t xml:space="preserve">for the </w:t>
      </w:r>
      <w:r w:rsidR="00A440C2" w:rsidRPr="005B7BC7">
        <w:t>conduct of</w:t>
      </w:r>
      <w:r w:rsidR="00B017AC" w:rsidRPr="005B7BC7">
        <w:t xml:space="preserve"> </w:t>
      </w:r>
      <w:r w:rsidRPr="005B7BC7">
        <w:t>research</w:t>
      </w:r>
      <w:r w:rsidR="00860AB9" w:rsidRPr="005B7BC7">
        <w:t>;</w:t>
      </w:r>
      <w:r w:rsidRPr="005B7BC7">
        <w:t xml:space="preserve"> whether </w:t>
      </w:r>
      <w:r w:rsidR="00D008EF" w:rsidRPr="005B7BC7">
        <w:t xml:space="preserve">through </w:t>
      </w:r>
      <w:r w:rsidRPr="005B7BC7">
        <w:t>programs, grants or contracts.</w:t>
      </w:r>
    </w:p>
    <w:p w:rsidR="00B37DF4" w:rsidRPr="00091EE7" w:rsidRDefault="00B37DF4" w:rsidP="00091EE7">
      <w:pPr>
        <w:pStyle w:val="BodyText21"/>
        <w:pBdr>
          <w:top w:val="single" w:sz="4" w:space="1" w:color="auto"/>
          <w:left w:val="single" w:sz="4" w:space="4" w:color="auto"/>
          <w:bottom w:val="single" w:sz="4" w:space="1" w:color="auto"/>
          <w:right w:val="single" w:sz="4" w:space="4" w:color="auto"/>
        </w:pBdr>
        <w:ind w:left="709"/>
      </w:pPr>
      <w:r w:rsidRPr="00091EE7">
        <w:t xml:space="preserve">Income as set out below can be reported </w:t>
      </w:r>
      <w:r>
        <w:t>in Category 2.</w:t>
      </w:r>
    </w:p>
    <w:p w:rsidR="00214FFE" w:rsidRPr="005B7BC7" w:rsidRDefault="00214FFE" w:rsidP="00091EE7">
      <w:pPr>
        <w:pStyle w:val="BodyText21"/>
        <w:pBdr>
          <w:top w:val="single" w:sz="4" w:space="1" w:color="auto"/>
          <w:left w:val="single" w:sz="4" w:space="4" w:color="auto"/>
          <w:bottom w:val="single" w:sz="4" w:space="1" w:color="auto"/>
          <w:right w:val="single" w:sz="4" w:space="4" w:color="auto"/>
        </w:pBdr>
        <w:ind w:left="709"/>
        <w:rPr>
          <w:rStyle w:val="Strong"/>
        </w:rPr>
      </w:pPr>
      <w:r w:rsidRPr="005B7BC7">
        <w:rPr>
          <w:rStyle w:val="Strong"/>
        </w:rPr>
        <w:t xml:space="preserve">Government </w:t>
      </w:r>
      <w:r w:rsidR="00CE30BB" w:rsidRPr="005B7BC7">
        <w:rPr>
          <w:rStyle w:val="Strong"/>
        </w:rPr>
        <w:t>b</w:t>
      </w:r>
      <w:r w:rsidRPr="005B7BC7">
        <w:rPr>
          <w:rStyle w:val="Strong"/>
        </w:rPr>
        <w:t xml:space="preserve">usiness </w:t>
      </w:r>
      <w:r w:rsidR="00CE30BB" w:rsidRPr="005B7BC7">
        <w:rPr>
          <w:rStyle w:val="Strong"/>
        </w:rPr>
        <w:t>e</w:t>
      </w:r>
      <w:r w:rsidRPr="005B7BC7">
        <w:rPr>
          <w:rStyle w:val="Strong"/>
        </w:rPr>
        <w:t>nterprises:</w:t>
      </w:r>
    </w:p>
    <w:p w:rsidR="00FB466B" w:rsidRDefault="00214FFE" w:rsidP="00091EE7">
      <w:pPr>
        <w:pStyle w:val="BodyText21"/>
        <w:pBdr>
          <w:top w:val="single" w:sz="4" w:space="1" w:color="auto"/>
          <w:left w:val="single" w:sz="4" w:space="4" w:color="auto"/>
          <w:bottom w:val="single" w:sz="4" w:space="1" w:color="auto"/>
          <w:right w:val="single" w:sz="4" w:space="4" w:color="auto"/>
        </w:pBdr>
        <w:ind w:left="709"/>
      </w:pPr>
      <w:r w:rsidRPr="005B7BC7">
        <w:t xml:space="preserve">This is income </w:t>
      </w:r>
      <w:r w:rsidR="00074E45" w:rsidRPr="005B7BC7">
        <w:t xml:space="preserve">for the </w:t>
      </w:r>
      <w:r w:rsidR="00A440C2" w:rsidRPr="005B7BC7">
        <w:t>conduct of</w:t>
      </w:r>
      <w:r w:rsidR="00B017AC" w:rsidRPr="005B7BC7">
        <w:t xml:space="preserve"> </w:t>
      </w:r>
      <w:r w:rsidR="00074E45" w:rsidRPr="005B7BC7">
        <w:t>research received from enterprises that are wholly or partly owned or funded by Commonwealth, state or territory, or local governments; have a board; and operate on a profit or cost-recovery basis.</w:t>
      </w:r>
    </w:p>
    <w:p w:rsidR="00FB466B" w:rsidRPr="005B7BC7" w:rsidRDefault="00FB466B" w:rsidP="00091EE7">
      <w:pPr>
        <w:pStyle w:val="BodyText21"/>
        <w:keepNext/>
        <w:keepLines/>
        <w:pBdr>
          <w:top w:val="single" w:sz="4" w:space="1" w:color="auto"/>
          <w:left w:val="single" w:sz="4" w:space="4" w:color="auto"/>
          <w:bottom w:val="single" w:sz="4" w:space="1" w:color="auto"/>
          <w:right w:val="single" w:sz="4" w:space="4" w:color="auto"/>
        </w:pBdr>
        <w:ind w:left="709"/>
        <w:rPr>
          <w:rStyle w:val="Strong"/>
        </w:rPr>
      </w:pPr>
      <w:r w:rsidRPr="005B7BC7">
        <w:rPr>
          <w:rStyle w:val="Strong"/>
        </w:rPr>
        <w:t>Cooperative Research Centres:</w:t>
      </w:r>
    </w:p>
    <w:p w:rsidR="00A838B4" w:rsidRPr="005B7BC7" w:rsidRDefault="00FB466B" w:rsidP="00091EE7">
      <w:pPr>
        <w:pStyle w:val="BodyText21"/>
        <w:keepNext/>
        <w:keepLines/>
        <w:pBdr>
          <w:top w:val="single" w:sz="4" w:space="1" w:color="auto"/>
          <w:left w:val="single" w:sz="4" w:space="4" w:color="auto"/>
          <w:bottom w:val="single" w:sz="4" w:space="1" w:color="auto"/>
          <w:right w:val="single" w:sz="4" w:space="4" w:color="auto"/>
        </w:pBdr>
        <w:ind w:left="709"/>
      </w:pPr>
      <w:r w:rsidRPr="005B7BC7">
        <w:t xml:space="preserve">This is </w:t>
      </w:r>
      <w:r w:rsidR="00A838B4" w:rsidRPr="005B7BC7">
        <w:t xml:space="preserve">research income from </w:t>
      </w:r>
      <w:r w:rsidR="008A3010" w:rsidRPr="005B7BC7">
        <w:t>CRCs</w:t>
      </w:r>
      <w:r w:rsidR="00860AB9" w:rsidRPr="005B7BC7">
        <w:t>,</w:t>
      </w:r>
      <w:r w:rsidR="00A838B4" w:rsidRPr="005B7BC7">
        <w:t xml:space="preserve"> </w:t>
      </w:r>
      <w:r w:rsidR="00860AB9" w:rsidRPr="005B7BC7">
        <w:t>where</w:t>
      </w:r>
      <w:r w:rsidR="00A838B4" w:rsidRPr="005B7BC7">
        <w:t xml:space="preserve"> the reporting HEP </w:t>
      </w:r>
      <w:r w:rsidR="00860AB9" w:rsidRPr="005B7BC7">
        <w:t xml:space="preserve">has </w:t>
      </w:r>
      <w:r w:rsidR="00A838B4" w:rsidRPr="005B7BC7">
        <w:t>not</w:t>
      </w:r>
      <w:r w:rsidR="00860AB9" w:rsidRPr="005B7BC7">
        <w:t xml:space="preserve"> been</w:t>
      </w:r>
      <w:r w:rsidR="00A838B4" w:rsidRPr="005B7BC7">
        <w:t xml:space="preserve"> </w:t>
      </w:r>
      <w:r w:rsidR="005E4A9D" w:rsidRPr="005B7BC7">
        <w:t xml:space="preserve">defined within the Commonwealth Agreement as “The Researcher” or a “Participant” </w:t>
      </w:r>
      <w:r w:rsidR="00402D0B" w:rsidRPr="005B7BC7">
        <w:t>(</w:t>
      </w:r>
      <w:r w:rsidR="00A838B4" w:rsidRPr="005B7BC7">
        <w:t>i.e. was not a signatory to the Commonwealth Agreement</w:t>
      </w:r>
      <w:r w:rsidR="005E4A9D" w:rsidRPr="005B7BC7">
        <w:t>, a CRC Participants Agreement, or a Company Constitution</w:t>
      </w:r>
      <w:r w:rsidR="00A838B4" w:rsidRPr="005B7BC7">
        <w:t xml:space="preserve"> during the reporting period).</w:t>
      </w:r>
    </w:p>
    <w:p w:rsidR="007A762E" w:rsidRPr="005B7BC7" w:rsidRDefault="007A762E" w:rsidP="00091EE7">
      <w:pPr>
        <w:pStyle w:val="BodyText21"/>
        <w:pBdr>
          <w:top w:val="single" w:sz="4" w:space="1" w:color="auto"/>
          <w:left w:val="single" w:sz="4" w:space="4" w:color="auto"/>
          <w:bottom w:val="single" w:sz="4" w:space="1" w:color="auto"/>
          <w:right w:val="single" w:sz="4" w:space="4" w:color="auto"/>
        </w:pBdr>
        <w:ind w:left="709"/>
        <w:rPr>
          <w:rStyle w:val="Strong"/>
        </w:rPr>
      </w:pPr>
      <w:r w:rsidRPr="005B7BC7">
        <w:rPr>
          <w:rStyle w:val="Strong"/>
        </w:rPr>
        <w:t>Reporting of eligible general or untied income from government grants</w:t>
      </w:r>
    </w:p>
    <w:p w:rsidR="007A762E" w:rsidRPr="005B7BC7" w:rsidRDefault="007A762E" w:rsidP="00091EE7">
      <w:pPr>
        <w:pStyle w:val="BodyText21"/>
        <w:pBdr>
          <w:top w:val="single" w:sz="4" w:space="1" w:color="auto"/>
          <w:left w:val="single" w:sz="4" w:space="4" w:color="auto"/>
          <w:bottom w:val="single" w:sz="4" w:space="1" w:color="auto"/>
          <w:right w:val="single" w:sz="4" w:space="4" w:color="auto"/>
        </w:pBdr>
        <w:ind w:left="709"/>
      </w:pPr>
      <w:r w:rsidRPr="005B7BC7">
        <w:t xml:space="preserve">HEPs are to report any eligible proportion of general or untied income received from government grants for the purposes of conducting research according to the source of that </w:t>
      </w:r>
      <w:r w:rsidR="00617BA3" w:rsidRPr="005B7BC7">
        <w:t>grant</w:t>
      </w:r>
      <w:r w:rsidRPr="005B7BC7">
        <w:t xml:space="preserve"> (i.e. whether Australian government</w:t>
      </w:r>
      <w:r w:rsidR="00E20B56" w:rsidRPr="005B7BC7">
        <w:t xml:space="preserve"> </w:t>
      </w:r>
      <w:r w:rsidRPr="005B7BC7">
        <w:t>- Non Category 1, State or Territory government, or Local government)</w:t>
      </w:r>
      <w:r w:rsidR="00617BA3" w:rsidRPr="005B7BC7">
        <w:t>.</w:t>
      </w:r>
      <w:r w:rsidR="009541DF" w:rsidRPr="009541DF">
        <w:t xml:space="preserve"> HEPs must exclude indirect costs of conducting research to be expended from the grant</w:t>
      </w:r>
      <w:r w:rsidR="009541DF">
        <w:t>.</w:t>
      </w:r>
    </w:p>
    <w:p w:rsidR="00A838B4" w:rsidRPr="005B7BC7" w:rsidRDefault="00A838B4" w:rsidP="00E52057">
      <w:pPr>
        <w:pStyle w:val="Heading3"/>
        <w:tabs>
          <w:tab w:val="clear" w:pos="1504"/>
          <w:tab w:val="num" w:pos="1560"/>
        </w:tabs>
        <w:ind w:left="1560" w:hanging="851"/>
      </w:pPr>
      <w:bookmarkStart w:id="616" w:name="_7.4.3_Category_3:"/>
      <w:bookmarkStart w:id="617" w:name="_Toc115747820"/>
      <w:bookmarkStart w:id="618" w:name="_Toc116182988"/>
      <w:bookmarkStart w:id="619" w:name="_Toc115747821"/>
      <w:bookmarkStart w:id="620" w:name="_Toc116182989"/>
      <w:bookmarkStart w:id="621" w:name="_Toc96319878"/>
      <w:bookmarkStart w:id="622" w:name="_Toc96319995"/>
      <w:bookmarkStart w:id="623" w:name="_Toc96320101"/>
      <w:bookmarkStart w:id="624" w:name="_Toc96320227"/>
      <w:bookmarkStart w:id="625" w:name="_Toc87171323"/>
      <w:bookmarkStart w:id="626" w:name="_Toc96678063"/>
      <w:bookmarkStart w:id="627" w:name="_Toc112733806"/>
      <w:bookmarkStart w:id="628" w:name="_Toc112734016"/>
      <w:bookmarkStart w:id="629" w:name="_Ref114290910"/>
      <w:bookmarkStart w:id="630" w:name="_Toc116182990"/>
      <w:bookmarkStart w:id="631" w:name="_Toc406668883"/>
      <w:bookmarkEnd w:id="616"/>
      <w:bookmarkEnd w:id="617"/>
      <w:bookmarkEnd w:id="618"/>
      <w:bookmarkEnd w:id="619"/>
      <w:bookmarkEnd w:id="620"/>
      <w:bookmarkEnd w:id="621"/>
      <w:bookmarkEnd w:id="622"/>
      <w:bookmarkEnd w:id="623"/>
      <w:bookmarkEnd w:id="624"/>
      <w:r w:rsidRPr="005B7BC7">
        <w:t>Category 3:</w:t>
      </w:r>
      <w:r w:rsidR="00AE1BC7" w:rsidRPr="005B7BC7">
        <w:t xml:space="preserve"> </w:t>
      </w:r>
      <w:r w:rsidRPr="005B7BC7">
        <w:t xml:space="preserve">Industry and </w:t>
      </w:r>
      <w:r w:rsidR="00CE30BB" w:rsidRPr="005B7BC7">
        <w:t>o</w:t>
      </w:r>
      <w:r w:rsidRPr="005B7BC7">
        <w:t xml:space="preserve">ther </w:t>
      </w:r>
      <w:r w:rsidR="00CE30BB" w:rsidRPr="005B7BC7">
        <w:t>r</w:t>
      </w:r>
      <w:r w:rsidRPr="005B7BC7">
        <w:t xml:space="preserve">esearch </w:t>
      </w:r>
      <w:r w:rsidR="00CE30BB" w:rsidRPr="005B7BC7">
        <w:t>i</w:t>
      </w:r>
      <w:r w:rsidRPr="005B7BC7">
        <w:t>ncome</w:t>
      </w:r>
      <w:bookmarkEnd w:id="625"/>
      <w:bookmarkEnd w:id="626"/>
      <w:bookmarkEnd w:id="627"/>
      <w:bookmarkEnd w:id="628"/>
      <w:bookmarkEnd w:id="629"/>
      <w:bookmarkEnd w:id="630"/>
      <w:bookmarkEnd w:id="631"/>
    </w:p>
    <w:p w:rsidR="00A838B4" w:rsidRPr="005B7BC7" w:rsidRDefault="00C064BF" w:rsidP="00E52057">
      <w:pPr>
        <w:pStyle w:val="BodyText21"/>
        <w:ind w:left="709"/>
      </w:pPr>
      <w:r w:rsidRPr="0039518B">
        <w:rPr>
          <w:i/>
        </w:rPr>
        <w:t>Category 3</w:t>
      </w:r>
      <w:r w:rsidR="003C1EE6">
        <w:rPr>
          <w:i/>
        </w:rPr>
        <w:t xml:space="preserve">: </w:t>
      </w:r>
      <w:r w:rsidR="00A838B4" w:rsidRPr="0039518B">
        <w:rPr>
          <w:i/>
        </w:rPr>
        <w:t xml:space="preserve">Industry and </w:t>
      </w:r>
      <w:r w:rsidRPr="0039518B">
        <w:rPr>
          <w:i/>
        </w:rPr>
        <w:t>o</w:t>
      </w:r>
      <w:r w:rsidR="00A838B4" w:rsidRPr="0039518B">
        <w:rPr>
          <w:i/>
        </w:rPr>
        <w:t xml:space="preserve">ther </w:t>
      </w:r>
      <w:r w:rsidRPr="0039518B">
        <w:rPr>
          <w:i/>
        </w:rPr>
        <w:t>r</w:t>
      </w:r>
      <w:r w:rsidR="00A838B4" w:rsidRPr="0039518B">
        <w:rPr>
          <w:i/>
        </w:rPr>
        <w:t xml:space="preserve">esearch </w:t>
      </w:r>
      <w:r w:rsidRPr="0039518B">
        <w:rPr>
          <w:i/>
        </w:rPr>
        <w:t>i</w:t>
      </w:r>
      <w:r w:rsidR="00A838B4" w:rsidRPr="0039518B">
        <w:rPr>
          <w:i/>
        </w:rPr>
        <w:t>ncome</w:t>
      </w:r>
      <w:r w:rsidR="00A838B4" w:rsidRPr="005B7BC7">
        <w:t xml:space="preserve"> must be categorised in the following subcategories:</w:t>
      </w:r>
    </w:p>
    <w:p w:rsidR="00A838B4" w:rsidRPr="005B7BC7" w:rsidRDefault="00A838B4" w:rsidP="00D74E98">
      <w:pPr>
        <w:pStyle w:val="BodyText21"/>
        <w:keepNext/>
        <w:keepLines/>
        <w:tabs>
          <w:tab w:val="right" w:pos="9814"/>
        </w:tabs>
        <w:spacing w:after="0"/>
        <w:ind w:left="709"/>
      </w:pPr>
      <w:r w:rsidRPr="005B7BC7">
        <w:rPr>
          <w:rStyle w:val="Strong"/>
        </w:rPr>
        <w:lastRenderedPageBreak/>
        <w:t>Australian</w:t>
      </w:r>
      <w:r w:rsidR="00782783">
        <w:rPr>
          <w:rStyle w:val="Strong"/>
        </w:rPr>
        <w:tab/>
      </w:r>
    </w:p>
    <w:p w:rsidR="00D008EF" w:rsidRPr="005B7BC7" w:rsidRDefault="00B017AC" w:rsidP="00E52057">
      <w:pPr>
        <w:pStyle w:val="ListBullet10"/>
        <w:numPr>
          <w:ilvl w:val="0"/>
          <w:numId w:val="0"/>
        </w:numPr>
        <w:ind w:left="709"/>
      </w:pPr>
      <w:r w:rsidRPr="005B7BC7">
        <w:t>Contracts</w:t>
      </w:r>
      <w:r w:rsidR="00153E83" w:rsidRPr="005B7BC7">
        <w:t>:</w:t>
      </w:r>
      <w:r w:rsidR="002E500D" w:rsidRPr="005B7BC7">
        <w:t xml:space="preserve"> </w:t>
      </w:r>
    </w:p>
    <w:p w:rsidR="00B017AC" w:rsidRPr="005B7BC7" w:rsidRDefault="002E500D" w:rsidP="00E52057">
      <w:pPr>
        <w:pStyle w:val="ListBullet10"/>
        <w:tabs>
          <w:tab w:val="clear" w:pos="360"/>
          <w:tab w:val="num" w:pos="1244"/>
        </w:tabs>
        <w:ind w:left="709" w:firstLine="0"/>
      </w:pPr>
      <w:r w:rsidRPr="005B7BC7">
        <w:t xml:space="preserve">contract research income provided by industry or other non-government agencies </w:t>
      </w:r>
    </w:p>
    <w:p w:rsidR="00466043" w:rsidRPr="005B7BC7" w:rsidRDefault="00466043" w:rsidP="00E52057">
      <w:pPr>
        <w:pStyle w:val="ListBullet10"/>
        <w:numPr>
          <w:ilvl w:val="0"/>
          <w:numId w:val="0"/>
        </w:numPr>
        <w:ind w:left="709"/>
      </w:pPr>
    </w:p>
    <w:p w:rsidR="00D008EF" w:rsidRPr="005B7BC7" w:rsidRDefault="00B017AC" w:rsidP="00E52057">
      <w:pPr>
        <w:pStyle w:val="ListBullet10"/>
        <w:numPr>
          <w:ilvl w:val="0"/>
          <w:numId w:val="0"/>
        </w:numPr>
        <w:ind w:left="709"/>
      </w:pPr>
      <w:r w:rsidRPr="005B7BC7">
        <w:t>Grants</w:t>
      </w:r>
      <w:r w:rsidR="00860AB9" w:rsidRPr="005B7BC7">
        <w:t>:</w:t>
      </w:r>
      <w:r w:rsidR="002E500D" w:rsidRPr="005B7BC7">
        <w:t xml:space="preserve"> </w:t>
      </w:r>
    </w:p>
    <w:p w:rsidR="002E500D" w:rsidRPr="005B7BC7" w:rsidRDefault="002E500D" w:rsidP="00EB4368">
      <w:pPr>
        <w:pStyle w:val="ListBullet10"/>
        <w:tabs>
          <w:tab w:val="clear" w:pos="360"/>
          <w:tab w:val="num" w:pos="1134"/>
        </w:tabs>
        <w:ind w:left="1134" w:hanging="425"/>
      </w:pPr>
      <w:r w:rsidRPr="005B7BC7">
        <w:t>grants for the conduct of research other than government provided grants (which should be reported in either Category 1 or Category 2)</w:t>
      </w:r>
      <w:r w:rsidR="00D008EF" w:rsidRPr="005B7BC7">
        <w:t>.</w:t>
      </w:r>
    </w:p>
    <w:p w:rsidR="00D008EF" w:rsidRPr="005B7BC7" w:rsidRDefault="00D008EF" w:rsidP="00E52057">
      <w:pPr>
        <w:pStyle w:val="ListBullet10"/>
        <w:tabs>
          <w:tab w:val="clear" w:pos="360"/>
          <w:tab w:val="num" w:pos="643"/>
        </w:tabs>
        <w:ind w:left="709" w:firstLine="0"/>
      </w:pPr>
      <w:r w:rsidRPr="005B7BC7">
        <w:t>income received from syndicated research and development arrangements</w:t>
      </w:r>
    </w:p>
    <w:p w:rsidR="00466043" w:rsidRPr="005B7BC7" w:rsidRDefault="00466043" w:rsidP="00E52057">
      <w:pPr>
        <w:pStyle w:val="ListBullet10"/>
        <w:numPr>
          <w:ilvl w:val="0"/>
          <w:numId w:val="0"/>
        </w:numPr>
        <w:ind w:left="709"/>
      </w:pPr>
    </w:p>
    <w:p w:rsidR="00D008EF" w:rsidRPr="005B7BC7" w:rsidRDefault="00B017AC" w:rsidP="00E52057">
      <w:pPr>
        <w:pStyle w:val="ListBullet10"/>
        <w:keepNext/>
        <w:keepLines/>
        <w:numPr>
          <w:ilvl w:val="0"/>
          <w:numId w:val="0"/>
        </w:numPr>
        <w:ind w:left="709"/>
      </w:pPr>
      <w:r w:rsidRPr="005B7BC7">
        <w:t>Donations, bequests and foundations</w:t>
      </w:r>
      <w:r w:rsidR="00860AB9" w:rsidRPr="005B7BC7">
        <w:t>:</w:t>
      </w:r>
      <w:r w:rsidR="002E500D" w:rsidRPr="005B7BC7">
        <w:t xml:space="preserve"> </w:t>
      </w:r>
    </w:p>
    <w:p w:rsidR="00B017AC" w:rsidRPr="005B7BC7" w:rsidRDefault="002E500D" w:rsidP="00EB4368">
      <w:pPr>
        <w:pStyle w:val="ListBullet10"/>
        <w:keepNext/>
        <w:keepLines/>
        <w:tabs>
          <w:tab w:val="clear" w:pos="360"/>
          <w:tab w:val="num" w:pos="1134"/>
        </w:tabs>
        <w:ind w:left="1134" w:hanging="425"/>
      </w:pPr>
      <w:r w:rsidRPr="005B7BC7">
        <w:t>donations and bequests for the conduct of research that have been received from Australian business, Australian non-profit organisations and Australian individuals</w:t>
      </w:r>
    </w:p>
    <w:p w:rsidR="00466043" w:rsidRPr="005B7BC7" w:rsidRDefault="00466043" w:rsidP="00E52057">
      <w:pPr>
        <w:pStyle w:val="ListBullet10"/>
        <w:numPr>
          <w:ilvl w:val="0"/>
          <w:numId w:val="0"/>
        </w:numPr>
        <w:ind w:left="709"/>
      </w:pPr>
    </w:p>
    <w:p w:rsidR="00D008EF" w:rsidRPr="005B7BC7" w:rsidRDefault="001A4516" w:rsidP="00E52057">
      <w:pPr>
        <w:pStyle w:val="ListBullet10"/>
        <w:numPr>
          <w:ilvl w:val="0"/>
          <w:numId w:val="0"/>
        </w:numPr>
        <w:ind w:left="709"/>
      </w:pPr>
      <w:r w:rsidRPr="005B7BC7">
        <w:t>HDR fees for domestic students</w:t>
      </w:r>
      <w:r w:rsidR="00860AB9" w:rsidRPr="005B7BC7">
        <w:t>:</w:t>
      </w:r>
      <w:r w:rsidR="002E500D" w:rsidRPr="005B7BC7">
        <w:t xml:space="preserve"> </w:t>
      </w:r>
    </w:p>
    <w:p w:rsidR="002E500D" w:rsidRPr="005B7BC7" w:rsidRDefault="002E500D" w:rsidP="00EB4368">
      <w:pPr>
        <w:pStyle w:val="ListBullet10"/>
        <w:tabs>
          <w:tab w:val="clear" w:pos="360"/>
          <w:tab w:val="num" w:pos="1134"/>
        </w:tabs>
        <w:ind w:left="1134" w:hanging="425"/>
      </w:pPr>
      <w:r w:rsidRPr="005B7BC7">
        <w:t>funds received for providing the cost of a domestic student’s HDR fee-paying place (but excluding Commonwealth supported places or places funded through the RTS). This includes tuition fees</w:t>
      </w:r>
      <w:r w:rsidRPr="005B7BC7">
        <w:rPr>
          <w:rStyle w:val="FootnoteReference"/>
          <w:rFonts w:cs="Arial"/>
        </w:rPr>
        <w:footnoteReference w:id="11"/>
      </w:r>
      <w:r w:rsidRPr="005B7BC7">
        <w:t xml:space="preserve"> that do</w:t>
      </w:r>
      <w:r w:rsidR="00860AB9" w:rsidRPr="005B7BC7">
        <w:t>mestic fee paying students (non-</w:t>
      </w:r>
      <w:r w:rsidRPr="005B7BC7">
        <w:t>Commonwealth supported) pay to their HEP for a HDR program</w:t>
      </w:r>
      <w:r w:rsidR="00860AB9" w:rsidRPr="005B7BC7">
        <w:t xml:space="preserve"> or HDR-related course of study.</w:t>
      </w:r>
    </w:p>
    <w:p w:rsidR="002E500D" w:rsidRPr="005B7BC7" w:rsidRDefault="002E500D" w:rsidP="00E52057">
      <w:pPr>
        <w:pStyle w:val="BodyText21"/>
        <w:ind w:left="709" w:right="-250"/>
        <w:rPr>
          <w:spacing w:val="-2"/>
        </w:rPr>
      </w:pPr>
      <w:r w:rsidRPr="005B7BC7">
        <w:rPr>
          <w:spacing w:val="-2"/>
        </w:rPr>
        <w:t>Many research income arrangements involve grants covered by a contract. In categorising funds as either contract research income or grant income, HEPs should regard:</w:t>
      </w:r>
    </w:p>
    <w:p w:rsidR="002E500D" w:rsidRPr="005B7BC7" w:rsidRDefault="002E500D" w:rsidP="00EB4368">
      <w:pPr>
        <w:pStyle w:val="ListBullet10"/>
        <w:tabs>
          <w:tab w:val="clear" w:pos="360"/>
          <w:tab w:val="num" w:pos="284"/>
        </w:tabs>
        <w:ind w:left="1134" w:hanging="425"/>
      </w:pPr>
      <w:r w:rsidRPr="005B7BC7">
        <w:t>funding for research where the project was developed primarily by the funding agency, or jointly by the funding agency and the investigator(s) as contract research income</w:t>
      </w:r>
    </w:p>
    <w:p w:rsidR="002E500D" w:rsidRPr="005B7BC7" w:rsidRDefault="002E500D" w:rsidP="00EB4368">
      <w:pPr>
        <w:pStyle w:val="ListBullet10"/>
        <w:tabs>
          <w:tab w:val="clear" w:pos="360"/>
          <w:tab w:val="num" w:pos="284"/>
        </w:tabs>
        <w:ind w:left="1134" w:hanging="425"/>
      </w:pPr>
      <w:r w:rsidRPr="005B7BC7">
        <w:t>funding for research where the project was developed primarily by the investigator(s) as grant income.</w:t>
      </w:r>
    </w:p>
    <w:p w:rsidR="0004690F" w:rsidRPr="005B7BC7" w:rsidRDefault="0004690F" w:rsidP="00E52057">
      <w:pPr>
        <w:pStyle w:val="BodyText21"/>
        <w:spacing w:after="120"/>
        <w:ind w:left="709"/>
        <w:rPr>
          <w:rStyle w:val="Strong"/>
        </w:rPr>
      </w:pPr>
      <w:r w:rsidRPr="005B7BC7">
        <w:rPr>
          <w:rStyle w:val="Strong"/>
        </w:rPr>
        <w:t>International</w:t>
      </w:r>
      <w:r w:rsidR="00CE30BB" w:rsidRPr="005B7BC7">
        <w:rPr>
          <w:rStyle w:val="Strong"/>
        </w:rPr>
        <w:t xml:space="preserve"> A: Competitive, Peer-reviewed r</w:t>
      </w:r>
      <w:r w:rsidRPr="005B7BC7">
        <w:rPr>
          <w:rStyle w:val="Strong"/>
        </w:rPr>
        <w:t xml:space="preserve">esearch </w:t>
      </w:r>
      <w:r w:rsidR="00CE30BB" w:rsidRPr="005B7BC7">
        <w:rPr>
          <w:rStyle w:val="Strong"/>
        </w:rPr>
        <w:t>g</w:t>
      </w:r>
      <w:r w:rsidRPr="005B7BC7">
        <w:rPr>
          <w:rStyle w:val="Strong"/>
        </w:rPr>
        <w:t xml:space="preserve">rant </w:t>
      </w:r>
      <w:r w:rsidR="00CE30BB" w:rsidRPr="005B7BC7">
        <w:rPr>
          <w:rStyle w:val="Strong"/>
        </w:rPr>
        <w:t>i</w:t>
      </w:r>
      <w:r w:rsidRPr="005B7BC7">
        <w:rPr>
          <w:rStyle w:val="Strong"/>
        </w:rPr>
        <w:t>ncome</w:t>
      </w:r>
    </w:p>
    <w:p w:rsidR="00EB4368" w:rsidRPr="005B7BC7" w:rsidRDefault="002E500D" w:rsidP="00C14BA3">
      <w:pPr>
        <w:pStyle w:val="ListBullet10"/>
        <w:numPr>
          <w:ilvl w:val="1"/>
          <w:numId w:val="82"/>
        </w:numPr>
        <w:spacing w:after="120"/>
        <w:ind w:left="1134" w:hanging="425"/>
      </w:pPr>
      <w:r w:rsidRPr="005B7BC7">
        <w:t>Competitive grants, peer reviewed grants for research from non-Australian industry or non-Australian Government agencies including non-Australian industry collaborative research grants.</w:t>
      </w:r>
    </w:p>
    <w:p w:rsidR="002E500D" w:rsidRPr="005B7BC7" w:rsidRDefault="002E500D" w:rsidP="00C14BA3">
      <w:pPr>
        <w:pStyle w:val="ListBullet10"/>
        <w:numPr>
          <w:ilvl w:val="1"/>
          <w:numId w:val="82"/>
        </w:numPr>
        <w:spacing w:after="120"/>
        <w:ind w:left="1134" w:hanging="425"/>
      </w:pPr>
      <w:r w:rsidRPr="005B7BC7">
        <w:t>Grants that can be included are those where:</w:t>
      </w:r>
    </w:p>
    <w:p w:rsidR="00EB4368" w:rsidRPr="005B7BC7" w:rsidRDefault="002E500D" w:rsidP="00C14BA3">
      <w:pPr>
        <w:pStyle w:val="List"/>
        <w:numPr>
          <w:ilvl w:val="0"/>
          <w:numId w:val="91"/>
        </w:numPr>
        <w:tabs>
          <w:tab w:val="clear" w:pos="454"/>
          <w:tab w:val="left" w:pos="709"/>
        </w:tabs>
      </w:pPr>
      <w:r w:rsidRPr="005B7BC7">
        <w:t>funds are provided on a competitive basis and are clearly for the conduct of research only; and</w:t>
      </w:r>
    </w:p>
    <w:p w:rsidR="002E500D" w:rsidRPr="005B7BC7" w:rsidRDefault="002E500D" w:rsidP="00C14BA3">
      <w:pPr>
        <w:pStyle w:val="List"/>
        <w:numPr>
          <w:ilvl w:val="0"/>
          <w:numId w:val="91"/>
        </w:numPr>
        <w:tabs>
          <w:tab w:val="clear" w:pos="454"/>
          <w:tab w:val="left" w:pos="709"/>
        </w:tabs>
      </w:pPr>
      <w:r w:rsidRPr="005B7BC7">
        <w:t>there is a well-defined mechanism for competition and selection by a well-qualified panel.</w:t>
      </w:r>
    </w:p>
    <w:p w:rsidR="002E500D" w:rsidRPr="005B7BC7" w:rsidRDefault="002E500D" w:rsidP="00C14BA3">
      <w:pPr>
        <w:pStyle w:val="ListBullet10"/>
        <w:numPr>
          <w:ilvl w:val="0"/>
          <w:numId w:val="92"/>
        </w:numPr>
        <w:spacing w:after="0"/>
        <w:ind w:left="1134" w:hanging="425"/>
      </w:pPr>
      <w:r w:rsidRPr="005B7BC7">
        <w:t>Grants that are not eligible are those that provide:</w:t>
      </w:r>
    </w:p>
    <w:p w:rsidR="00EB4368" w:rsidRPr="005B7BC7" w:rsidRDefault="002E500D" w:rsidP="00C14BA3">
      <w:pPr>
        <w:pStyle w:val="List"/>
        <w:numPr>
          <w:ilvl w:val="0"/>
          <w:numId w:val="93"/>
        </w:numPr>
        <w:tabs>
          <w:tab w:val="clear" w:pos="454"/>
        </w:tabs>
      </w:pPr>
      <w:r w:rsidRPr="005B7BC7">
        <w:t>grants in kind such as the use of facilities, equipment etc. or subsidised travel or accommodation; and</w:t>
      </w:r>
    </w:p>
    <w:p w:rsidR="002E500D" w:rsidRPr="005B7BC7" w:rsidRDefault="002E500D" w:rsidP="00C14BA3">
      <w:pPr>
        <w:pStyle w:val="List"/>
        <w:numPr>
          <w:ilvl w:val="0"/>
          <w:numId w:val="93"/>
        </w:numPr>
        <w:tabs>
          <w:tab w:val="clear" w:pos="454"/>
        </w:tabs>
      </w:pPr>
      <w:r w:rsidRPr="005B7BC7">
        <w:t>funding wholly or mainly for infrastructure purposes.</w:t>
      </w:r>
    </w:p>
    <w:p w:rsidR="00EB4368" w:rsidRDefault="00EB4368" w:rsidP="00E52057">
      <w:pPr>
        <w:pStyle w:val="BodyText21"/>
        <w:spacing w:after="120"/>
        <w:ind w:left="709"/>
        <w:rPr>
          <w:rStyle w:val="Strong"/>
        </w:rPr>
      </w:pPr>
    </w:p>
    <w:p w:rsidR="0004690F" w:rsidRPr="005B7BC7" w:rsidRDefault="0004690F" w:rsidP="00E52057">
      <w:pPr>
        <w:pStyle w:val="BodyText21"/>
        <w:spacing w:after="120"/>
        <w:ind w:left="709"/>
        <w:rPr>
          <w:rStyle w:val="Strong"/>
        </w:rPr>
      </w:pPr>
      <w:r w:rsidRPr="005B7BC7">
        <w:rPr>
          <w:rStyle w:val="Strong"/>
        </w:rPr>
        <w:t xml:space="preserve">International B: Other </w:t>
      </w:r>
      <w:r w:rsidR="00CE30BB" w:rsidRPr="005B7BC7">
        <w:rPr>
          <w:rStyle w:val="Strong"/>
        </w:rPr>
        <w:t>i</w:t>
      </w:r>
      <w:r w:rsidRPr="005B7BC7">
        <w:rPr>
          <w:rStyle w:val="Strong"/>
        </w:rPr>
        <w:t>ncome</w:t>
      </w:r>
    </w:p>
    <w:p w:rsidR="00352070" w:rsidRPr="005B7BC7" w:rsidRDefault="00352070" w:rsidP="00EB4368">
      <w:pPr>
        <w:pStyle w:val="ListBullet10"/>
        <w:tabs>
          <w:tab w:val="clear" w:pos="360"/>
          <w:tab w:val="left" w:pos="284"/>
        </w:tabs>
        <w:ind w:left="1134" w:hanging="425"/>
      </w:pPr>
      <w:r w:rsidRPr="005B7BC7">
        <w:t>contract research provided by non-Australian industry or non-Australian Government agencies including non-Australian industry collaborative research grants</w:t>
      </w:r>
    </w:p>
    <w:p w:rsidR="00352070" w:rsidRPr="005B7BC7" w:rsidRDefault="00352070" w:rsidP="00EB4368">
      <w:pPr>
        <w:pStyle w:val="ListBullet10"/>
        <w:tabs>
          <w:tab w:val="left" w:pos="284"/>
        </w:tabs>
        <w:ind w:left="1134" w:hanging="425"/>
      </w:pPr>
      <w:r w:rsidRPr="005B7BC7">
        <w:t>non-competitive grants for research from non-Australian industry or non-Australian Government agencies including non-Australian industry collaborative research grants</w:t>
      </w:r>
    </w:p>
    <w:p w:rsidR="00352070" w:rsidRPr="005B7BC7" w:rsidRDefault="00352070" w:rsidP="00EB4368">
      <w:pPr>
        <w:pStyle w:val="ListBullet10"/>
        <w:tabs>
          <w:tab w:val="left" w:pos="284"/>
        </w:tabs>
        <w:ind w:left="1134" w:hanging="425"/>
      </w:pPr>
      <w:r w:rsidRPr="005B7BC7">
        <w:t>donations and bequests for conduct of research that have been received from non-Australian business, non-Australian not-for-profit organisations and non-Australian citizens</w:t>
      </w:r>
    </w:p>
    <w:p w:rsidR="001A4516" w:rsidRPr="005B7BC7" w:rsidRDefault="001A4516" w:rsidP="00E52057">
      <w:pPr>
        <w:pStyle w:val="BodyText21"/>
        <w:spacing w:after="120"/>
        <w:ind w:left="709"/>
        <w:rPr>
          <w:rStyle w:val="Strong"/>
        </w:rPr>
      </w:pPr>
      <w:r w:rsidRPr="005B7BC7">
        <w:rPr>
          <w:rStyle w:val="Strong"/>
        </w:rPr>
        <w:lastRenderedPageBreak/>
        <w:t>International C: HDR fees for international students</w:t>
      </w:r>
    </w:p>
    <w:p w:rsidR="00A838B4" w:rsidRPr="005B7BC7" w:rsidRDefault="00A838B4" w:rsidP="00E52057">
      <w:pPr>
        <w:pStyle w:val="BodyText21"/>
        <w:spacing w:after="120"/>
        <w:ind w:left="709"/>
      </w:pPr>
      <w:r w:rsidRPr="005B7BC7">
        <w:t>Category 3 includes:</w:t>
      </w:r>
    </w:p>
    <w:p w:rsidR="001A4516" w:rsidRPr="005B7BC7" w:rsidRDefault="001A4516" w:rsidP="00EB4368">
      <w:pPr>
        <w:pStyle w:val="ListBullet10"/>
        <w:tabs>
          <w:tab w:val="clear" w:pos="360"/>
          <w:tab w:val="num" w:pos="284"/>
        </w:tabs>
        <w:ind w:left="1134" w:hanging="425"/>
      </w:pPr>
      <w:r w:rsidRPr="005B7BC7">
        <w:t>funds received for providing the cost of an international student’s HDR fee-paying place (but excluding Commonwealth supported places). This includes tuition fees</w:t>
      </w:r>
      <w:r w:rsidRPr="005B7BC7">
        <w:rPr>
          <w:rStyle w:val="FootnoteReference"/>
        </w:rPr>
        <w:footnoteReference w:id="12"/>
      </w:r>
      <w:r w:rsidRPr="005B7BC7">
        <w:t xml:space="preserve"> that international fee paying students (non</w:t>
      </w:r>
      <w:r w:rsidR="00352070" w:rsidRPr="005B7BC7">
        <w:t>-</w:t>
      </w:r>
      <w:r w:rsidRPr="005B7BC7">
        <w:t>Commonwealth supported) pay to their HEP for a HDR program or HDR-related course of study.</w:t>
      </w:r>
    </w:p>
    <w:p w:rsidR="006E2A63" w:rsidRPr="005B7BC7" w:rsidRDefault="006E2A63" w:rsidP="00E52057">
      <w:pPr>
        <w:pStyle w:val="BodyText21"/>
        <w:ind w:left="709"/>
        <w:rPr>
          <w:rStyle w:val="Strong"/>
        </w:rPr>
      </w:pPr>
      <w:r w:rsidRPr="005B7BC7">
        <w:rPr>
          <w:rStyle w:val="Strong"/>
        </w:rPr>
        <w:t>For donations and bequests (Australian and international):</w:t>
      </w:r>
    </w:p>
    <w:p w:rsidR="00357795" w:rsidRDefault="006E2A63" w:rsidP="00E52057">
      <w:pPr>
        <w:pStyle w:val="BodyText21"/>
        <w:ind w:left="709"/>
      </w:pPr>
      <w:r w:rsidRPr="005B7BC7">
        <w:t>Where all, or a proportion, of a donation or bequest is invested then only the income earned from that investment which is available for expenditure on research in the reference year should be included.</w:t>
      </w:r>
      <w:bookmarkStart w:id="632" w:name="_7.5_Income_Received"/>
      <w:bookmarkStart w:id="633" w:name="_Toc168817216"/>
      <w:bookmarkStart w:id="634" w:name="_Toc168824835"/>
      <w:bookmarkStart w:id="635" w:name="_7.6_Transfers"/>
      <w:bookmarkStart w:id="636" w:name="_Toc168817220"/>
      <w:bookmarkStart w:id="637" w:name="_Toc168824839"/>
      <w:bookmarkStart w:id="638" w:name="_Toc129761921"/>
      <w:bookmarkStart w:id="639" w:name="_Toc89842573"/>
      <w:bookmarkStart w:id="640" w:name="_Toc89842575"/>
      <w:bookmarkStart w:id="641" w:name="_Toc89842576"/>
      <w:bookmarkStart w:id="642" w:name="_Toc89842577"/>
      <w:bookmarkStart w:id="643" w:name="_Toc89842578"/>
      <w:bookmarkStart w:id="644" w:name="_Toc89842579"/>
      <w:bookmarkStart w:id="645" w:name="_Toc89842580"/>
      <w:bookmarkStart w:id="646" w:name="_Toc89842581"/>
      <w:bookmarkStart w:id="647" w:name="_Toc94942489"/>
      <w:bookmarkStart w:id="648" w:name="_Toc95008778"/>
      <w:bookmarkStart w:id="649" w:name="_Toc95009080"/>
      <w:bookmarkStart w:id="650" w:name="_Toc95010179"/>
      <w:bookmarkStart w:id="651" w:name="_Toc168817222"/>
      <w:bookmarkStart w:id="652" w:name="_Toc168824841"/>
      <w:bookmarkStart w:id="653" w:name="_PART_B"/>
      <w:bookmarkStart w:id="654" w:name="_Toc96678064"/>
      <w:bookmarkStart w:id="655" w:name="_Toc112733807"/>
      <w:bookmarkStart w:id="656" w:name="_Toc112734017"/>
      <w:bookmarkStart w:id="657" w:name="_Toc116182996"/>
      <w:bookmarkStart w:id="658" w:name="_Ref117478140"/>
      <w:bookmarkStart w:id="659" w:name="_Ref124310797"/>
      <w:bookmarkStart w:id="660" w:name="_Ref217106038"/>
      <w:bookmarkStart w:id="661" w:name="_Toc251924132"/>
      <w:bookmarkStart w:id="662" w:name="_Toc87171325"/>
      <w:bookmarkEnd w:id="578"/>
      <w:bookmarkEnd w:id="579"/>
      <w:bookmarkEnd w:id="580"/>
      <w:bookmarkEnd w:id="581"/>
      <w:bookmarkEnd w:id="582"/>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357795" w:rsidRDefault="00357795" w:rsidP="00A91DD7">
      <w:pPr>
        <w:pStyle w:val="StrongUnderline"/>
      </w:pPr>
      <w:r>
        <w:br w:type="page"/>
      </w:r>
    </w:p>
    <w:p w:rsidR="00A838B4" w:rsidRPr="005B7BC7" w:rsidRDefault="00215A3E" w:rsidP="008823B2">
      <w:pPr>
        <w:pStyle w:val="BodyText21"/>
        <w:ind w:left="0"/>
      </w:pPr>
      <w:r w:rsidRPr="008823B2">
        <w:rPr>
          <w:b/>
          <w:sz w:val="28"/>
        </w:rPr>
        <w:lastRenderedPageBreak/>
        <w:t xml:space="preserve">Part </w:t>
      </w:r>
      <w:r w:rsidR="00A838B4" w:rsidRPr="008823B2">
        <w:rPr>
          <w:b/>
          <w:sz w:val="28"/>
        </w:rPr>
        <w:t>B</w:t>
      </w:r>
      <w:bookmarkEnd w:id="654"/>
      <w:bookmarkEnd w:id="655"/>
      <w:bookmarkEnd w:id="656"/>
      <w:bookmarkEnd w:id="657"/>
      <w:bookmarkEnd w:id="658"/>
      <w:bookmarkEnd w:id="659"/>
      <w:bookmarkEnd w:id="660"/>
      <w:bookmarkEnd w:id="661"/>
    </w:p>
    <w:p w:rsidR="00060EB4" w:rsidRPr="005B7BC7" w:rsidRDefault="00060EB4" w:rsidP="005E7E66">
      <w:pPr>
        <w:pStyle w:val="Boxed1"/>
        <w:spacing w:after="240"/>
        <w:rPr>
          <w:rStyle w:val="Strong"/>
        </w:rPr>
      </w:pPr>
      <w:r w:rsidRPr="005B7BC7">
        <w:rPr>
          <w:rStyle w:val="Strong"/>
        </w:rPr>
        <w:t>Part B provides the information necessary for HEPs to determine what can and cannot be included under Category 4 of the Research Income Return</w:t>
      </w:r>
      <w:r w:rsidR="007C1890">
        <w:rPr>
          <w:rStyle w:val="Strong"/>
        </w:rPr>
        <w:t>.</w:t>
      </w:r>
    </w:p>
    <w:p w:rsidR="00060EB4" w:rsidRPr="005B7BC7" w:rsidRDefault="00060EB4" w:rsidP="00060EB4">
      <w:pPr>
        <w:pStyle w:val="Boxed1"/>
        <w:rPr>
          <w:rStyle w:val="Strong"/>
        </w:rPr>
      </w:pPr>
      <w:r w:rsidRPr="005B7BC7">
        <w:rPr>
          <w:rStyle w:val="Strong"/>
        </w:rPr>
        <w:t>For information on Categories 1-3 of the research income return, refer to Part A of this specification document.</w:t>
      </w:r>
    </w:p>
    <w:p w:rsidR="00A838B4" w:rsidRPr="005B7BC7" w:rsidRDefault="00A838B4" w:rsidP="00477661">
      <w:pPr>
        <w:pStyle w:val="Heading1"/>
        <w:spacing w:before="240"/>
      </w:pPr>
      <w:bookmarkStart w:id="663" w:name="_Toc96678065"/>
      <w:bookmarkStart w:id="664" w:name="_Toc112733808"/>
      <w:bookmarkStart w:id="665" w:name="_Toc112734018"/>
      <w:bookmarkStart w:id="666" w:name="_Ref114278348"/>
      <w:bookmarkStart w:id="667" w:name="_Ref114296296"/>
      <w:bookmarkStart w:id="668" w:name="_Toc116182997"/>
      <w:bookmarkStart w:id="669" w:name="_Ref117398551"/>
      <w:bookmarkStart w:id="670" w:name="_Ref124302070"/>
      <w:bookmarkStart w:id="671" w:name="_Ref124324175"/>
      <w:bookmarkStart w:id="672" w:name="_Toc251924133"/>
      <w:bookmarkStart w:id="673" w:name="_Toc406668884"/>
      <w:bookmarkStart w:id="674" w:name="_Toc440030060"/>
      <w:r w:rsidRPr="005B7BC7">
        <w:t>Category 4: C</w:t>
      </w:r>
      <w:bookmarkEnd w:id="663"/>
      <w:bookmarkEnd w:id="664"/>
      <w:bookmarkEnd w:id="665"/>
      <w:bookmarkEnd w:id="666"/>
      <w:r w:rsidRPr="005B7BC7">
        <w:t xml:space="preserve">RC Research </w:t>
      </w:r>
      <w:r w:rsidR="005251E9" w:rsidRPr="005B7BC7">
        <w:t>i</w:t>
      </w:r>
      <w:r w:rsidRPr="005B7BC7">
        <w:t>ncome</w:t>
      </w:r>
      <w:bookmarkEnd w:id="667"/>
      <w:bookmarkEnd w:id="668"/>
      <w:bookmarkEnd w:id="669"/>
      <w:bookmarkEnd w:id="670"/>
      <w:bookmarkEnd w:id="671"/>
      <w:bookmarkEnd w:id="672"/>
      <w:bookmarkEnd w:id="673"/>
      <w:bookmarkEnd w:id="674"/>
    </w:p>
    <w:p w:rsidR="00A838B4" w:rsidRPr="005B7BC7" w:rsidRDefault="00A838B4" w:rsidP="00477661">
      <w:pPr>
        <w:pStyle w:val="Heading2"/>
        <w:numPr>
          <w:ilvl w:val="1"/>
          <w:numId w:val="5"/>
        </w:numPr>
        <w:tabs>
          <w:tab w:val="clear" w:pos="851"/>
        </w:tabs>
      </w:pPr>
      <w:bookmarkStart w:id="675" w:name="_8.1_General_requirements"/>
      <w:bookmarkStart w:id="676" w:name="_Ref114296421"/>
      <w:bookmarkStart w:id="677" w:name="_Toc116182998"/>
      <w:bookmarkStart w:id="678" w:name="_Toc251924134"/>
      <w:bookmarkStart w:id="679" w:name="_Toc406668885"/>
      <w:bookmarkStart w:id="680" w:name="_Toc440030061"/>
      <w:bookmarkEnd w:id="675"/>
      <w:r w:rsidRPr="005B7BC7">
        <w:t>General requirements</w:t>
      </w:r>
      <w:bookmarkEnd w:id="676"/>
      <w:bookmarkEnd w:id="677"/>
      <w:bookmarkEnd w:id="678"/>
      <w:bookmarkEnd w:id="679"/>
      <w:bookmarkEnd w:id="680"/>
    </w:p>
    <w:p w:rsidR="00BD2232" w:rsidRPr="005B7BC7" w:rsidRDefault="00A838B4" w:rsidP="00D833FF">
      <w:pPr>
        <w:pStyle w:val="BodyText1"/>
      </w:pPr>
      <w:r w:rsidRPr="005B7BC7">
        <w:t xml:space="preserve">Under Category 4: CRC </w:t>
      </w:r>
      <w:r w:rsidR="0090573B" w:rsidRPr="005B7BC7">
        <w:t>r</w:t>
      </w:r>
      <w:r w:rsidRPr="005B7BC7">
        <w:t xml:space="preserve">esearch </w:t>
      </w:r>
      <w:r w:rsidR="0090573B" w:rsidRPr="005B7BC7">
        <w:t>i</w:t>
      </w:r>
      <w:r w:rsidRPr="005B7BC7">
        <w:t xml:space="preserve">ncome, HEPs must report the research income received for the </w:t>
      </w:r>
      <w:r w:rsidR="00E731B7">
        <w:t>201</w:t>
      </w:r>
      <w:r w:rsidR="00F31E71">
        <w:t>5</w:t>
      </w:r>
      <w:r w:rsidR="00E731B7">
        <w:t>-1</w:t>
      </w:r>
      <w:r w:rsidR="00F31E71">
        <w:t>6</w:t>
      </w:r>
      <w:r w:rsidR="001A4516" w:rsidRPr="005B7BC7">
        <w:t xml:space="preserve"> </w:t>
      </w:r>
      <w:r w:rsidRPr="005B7BC7">
        <w:t xml:space="preserve">financial year from a CRC in which they were </w:t>
      </w:r>
      <w:r w:rsidR="00C2658F" w:rsidRPr="005B7BC7">
        <w:t>defined within the Commonwealth Agreement as a “Participant”</w:t>
      </w:r>
      <w:r w:rsidR="0030183A" w:rsidRPr="005B7BC7">
        <w:t>,</w:t>
      </w:r>
      <w:r w:rsidR="00C2658F" w:rsidRPr="005B7BC7">
        <w:t xml:space="preserve"> </w:t>
      </w:r>
      <w:r w:rsidR="0030183A" w:rsidRPr="005B7BC7">
        <w:t xml:space="preserve">and </w:t>
      </w:r>
      <w:r w:rsidR="0088245F" w:rsidRPr="005B7BC7">
        <w:t>are</w:t>
      </w:r>
      <w:r w:rsidR="0030183A" w:rsidRPr="005B7BC7">
        <w:t xml:space="preserve"> a signatory to the CRC‘s Commonwealth Agree</w:t>
      </w:r>
      <w:r w:rsidR="0088245F" w:rsidRPr="005B7BC7">
        <w:t>ment or Participant‘s Agreement</w:t>
      </w:r>
      <w:r w:rsidR="00BD2232" w:rsidRPr="005B7BC7">
        <w:t>.</w:t>
      </w:r>
    </w:p>
    <w:p w:rsidR="00A838B4" w:rsidRPr="005B7BC7" w:rsidRDefault="00AF0625" w:rsidP="00D833FF">
      <w:pPr>
        <w:pStyle w:val="BodyText1"/>
      </w:pPr>
      <w:r w:rsidRPr="005B7BC7">
        <w:t>Income received from CRCs</w:t>
      </w:r>
      <w:r w:rsidR="00A838B4" w:rsidRPr="005B7BC7">
        <w:t xml:space="preserve"> in whic</w:t>
      </w:r>
      <w:r w:rsidR="00C31EE3" w:rsidRPr="005B7BC7">
        <w:t xml:space="preserve">h </w:t>
      </w:r>
      <w:r w:rsidRPr="005B7BC7">
        <w:t>the reporting HEP is</w:t>
      </w:r>
      <w:r w:rsidR="00C31EE3" w:rsidRPr="005B7BC7">
        <w:t xml:space="preserve"> not</w:t>
      </w:r>
      <w:r w:rsidR="00C2658F" w:rsidRPr="005B7BC7">
        <w:t xml:space="preserve"> a Participant</w:t>
      </w:r>
      <w:r w:rsidR="00A838B4" w:rsidRPr="005B7BC7">
        <w:t xml:space="preserve"> must be reported under Category 2: Other </w:t>
      </w:r>
      <w:r w:rsidR="0090573B" w:rsidRPr="005B7BC7">
        <w:t>p</w:t>
      </w:r>
      <w:r w:rsidR="00A838B4" w:rsidRPr="005B7BC7">
        <w:t xml:space="preserve">ublic </w:t>
      </w:r>
      <w:r w:rsidR="0090573B" w:rsidRPr="005B7BC7">
        <w:t>s</w:t>
      </w:r>
      <w:r w:rsidR="00A838B4" w:rsidRPr="005B7BC7">
        <w:t xml:space="preserve">ector </w:t>
      </w:r>
      <w:r w:rsidR="0090573B" w:rsidRPr="005B7BC7">
        <w:t>r</w:t>
      </w:r>
      <w:r w:rsidR="00A838B4" w:rsidRPr="005B7BC7">
        <w:t xml:space="preserve">esearch </w:t>
      </w:r>
      <w:r w:rsidR="0090573B" w:rsidRPr="005B7BC7">
        <w:t>i</w:t>
      </w:r>
      <w:r w:rsidR="00A838B4" w:rsidRPr="005B7BC7">
        <w:t xml:space="preserve">ncome (as per </w:t>
      </w:r>
      <w:r w:rsidR="00A838B4" w:rsidRPr="005B7BC7">
        <w:rPr>
          <w:rStyle w:val="Strong"/>
        </w:rPr>
        <w:t>section</w:t>
      </w:r>
      <w:r w:rsidR="004100D5">
        <w:rPr>
          <w:rStyle w:val="Strong"/>
        </w:rPr>
        <w:t xml:space="preserve"> </w:t>
      </w:r>
      <w:r w:rsidR="004100D5">
        <w:rPr>
          <w:rStyle w:val="Strong"/>
        </w:rPr>
        <w:fldChar w:fldCharType="begin"/>
      </w:r>
      <w:r w:rsidR="004100D5">
        <w:rPr>
          <w:rStyle w:val="Strong"/>
        </w:rPr>
        <w:instrText xml:space="preserve"> REF _Ref445299481 \r \h </w:instrText>
      </w:r>
      <w:r w:rsidR="004100D5">
        <w:rPr>
          <w:rStyle w:val="Strong"/>
        </w:rPr>
      </w:r>
      <w:r w:rsidR="004100D5">
        <w:rPr>
          <w:rStyle w:val="Strong"/>
        </w:rPr>
        <w:fldChar w:fldCharType="separate"/>
      </w:r>
      <w:r w:rsidR="007D5E9F">
        <w:rPr>
          <w:rStyle w:val="Strong"/>
        </w:rPr>
        <w:t>4.5.2</w:t>
      </w:r>
      <w:r w:rsidR="004100D5">
        <w:rPr>
          <w:rStyle w:val="Strong"/>
        </w:rPr>
        <w:fldChar w:fldCharType="end"/>
      </w:r>
      <w:r w:rsidR="00A838B4" w:rsidRPr="005B7BC7">
        <w:rPr>
          <w:rStyle w:val="Strong"/>
        </w:rPr>
        <w:t xml:space="preserve"> </w:t>
      </w:r>
      <w:r w:rsidRPr="005B7BC7">
        <w:rPr>
          <w:rStyle w:val="Strong"/>
        </w:rPr>
        <w:t>of P</w:t>
      </w:r>
      <w:r w:rsidR="00F91E94" w:rsidRPr="005B7BC7">
        <w:rPr>
          <w:rStyle w:val="Strong"/>
        </w:rPr>
        <w:t>art A</w:t>
      </w:r>
      <w:r w:rsidR="00A838B4" w:rsidRPr="005B7BC7">
        <w:t>).</w:t>
      </w:r>
    </w:p>
    <w:p w:rsidR="00A838B4" w:rsidRPr="005B7BC7" w:rsidRDefault="00A838B4" w:rsidP="00267540">
      <w:pPr>
        <w:pStyle w:val="BodyText1"/>
        <w:spacing w:after="120"/>
      </w:pPr>
      <w:r w:rsidRPr="005B7BC7">
        <w:t>Category 4 comprises the following subcategories:</w:t>
      </w:r>
    </w:p>
    <w:p w:rsidR="00A838B4" w:rsidRPr="005B7BC7" w:rsidRDefault="00A838B4" w:rsidP="00C91F64">
      <w:pPr>
        <w:pStyle w:val="ListBullet10"/>
      </w:pPr>
      <w:r w:rsidRPr="005B7BC7">
        <w:t>research income derived from Australian Government grants to CRCs</w:t>
      </w:r>
    </w:p>
    <w:p w:rsidR="00A838B4" w:rsidRPr="005B7BC7" w:rsidRDefault="00A838B4" w:rsidP="00C91F64">
      <w:pPr>
        <w:pStyle w:val="ListBullet10"/>
      </w:pPr>
      <w:r w:rsidRPr="005B7BC7">
        <w:t>research income derived from non-HEP members of CRCs</w:t>
      </w:r>
    </w:p>
    <w:p w:rsidR="00A838B4" w:rsidRPr="005B7BC7" w:rsidRDefault="00A838B4" w:rsidP="00C91F64">
      <w:pPr>
        <w:pStyle w:val="ListBullet10"/>
      </w:pPr>
      <w:r w:rsidRPr="005B7BC7">
        <w:t xml:space="preserve">research income derived from </w:t>
      </w:r>
      <w:r w:rsidR="00670395" w:rsidRPr="005B7BC7">
        <w:t xml:space="preserve">external </w:t>
      </w:r>
      <w:r w:rsidRPr="005B7BC7">
        <w:t>parties contributing to CRCs.</w:t>
      </w:r>
    </w:p>
    <w:p w:rsidR="00A838B4" w:rsidRPr="005B7BC7" w:rsidRDefault="00A838B4" w:rsidP="00D833FF">
      <w:pPr>
        <w:pStyle w:val="BodyText1"/>
      </w:pPr>
      <w:r w:rsidRPr="005B7BC7">
        <w:t xml:space="preserve">HEPs must consolidate the research income from all CRCs in which they </w:t>
      </w:r>
      <w:r w:rsidR="004424FF" w:rsidRPr="005B7BC7">
        <w:t>were</w:t>
      </w:r>
      <w:r w:rsidRPr="005B7BC7">
        <w:t xml:space="preserve"> </w:t>
      </w:r>
      <w:r w:rsidR="00632CA4" w:rsidRPr="005B7BC7">
        <w:t xml:space="preserve">a </w:t>
      </w:r>
      <w:r w:rsidR="002309B3" w:rsidRPr="005B7BC7">
        <w:t>Participant</w:t>
      </w:r>
      <w:r w:rsidRPr="005B7BC7">
        <w:t xml:space="preserve"> and enter this into Research Income </w:t>
      </w:r>
      <w:r w:rsidR="00953974" w:rsidRPr="005B7BC7">
        <w:t xml:space="preserve">Return - </w:t>
      </w:r>
      <w:r w:rsidR="00AC1F8D" w:rsidRPr="005B7BC7">
        <w:t>R</w:t>
      </w:r>
      <w:r w:rsidRPr="005B7BC7">
        <w:t xml:space="preserve">eturn 1, </w:t>
      </w:r>
      <w:r w:rsidR="00AF0625" w:rsidRPr="005B7BC7">
        <w:t xml:space="preserve">categorised </w:t>
      </w:r>
      <w:r w:rsidRPr="005B7BC7">
        <w:t>according to the appropriate subcategories. This data does not need to be split between HEPs and their subsidiaries.</w:t>
      </w:r>
    </w:p>
    <w:p w:rsidR="00A838B4" w:rsidRPr="005B7BC7" w:rsidRDefault="00A838B4" w:rsidP="00D833FF">
      <w:pPr>
        <w:pStyle w:val="BodyText1"/>
      </w:pPr>
      <w:r w:rsidRPr="005B7BC7">
        <w:rPr>
          <w:rStyle w:val="Strong"/>
        </w:rPr>
        <w:t xml:space="preserve">Section </w:t>
      </w:r>
      <w:r w:rsidR="00563E62" w:rsidRPr="005B7BC7">
        <w:rPr>
          <w:rStyle w:val="Strong"/>
        </w:rPr>
        <w:t>5.5</w:t>
      </w:r>
      <w:r w:rsidR="003D155F" w:rsidRPr="005B7BC7">
        <w:rPr>
          <w:rStyle w:val="Strong"/>
        </w:rPr>
        <w:t xml:space="preserve"> </w:t>
      </w:r>
      <w:r w:rsidR="00F91E94" w:rsidRPr="005B7BC7">
        <w:rPr>
          <w:rStyle w:val="Strong"/>
        </w:rPr>
        <w:t xml:space="preserve">of </w:t>
      </w:r>
      <w:r w:rsidR="001668AE" w:rsidRPr="005B7BC7">
        <w:rPr>
          <w:rStyle w:val="Strong"/>
        </w:rPr>
        <w:t>P</w:t>
      </w:r>
      <w:r w:rsidRPr="005B7BC7">
        <w:rPr>
          <w:rStyle w:val="Strong"/>
        </w:rPr>
        <w:t>art</w:t>
      </w:r>
      <w:r w:rsidR="00F91E94" w:rsidRPr="005B7BC7">
        <w:rPr>
          <w:rStyle w:val="Strong"/>
        </w:rPr>
        <w:t xml:space="preserve"> B</w:t>
      </w:r>
      <w:r w:rsidRPr="005B7BC7">
        <w:t xml:space="preserve"> provides guidance for HEPs that are unable to </w:t>
      </w:r>
      <w:r w:rsidR="00AF0625" w:rsidRPr="005B7BC7">
        <w:t>easily categorise</w:t>
      </w:r>
      <w:r w:rsidRPr="005B7BC7">
        <w:t xml:space="preserve"> research income </w:t>
      </w:r>
      <w:r w:rsidR="00AF0625" w:rsidRPr="005B7BC7">
        <w:t>into the</w:t>
      </w:r>
      <w:r w:rsidRPr="005B7BC7">
        <w:t xml:space="preserve"> subcategories </w:t>
      </w:r>
      <w:r w:rsidR="00AF0625" w:rsidRPr="005B7BC7">
        <w:t>using</w:t>
      </w:r>
      <w:r w:rsidRPr="005B7BC7">
        <w:t xml:space="preserve"> CRCs accounting systems.</w:t>
      </w:r>
    </w:p>
    <w:p w:rsidR="00A838B4" w:rsidRPr="005B7BC7" w:rsidRDefault="00A838B4" w:rsidP="00477661">
      <w:pPr>
        <w:pStyle w:val="Heading2"/>
        <w:numPr>
          <w:ilvl w:val="1"/>
          <w:numId w:val="5"/>
        </w:numPr>
        <w:tabs>
          <w:tab w:val="clear" w:pos="851"/>
        </w:tabs>
      </w:pPr>
      <w:bookmarkStart w:id="681" w:name="_8.2_Arrangements_applying"/>
      <w:bookmarkStart w:id="682" w:name="_Toc168817227"/>
      <w:bookmarkStart w:id="683" w:name="_Toc168824846"/>
      <w:bookmarkStart w:id="684" w:name="_Toc96678066"/>
      <w:bookmarkStart w:id="685" w:name="_Toc112733809"/>
      <w:bookmarkStart w:id="686" w:name="_Toc112734019"/>
      <w:bookmarkStart w:id="687" w:name="_Toc116182999"/>
      <w:bookmarkStart w:id="688" w:name="_Ref147806563"/>
      <w:bookmarkStart w:id="689" w:name="_Toc251924135"/>
      <w:bookmarkStart w:id="690" w:name="_Toc406668886"/>
      <w:bookmarkStart w:id="691" w:name="_Toc440030062"/>
      <w:bookmarkStart w:id="692" w:name="_Ref440032402"/>
      <w:bookmarkEnd w:id="681"/>
      <w:bookmarkEnd w:id="682"/>
      <w:bookmarkEnd w:id="683"/>
      <w:r w:rsidRPr="005B7BC7">
        <w:t xml:space="preserve">Arrangements applying to the collection and certification of CRC </w:t>
      </w:r>
      <w:r w:rsidR="00CE30BB" w:rsidRPr="005B7BC7">
        <w:t>r</w:t>
      </w:r>
      <w:r w:rsidRPr="005B7BC7">
        <w:t xml:space="preserve">esearch </w:t>
      </w:r>
      <w:r w:rsidR="00CE30BB" w:rsidRPr="005B7BC7">
        <w:t>i</w:t>
      </w:r>
      <w:r w:rsidRPr="005B7BC7">
        <w:t>ncome</w:t>
      </w:r>
      <w:bookmarkEnd w:id="684"/>
      <w:bookmarkEnd w:id="685"/>
      <w:bookmarkEnd w:id="686"/>
      <w:bookmarkEnd w:id="687"/>
      <w:bookmarkEnd w:id="688"/>
      <w:bookmarkEnd w:id="689"/>
      <w:bookmarkEnd w:id="690"/>
      <w:bookmarkEnd w:id="691"/>
      <w:bookmarkEnd w:id="692"/>
    </w:p>
    <w:p w:rsidR="00A838B4" w:rsidRPr="005B7BC7" w:rsidRDefault="00A838B4" w:rsidP="00D833FF">
      <w:pPr>
        <w:pStyle w:val="BodyText1"/>
      </w:pPr>
      <w:r w:rsidRPr="005B7BC7">
        <w:t xml:space="preserve">HEPs must determine the eligible research income that they can report under Category 4: CRC </w:t>
      </w:r>
      <w:r w:rsidR="0090573B" w:rsidRPr="005B7BC7">
        <w:t>r</w:t>
      </w:r>
      <w:r w:rsidRPr="005B7BC7">
        <w:t xml:space="preserve">esearch </w:t>
      </w:r>
      <w:r w:rsidR="0090573B" w:rsidRPr="005B7BC7">
        <w:t>i</w:t>
      </w:r>
      <w:r w:rsidRPr="005B7BC7">
        <w:t xml:space="preserve">ncome for the financial year </w:t>
      </w:r>
      <w:r w:rsidR="005F7D8E" w:rsidRPr="005B7BC7">
        <w:t>201</w:t>
      </w:r>
      <w:r w:rsidR="00F31E71">
        <w:t>5</w:t>
      </w:r>
      <w:r w:rsidR="005F7D8E" w:rsidRPr="005B7BC7">
        <w:t>-1</w:t>
      </w:r>
      <w:r w:rsidR="00F31E71">
        <w:t>6</w:t>
      </w:r>
      <w:r w:rsidR="00256EBA" w:rsidRPr="005B7BC7">
        <w:t xml:space="preserve">. HEPs </w:t>
      </w:r>
      <w:r w:rsidRPr="005B7BC7">
        <w:t xml:space="preserve">must </w:t>
      </w:r>
      <w:r w:rsidR="00256EBA" w:rsidRPr="005B7BC7">
        <w:t xml:space="preserve">also </w:t>
      </w:r>
      <w:r w:rsidRPr="005B7BC7">
        <w:t>verify research income data with the respective CRCs in which they are</w:t>
      </w:r>
      <w:r w:rsidR="00815B74" w:rsidRPr="005B7BC7">
        <w:t xml:space="preserve"> a Participant.</w:t>
      </w:r>
    </w:p>
    <w:p w:rsidR="00BD2232" w:rsidRPr="005B7BC7" w:rsidRDefault="00A838B4" w:rsidP="00D833FF">
      <w:pPr>
        <w:pStyle w:val="BodyText1"/>
      </w:pPr>
      <w:r w:rsidRPr="005B7BC7">
        <w:t xml:space="preserve">HEPs must certify that Category 4: CRC </w:t>
      </w:r>
      <w:r w:rsidR="0090573B" w:rsidRPr="005B7BC7">
        <w:t>r</w:t>
      </w:r>
      <w:r w:rsidRPr="005B7BC7">
        <w:t xml:space="preserve">esearch </w:t>
      </w:r>
      <w:r w:rsidR="0090573B" w:rsidRPr="005B7BC7">
        <w:t>i</w:t>
      </w:r>
      <w:r w:rsidRPr="005B7BC7">
        <w:t xml:space="preserve">ncome data is correct, as reported in the Research Income </w:t>
      </w:r>
      <w:r w:rsidR="00A568C0" w:rsidRPr="005B7BC7">
        <w:t>Return - R</w:t>
      </w:r>
      <w:r w:rsidRPr="005B7BC7">
        <w:t>eturn 1, through provision of the Vice-Chancellor’s Certification Statement and the Audit Certificate</w:t>
      </w:r>
      <w:r w:rsidR="00BD2232" w:rsidRPr="005B7BC7">
        <w:t>.</w:t>
      </w:r>
    </w:p>
    <w:p w:rsidR="00A838B4" w:rsidRPr="005B7BC7" w:rsidRDefault="00A838B4" w:rsidP="00F37143">
      <w:pPr>
        <w:pStyle w:val="Heading2"/>
        <w:keepLines/>
        <w:numPr>
          <w:ilvl w:val="1"/>
          <w:numId w:val="5"/>
        </w:numPr>
      </w:pPr>
      <w:bookmarkStart w:id="693" w:name="_8.3_Eligible_research"/>
      <w:bookmarkStart w:id="694" w:name="_Toc96675251"/>
      <w:bookmarkStart w:id="695" w:name="_Toc115747832"/>
      <w:bookmarkStart w:id="696" w:name="_Toc116183000"/>
      <w:bookmarkStart w:id="697" w:name="_Toc115747833"/>
      <w:bookmarkStart w:id="698" w:name="_Toc116183001"/>
      <w:bookmarkStart w:id="699" w:name="_Toc115747835"/>
      <w:bookmarkStart w:id="700" w:name="_Toc116183003"/>
      <w:bookmarkStart w:id="701" w:name="_Toc96678073"/>
      <w:bookmarkStart w:id="702" w:name="_Toc112733815"/>
      <w:bookmarkStart w:id="703" w:name="_Toc112734025"/>
      <w:bookmarkStart w:id="704" w:name="_Ref114293285"/>
      <w:bookmarkStart w:id="705" w:name="_Ref114295609"/>
      <w:bookmarkStart w:id="706" w:name="_Toc116183004"/>
      <w:bookmarkStart w:id="707" w:name="_Toc251924136"/>
      <w:bookmarkStart w:id="708" w:name="_Toc406668887"/>
      <w:bookmarkStart w:id="709" w:name="_Toc440030063"/>
      <w:bookmarkStart w:id="710" w:name="_Toc96678072"/>
      <w:bookmarkStart w:id="711" w:name="_Toc112733814"/>
      <w:bookmarkStart w:id="712" w:name="_Toc112734024"/>
      <w:bookmarkStart w:id="713" w:name="_Ref114288057"/>
      <w:bookmarkStart w:id="714" w:name="_Ref114290953"/>
      <w:bookmarkEnd w:id="693"/>
      <w:bookmarkEnd w:id="694"/>
      <w:bookmarkEnd w:id="695"/>
      <w:bookmarkEnd w:id="696"/>
      <w:bookmarkEnd w:id="697"/>
      <w:bookmarkEnd w:id="698"/>
      <w:bookmarkEnd w:id="699"/>
      <w:bookmarkEnd w:id="700"/>
      <w:r w:rsidRPr="005B7BC7">
        <w:t>Eligible research income</w:t>
      </w:r>
      <w:bookmarkEnd w:id="701"/>
      <w:bookmarkEnd w:id="702"/>
      <w:bookmarkEnd w:id="703"/>
      <w:bookmarkEnd w:id="704"/>
      <w:bookmarkEnd w:id="705"/>
      <w:bookmarkEnd w:id="706"/>
      <w:bookmarkEnd w:id="707"/>
      <w:bookmarkEnd w:id="708"/>
      <w:bookmarkEnd w:id="709"/>
    </w:p>
    <w:bookmarkEnd w:id="710"/>
    <w:bookmarkEnd w:id="711"/>
    <w:bookmarkEnd w:id="712"/>
    <w:bookmarkEnd w:id="713"/>
    <w:bookmarkEnd w:id="714"/>
    <w:p w:rsidR="00A838B4" w:rsidRPr="005B7BC7" w:rsidRDefault="00A838B4" w:rsidP="00267540">
      <w:pPr>
        <w:pStyle w:val="BodyText1"/>
        <w:keepNext/>
        <w:keepLines/>
        <w:spacing w:after="120"/>
      </w:pPr>
      <w:r w:rsidRPr="005B7BC7">
        <w:t>To be counted in Category 4, all research income must:</w:t>
      </w:r>
    </w:p>
    <w:p w:rsidR="00A838B4" w:rsidRPr="005B7BC7" w:rsidRDefault="00A838B4" w:rsidP="00C91F64">
      <w:pPr>
        <w:pStyle w:val="ListBullet10"/>
      </w:pPr>
      <w:r w:rsidRPr="005B7BC7">
        <w:t xml:space="preserve">be received by a HEP and its subsidiaries for the financial year </w:t>
      </w:r>
      <w:r w:rsidR="005F7D8E" w:rsidRPr="005B7BC7">
        <w:t>201</w:t>
      </w:r>
      <w:r w:rsidR="00B2375E">
        <w:t>5</w:t>
      </w:r>
      <w:r w:rsidR="005F7D8E" w:rsidRPr="005B7BC7">
        <w:t>-1</w:t>
      </w:r>
      <w:r w:rsidR="00B2375E">
        <w:t>6</w:t>
      </w:r>
    </w:p>
    <w:p w:rsidR="00A838B4" w:rsidRPr="005B7BC7" w:rsidRDefault="00A838B4" w:rsidP="00C91F64">
      <w:pPr>
        <w:pStyle w:val="ListBullet10"/>
      </w:pPr>
      <w:r w:rsidRPr="005B7BC7">
        <w:t xml:space="preserve">be classified into subcategories (see </w:t>
      </w:r>
      <w:r w:rsidRPr="005B7BC7">
        <w:rPr>
          <w:rStyle w:val="Strong"/>
        </w:rPr>
        <w:t xml:space="preserve">section </w:t>
      </w:r>
      <w:r w:rsidR="00051D5C">
        <w:rPr>
          <w:rStyle w:val="Strong"/>
        </w:rPr>
        <w:fldChar w:fldCharType="begin"/>
      </w:r>
      <w:r w:rsidR="00051D5C">
        <w:rPr>
          <w:rStyle w:val="Strong"/>
        </w:rPr>
        <w:instrText xml:space="preserve"> REF _Ref114296421 \r \h </w:instrText>
      </w:r>
      <w:r w:rsidR="00051D5C">
        <w:rPr>
          <w:rStyle w:val="Strong"/>
        </w:rPr>
      </w:r>
      <w:r w:rsidR="00051D5C">
        <w:rPr>
          <w:rStyle w:val="Strong"/>
        </w:rPr>
        <w:fldChar w:fldCharType="separate"/>
      </w:r>
      <w:r w:rsidR="007D5E9F">
        <w:rPr>
          <w:rStyle w:val="Strong"/>
        </w:rPr>
        <w:t>5.1</w:t>
      </w:r>
      <w:r w:rsidR="00051D5C">
        <w:rPr>
          <w:rStyle w:val="Strong"/>
        </w:rPr>
        <w:fldChar w:fldCharType="end"/>
      </w:r>
      <w:r w:rsidR="00F91E94" w:rsidRPr="005B7BC7">
        <w:rPr>
          <w:rStyle w:val="Strong"/>
        </w:rPr>
        <w:t xml:space="preserve"> of </w:t>
      </w:r>
      <w:r w:rsidR="001668AE" w:rsidRPr="005B7BC7">
        <w:rPr>
          <w:rStyle w:val="Strong"/>
        </w:rPr>
        <w:t>P</w:t>
      </w:r>
      <w:r w:rsidR="00F91E94" w:rsidRPr="005B7BC7">
        <w:rPr>
          <w:rStyle w:val="Strong"/>
        </w:rPr>
        <w:t>art B</w:t>
      </w:r>
      <w:r w:rsidRPr="005B7BC7">
        <w:t>)</w:t>
      </w:r>
    </w:p>
    <w:p w:rsidR="00FF02EC" w:rsidRDefault="00A838B4" w:rsidP="00C91F64">
      <w:pPr>
        <w:pStyle w:val="ListBullet10"/>
      </w:pPr>
      <w:r w:rsidRPr="005B7BC7">
        <w:t xml:space="preserve">comply with the definition of research </w:t>
      </w:r>
    </w:p>
    <w:p w:rsidR="00A838B4" w:rsidRPr="005B7BC7" w:rsidRDefault="00A838B4" w:rsidP="00C91F64">
      <w:pPr>
        <w:pStyle w:val="ListBullet10"/>
      </w:pPr>
      <w:r w:rsidRPr="005B7BC7">
        <w:t>be provided to a HEP account, for the HEP to spend</w:t>
      </w:r>
      <w:r w:rsidR="00D77FB3" w:rsidRPr="005B7BC7">
        <w:t xml:space="preserve"> (net receipted income)</w:t>
      </w:r>
      <w:r w:rsidRPr="005B7BC7">
        <w:t>.</w:t>
      </w:r>
    </w:p>
    <w:p w:rsidR="00A838B4" w:rsidRPr="005B7BC7" w:rsidRDefault="00A838B4" w:rsidP="00F37143">
      <w:pPr>
        <w:pStyle w:val="BodyText21"/>
        <w:keepNext/>
        <w:keepLines/>
        <w:spacing w:after="120"/>
        <w:ind w:left="0"/>
      </w:pPr>
      <w:r w:rsidRPr="005B7BC7">
        <w:t>Types of research income eligible to be counted include:</w:t>
      </w:r>
    </w:p>
    <w:p w:rsidR="00A838B4" w:rsidRPr="005B7BC7" w:rsidRDefault="00A838B4" w:rsidP="00F37143">
      <w:pPr>
        <w:pStyle w:val="ListBullet10"/>
        <w:keepNext/>
        <w:keepLines/>
      </w:pPr>
      <w:r w:rsidRPr="005B7BC7">
        <w:t>funds for non-capital aspects of facilities such as laboratories, libraries, computing centres, animal houses, herbaria, and experimental farms</w:t>
      </w:r>
    </w:p>
    <w:p w:rsidR="00A838B4" w:rsidRPr="005B7BC7" w:rsidRDefault="00A838B4" w:rsidP="00C91F64">
      <w:pPr>
        <w:pStyle w:val="ListBullet10"/>
      </w:pPr>
      <w:r w:rsidRPr="005B7BC7">
        <w:t>funds for equipment purchase, installation, maintenance, hire and lease</w:t>
      </w:r>
    </w:p>
    <w:p w:rsidR="00A838B4" w:rsidRPr="005B7BC7" w:rsidRDefault="00A838B4" w:rsidP="00C91F64">
      <w:pPr>
        <w:pStyle w:val="ListBullet10"/>
      </w:pPr>
      <w:r w:rsidRPr="005B7BC7">
        <w:lastRenderedPageBreak/>
        <w:t>funds for salaries of research staff and research support staff</w:t>
      </w:r>
    </w:p>
    <w:p w:rsidR="00A838B4" w:rsidRPr="005B7BC7" w:rsidRDefault="00A838B4" w:rsidP="00C91F64">
      <w:pPr>
        <w:pStyle w:val="ListBullet10"/>
      </w:pPr>
      <w:r w:rsidRPr="005B7BC7">
        <w:t xml:space="preserve">funds providing a stipend to a student and/or the cost of a student’s higher degree by research fee-paying place, unless the places are </w:t>
      </w:r>
      <w:r w:rsidR="008728DB" w:rsidRPr="005B7BC7">
        <w:t xml:space="preserve">Commonwealth supported places or </w:t>
      </w:r>
      <w:r w:rsidRPr="005B7BC7">
        <w:t>funded through the Research Training Scheme, Australian Postgraduate Awards</w:t>
      </w:r>
      <w:r w:rsidR="00C31EE3" w:rsidRPr="005B7BC7">
        <w:t xml:space="preserve">, </w:t>
      </w:r>
      <w:r w:rsidRPr="005B7BC7">
        <w:t>or International Postgraduate Research Scholarships</w:t>
      </w:r>
    </w:p>
    <w:p w:rsidR="00A838B4" w:rsidRPr="005B7BC7" w:rsidRDefault="00A838B4" w:rsidP="00C91F64">
      <w:pPr>
        <w:pStyle w:val="ListBullet10"/>
      </w:pPr>
      <w:r w:rsidRPr="005B7BC7">
        <w:t xml:space="preserve">payments for contracted projects which meet the definition of research </w:t>
      </w:r>
    </w:p>
    <w:p w:rsidR="00A838B4" w:rsidRPr="005B7BC7" w:rsidRDefault="00A838B4" w:rsidP="00C91F64">
      <w:pPr>
        <w:pStyle w:val="ListBullet10"/>
      </w:pPr>
      <w:r w:rsidRPr="005B7BC7">
        <w:t xml:space="preserve">funds provided specifically for the purpose of travel to enable access to a </w:t>
      </w:r>
      <w:r w:rsidR="00A4799F" w:rsidRPr="005B7BC7">
        <w:t>program</w:t>
      </w:r>
      <w:r w:rsidR="00EB7B7F" w:rsidRPr="005B7BC7">
        <w:t xml:space="preserve"> of research.</w:t>
      </w:r>
      <w:r w:rsidR="00AC7885" w:rsidRPr="005B7BC7">
        <w:t xml:space="preserve"> </w:t>
      </w:r>
      <w:r w:rsidR="00EB7B7F" w:rsidRPr="005B7BC7">
        <w:t>Researchers</w:t>
      </w:r>
      <w:r w:rsidRPr="005B7BC7">
        <w:t xml:space="preserve"> using the funds are expected to be active participants in the research </w:t>
      </w:r>
      <w:r w:rsidR="00A4799F" w:rsidRPr="005B7BC7">
        <w:t>program</w:t>
      </w:r>
      <w:r w:rsidRPr="005B7BC7">
        <w:t>, rather than observers or visitors.</w:t>
      </w:r>
    </w:p>
    <w:p w:rsidR="00A838B4" w:rsidRPr="005B7BC7" w:rsidRDefault="00A838B4" w:rsidP="00F37143">
      <w:pPr>
        <w:pStyle w:val="Heading2"/>
        <w:numPr>
          <w:ilvl w:val="1"/>
          <w:numId w:val="5"/>
        </w:numPr>
      </w:pPr>
      <w:bookmarkStart w:id="715" w:name="_Toc116183005"/>
      <w:bookmarkStart w:id="716" w:name="_Toc251924137"/>
      <w:bookmarkStart w:id="717" w:name="_Toc406668888"/>
      <w:bookmarkStart w:id="718" w:name="_Toc440030064"/>
      <w:r w:rsidRPr="005B7BC7">
        <w:t>Research income not eligible to be included</w:t>
      </w:r>
      <w:bookmarkEnd w:id="715"/>
      <w:bookmarkEnd w:id="716"/>
      <w:bookmarkEnd w:id="717"/>
      <w:bookmarkEnd w:id="718"/>
    </w:p>
    <w:p w:rsidR="00A838B4" w:rsidRPr="005B7BC7" w:rsidRDefault="00A838B4" w:rsidP="00267540">
      <w:pPr>
        <w:pStyle w:val="BodyText1"/>
        <w:keepNext/>
        <w:keepLines/>
        <w:spacing w:after="120"/>
      </w:pPr>
      <w:r w:rsidRPr="005B7BC7">
        <w:t>Research income that may not be eligible to be counted include:</w:t>
      </w:r>
    </w:p>
    <w:p w:rsidR="00A838B4" w:rsidRPr="005B7BC7" w:rsidRDefault="00A838B4" w:rsidP="00C91F64">
      <w:pPr>
        <w:pStyle w:val="ListBullet10"/>
      </w:pPr>
      <w:r w:rsidRPr="005B7BC7">
        <w:t>funds provided to the personal accounts of HEP staff, or funds used by the CRC to purchase goods or services for use by the HEP</w:t>
      </w:r>
    </w:p>
    <w:p w:rsidR="00A838B4" w:rsidRPr="005B7BC7" w:rsidRDefault="00A838B4" w:rsidP="00C91F64">
      <w:pPr>
        <w:pStyle w:val="ListBullet10"/>
      </w:pPr>
      <w:r w:rsidRPr="005B7BC7">
        <w:t>funds provided specifically for travel to conferences, workshops and/or meetings</w:t>
      </w:r>
    </w:p>
    <w:p w:rsidR="00A838B4" w:rsidRPr="005B7BC7" w:rsidRDefault="00A838B4" w:rsidP="00C91F64">
      <w:pPr>
        <w:pStyle w:val="ListBullet10"/>
      </w:pPr>
      <w:r w:rsidRPr="005B7BC7">
        <w:t>in-kind contributions</w:t>
      </w:r>
    </w:p>
    <w:p w:rsidR="00A838B4" w:rsidRPr="005B7BC7" w:rsidRDefault="00A838B4" w:rsidP="00C91F64">
      <w:pPr>
        <w:pStyle w:val="ListBullet10"/>
      </w:pPr>
      <w:r w:rsidRPr="005B7BC7">
        <w:t>cash contributions made to a HEP on condition that the HEP use these contributions to purchase goods or services from a CRC or other funding provider.</w:t>
      </w:r>
      <w:r w:rsidR="00AC7885" w:rsidRPr="005B7BC7">
        <w:t xml:space="preserve"> </w:t>
      </w:r>
      <w:r w:rsidRPr="005B7BC7">
        <w:t>Such arrangements are regarded as in-kind contributions</w:t>
      </w:r>
    </w:p>
    <w:p w:rsidR="00A838B4" w:rsidRPr="005B7BC7" w:rsidRDefault="00A838B4" w:rsidP="00C91F64">
      <w:pPr>
        <w:pStyle w:val="ListBullet10"/>
      </w:pPr>
      <w:r w:rsidRPr="005B7BC7">
        <w:t>capital grants</w:t>
      </w:r>
      <w:r w:rsidR="00403CE5">
        <w:rPr>
          <w:rStyle w:val="FootnoteReference"/>
        </w:rPr>
        <w:footnoteReference w:id="13"/>
      </w:r>
      <w:r w:rsidRPr="005B7BC7">
        <w:t xml:space="preserve"> </w:t>
      </w:r>
    </w:p>
    <w:p w:rsidR="00A838B4" w:rsidRPr="005B7BC7" w:rsidRDefault="00A838B4" w:rsidP="00C91F64">
      <w:pPr>
        <w:pStyle w:val="ListBullet10"/>
      </w:pPr>
      <w:r w:rsidRPr="005B7BC7">
        <w:t>funds provided to HEPs for them to manage on behalf of other parties, which are not to be used for research purposes by the HEP</w:t>
      </w:r>
    </w:p>
    <w:p w:rsidR="00A838B4" w:rsidRPr="005B7BC7" w:rsidRDefault="00A838B4" w:rsidP="00C91F64">
      <w:pPr>
        <w:pStyle w:val="ListBullet10"/>
      </w:pPr>
      <w:r w:rsidRPr="005B7BC7">
        <w:t xml:space="preserve">omissions from previous Research Income </w:t>
      </w:r>
      <w:r w:rsidR="00953974" w:rsidRPr="005B7BC7">
        <w:t>Return - Return</w:t>
      </w:r>
      <w:r w:rsidRPr="005B7BC7">
        <w:t xml:space="preserve"> 1</w:t>
      </w:r>
    </w:p>
    <w:p w:rsidR="00A838B4" w:rsidRPr="005B7BC7" w:rsidRDefault="00A838B4" w:rsidP="00C91F64">
      <w:pPr>
        <w:pStyle w:val="ListBullet10"/>
      </w:pPr>
      <w:r w:rsidRPr="005B7BC7">
        <w:t>payments to HEPs which are not earmarked for research, even if they may be spent on research at the HEPs’ discretion</w:t>
      </w:r>
    </w:p>
    <w:p w:rsidR="00A838B4" w:rsidRPr="005B7BC7" w:rsidRDefault="00A838B4" w:rsidP="00C91F64">
      <w:pPr>
        <w:pStyle w:val="ListBullet10"/>
      </w:pPr>
      <w:r w:rsidRPr="005B7BC7">
        <w:t>funds provided specifically for the purpose of hosting, organising or attending a conference or workshop</w:t>
      </w:r>
    </w:p>
    <w:p w:rsidR="00A838B4" w:rsidRPr="005B7BC7" w:rsidRDefault="00A838B4" w:rsidP="00C91F64">
      <w:pPr>
        <w:pStyle w:val="ListBullet10"/>
      </w:pPr>
      <w:r w:rsidRPr="005B7BC7">
        <w:t>funds provided specifically for the purpose of producing research publications (that is, for publishing research rather than conducting it)</w:t>
      </w:r>
    </w:p>
    <w:p w:rsidR="00A838B4" w:rsidRPr="005B7BC7" w:rsidRDefault="00A838B4" w:rsidP="00C91F64">
      <w:pPr>
        <w:pStyle w:val="ListBullet10"/>
      </w:pPr>
      <w:r w:rsidRPr="005B7BC7">
        <w:t xml:space="preserve">funds provided to a HEP which is not a participant in the CRC. These funds may be counted under Category 2: Other </w:t>
      </w:r>
      <w:r w:rsidR="0090573B" w:rsidRPr="005B7BC7">
        <w:t>p</w:t>
      </w:r>
      <w:r w:rsidRPr="005B7BC7">
        <w:t xml:space="preserve">ublic </w:t>
      </w:r>
      <w:r w:rsidR="0090573B" w:rsidRPr="005B7BC7">
        <w:t>s</w:t>
      </w:r>
      <w:r w:rsidRPr="005B7BC7">
        <w:t xml:space="preserve">ector </w:t>
      </w:r>
      <w:r w:rsidR="0090573B" w:rsidRPr="005B7BC7">
        <w:t>r</w:t>
      </w:r>
      <w:r w:rsidRPr="005B7BC7">
        <w:t xml:space="preserve">esearch </w:t>
      </w:r>
      <w:r w:rsidR="0090573B" w:rsidRPr="005B7BC7">
        <w:t>i</w:t>
      </w:r>
      <w:r w:rsidRPr="005B7BC7">
        <w:t xml:space="preserve">ncome, provided they are for the purposes of research (as defined at </w:t>
      </w:r>
      <w:r w:rsidRPr="005B7BC7">
        <w:rPr>
          <w:rStyle w:val="Strong"/>
        </w:rPr>
        <w:t xml:space="preserve">section </w:t>
      </w:r>
      <w:r w:rsidR="00051D5C">
        <w:rPr>
          <w:b/>
        </w:rPr>
        <w:fldChar w:fldCharType="begin"/>
      </w:r>
      <w:r w:rsidR="00051D5C">
        <w:rPr>
          <w:rStyle w:val="Strong"/>
        </w:rPr>
        <w:instrText xml:space="preserve"> REF _Ref440032327 \r \h </w:instrText>
      </w:r>
      <w:r w:rsidR="00051D5C">
        <w:rPr>
          <w:b/>
        </w:rPr>
      </w:r>
      <w:r w:rsidR="00051D5C">
        <w:rPr>
          <w:b/>
        </w:rPr>
        <w:fldChar w:fldCharType="separate"/>
      </w:r>
      <w:r w:rsidR="007D5E9F">
        <w:rPr>
          <w:rStyle w:val="Strong"/>
        </w:rPr>
        <w:t>3</w:t>
      </w:r>
      <w:r w:rsidR="00051D5C">
        <w:rPr>
          <w:b/>
        </w:rPr>
        <w:fldChar w:fldCharType="end"/>
      </w:r>
      <w:r w:rsidR="00256EBA" w:rsidRPr="005B7BC7">
        <w:t>)</w:t>
      </w:r>
      <w:r w:rsidR="008728DB" w:rsidRPr="005B7BC7">
        <w:t xml:space="preserve"> and subject to meeting other relevant requirements in </w:t>
      </w:r>
      <w:r w:rsidR="008728DB" w:rsidRPr="005B7BC7">
        <w:rPr>
          <w:rStyle w:val="Strong"/>
        </w:rPr>
        <w:t xml:space="preserve">section </w:t>
      </w:r>
      <w:r w:rsidR="00051D5C">
        <w:rPr>
          <w:rStyle w:val="Strong"/>
        </w:rPr>
        <w:fldChar w:fldCharType="begin"/>
      </w:r>
      <w:r w:rsidR="00051D5C">
        <w:rPr>
          <w:rStyle w:val="Strong"/>
        </w:rPr>
        <w:instrText xml:space="preserve"> REF _Ref440032347 \r \h </w:instrText>
      </w:r>
      <w:r w:rsidR="00051D5C">
        <w:rPr>
          <w:rStyle w:val="Strong"/>
        </w:rPr>
      </w:r>
      <w:r w:rsidR="00051D5C">
        <w:rPr>
          <w:rStyle w:val="Strong"/>
        </w:rPr>
        <w:fldChar w:fldCharType="separate"/>
      </w:r>
      <w:r w:rsidR="007D5E9F">
        <w:rPr>
          <w:rStyle w:val="Strong"/>
        </w:rPr>
        <w:t>4</w:t>
      </w:r>
      <w:r w:rsidR="00051D5C">
        <w:rPr>
          <w:rStyle w:val="Strong"/>
        </w:rPr>
        <w:fldChar w:fldCharType="end"/>
      </w:r>
      <w:r w:rsidR="008728DB" w:rsidRPr="005B7BC7">
        <w:rPr>
          <w:rStyle w:val="Strong"/>
        </w:rPr>
        <w:t xml:space="preserve"> of Part A</w:t>
      </w:r>
    </w:p>
    <w:p w:rsidR="00A838B4" w:rsidRPr="005B7BC7" w:rsidRDefault="00A838B4" w:rsidP="00C91F64">
      <w:pPr>
        <w:pStyle w:val="ListBullet10"/>
      </w:pPr>
      <w:r w:rsidRPr="005B7BC7">
        <w:t>GST amounts.</w:t>
      </w:r>
    </w:p>
    <w:p w:rsidR="00A838B4" w:rsidRPr="005B7BC7" w:rsidRDefault="00A838B4" w:rsidP="00F37143">
      <w:pPr>
        <w:pStyle w:val="Heading2"/>
        <w:keepNext w:val="0"/>
        <w:numPr>
          <w:ilvl w:val="1"/>
          <w:numId w:val="5"/>
        </w:numPr>
      </w:pPr>
      <w:bookmarkStart w:id="719" w:name="_8.5_Breakdown_by"/>
      <w:bookmarkStart w:id="720" w:name="_Toc96678069"/>
      <w:bookmarkStart w:id="721" w:name="_Toc112733812"/>
      <w:bookmarkStart w:id="722" w:name="_Toc112734022"/>
      <w:bookmarkStart w:id="723" w:name="_Ref114295790"/>
      <w:bookmarkStart w:id="724" w:name="_Ref114295816"/>
      <w:bookmarkStart w:id="725" w:name="_Toc116183006"/>
      <w:bookmarkStart w:id="726" w:name="_Ref147804798"/>
      <w:bookmarkStart w:id="727" w:name="_Toc251924138"/>
      <w:bookmarkStart w:id="728" w:name="_Toc406668889"/>
      <w:bookmarkStart w:id="729" w:name="_Toc440030065"/>
      <w:bookmarkStart w:id="730" w:name="_Ref440032416"/>
      <w:bookmarkStart w:id="731" w:name="_Toc96678074"/>
      <w:bookmarkStart w:id="732" w:name="_Toc112733816"/>
      <w:bookmarkStart w:id="733" w:name="_Toc112734026"/>
      <w:bookmarkEnd w:id="719"/>
      <w:r w:rsidRPr="005B7BC7">
        <w:t xml:space="preserve">Breakdown by </w:t>
      </w:r>
      <w:r w:rsidR="00CE30BB" w:rsidRPr="005B7BC7">
        <w:t>s</w:t>
      </w:r>
      <w:r w:rsidRPr="005B7BC7">
        <w:t xml:space="preserve">ource </w:t>
      </w:r>
      <w:r w:rsidR="00CE30BB" w:rsidRPr="005B7BC7">
        <w:t>c</w:t>
      </w:r>
      <w:r w:rsidRPr="005B7BC7">
        <w:t>ategory</w:t>
      </w:r>
      <w:bookmarkEnd w:id="720"/>
      <w:bookmarkEnd w:id="721"/>
      <w:bookmarkEnd w:id="722"/>
      <w:bookmarkEnd w:id="723"/>
      <w:bookmarkEnd w:id="724"/>
      <w:bookmarkEnd w:id="725"/>
      <w:bookmarkEnd w:id="726"/>
      <w:bookmarkEnd w:id="727"/>
      <w:bookmarkEnd w:id="728"/>
      <w:bookmarkEnd w:id="729"/>
      <w:bookmarkEnd w:id="730"/>
    </w:p>
    <w:p w:rsidR="00A838B4" w:rsidRDefault="00A838B4" w:rsidP="00F37143">
      <w:pPr>
        <w:pStyle w:val="BodyText1"/>
      </w:pPr>
      <w:r w:rsidRPr="005B7BC7">
        <w:t>If a CRC’s accounting systems do not readily enable it to distinguish between the funds provided to HEPs which are sourced from government grants, and funds provided to HEPs which are sourced from non-HEP participants, the CRC may split the funds between these two components in the same proportion as the cash funding it receives from these sources. If the receipt of funds from</w:t>
      </w:r>
      <w:r w:rsidR="00541051" w:rsidRPr="005B7BC7">
        <w:t xml:space="preserve"> external</w:t>
      </w:r>
      <w:r w:rsidRPr="005B7BC7">
        <w:t xml:space="preserve"> parties can also not be tracked separately, the principle described above again applies. Income sourced from Australian HEPs or subsidiaries of Australian HEPs is not eligible to be counted (consistent with </w:t>
      </w:r>
      <w:r w:rsidRPr="005B7BC7">
        <w:rPr>
          <w:rStyle w:val="Strong"/>
        </w:rPr>
        <w:t xml:space="preserve">section </w:t>
      </w:r>
      <w:r w:rsidR="00B03213">
        <w:rPr>
          <w:rStyle w:val="Strong"/>
        </w:rPr>
        <w:fldChar w:fldCharType="begin"/>
      </w:r>
      <w:r w:rsidR="00B03213">
        <w:rPr>
          <w:rStyle w:val="Strong"/>
        </w:rPr>
        <w:instrText xml:space="preserve"> REF _Ref440032375 \r \h </w:instrText>
      </w:r>
      <w:r w:rsidR="00B03213">
        <w:rPr>
          <w:rStyle w:val="Strong"/>
        </w:rPr>
      </w:r>
      <w:r w:rsidR="00B03213">
        <w:rPr>
          <w:rStyle w:val="Strong"/>
        </w:rPr>
        <w:fldChar w:fldCharType="separate"/>
      </w:r>
      <w:r w:rsidR="007D5E9F">
        <w:rPr>
          <w:rStyle w:val="Strong"/>
        </w:rPr>
        <w:t>4</w:t>
      </w:r>
      <w:r w:rsidR="00B03213">
        <w:rPr>
          <w:rStyle w:val="Strong"/>
        </w:rPr>
        <w:fldChar w:fldCharType="end"/>
      </w:r>
      <w:r w:rsidR="000328C8" w:rsidRPr="005B7BC7">
        <w:rPr>
          <w:rStyle w:val="Strong"/>
        </w:rPr>
        <w:t xml:space="preserve"> of Part A</w:t>
      </w:r>
      <w:r w:rsidRPr="005B7BC7">
        <w:t>).</w:t>
      </w:r>
    </w:p>
    <w:p w:rsidR="002F0222" w:rsidRPr="00357284" w:rsidRDefault="002F0222" w:rsidP="0039518B">
      <w:pPr>
        <w:pStyle w:val="BodyText1"/>
        <w:keepNext/>
        <w:keepLines/>
        <w:pBdr>
          <w:top w:val="single" w:sz="4" w:space="1" w:color="auto"/>
          <w:left w:val="single" w:sz="4" w:space="4" w:color="auto"/>
          <w:bottom w:val="single" w:sz="4" w:space="1" w:color="auto"/>
          <w:right w:val="single" w:sz="4" w:space="4" w:color="auto"/>
        </w:pBdr>
        <w:spacing w:after="120"/>
        <w:rPr>
          <w:rStyle w:val="Strong"/>
        </w:rPr>
      </w:pPr>
      <w:r w:rsidRPr="00357284">
        <w:rPr>
          <w:rStyle w:val="Strong"/>
        </w:rPr>
        <w:lastRenderedPageBreak/>
        <w:t>Example</w:t>
      </w:r>
    </w:p>
    <w:p w:rsidR="002F0222" w:rsidRPr="00D16371" w:rsidRDefault="002F0222" w:rsidP="0039518B">
      <w:pPr>
        <w:pStyle w:val="BodyText1"/>
        <w:keepNext/>
        <w:keepLines/>
        <w:pBdr>
          <w:top w:val="single" w:sz="4" w:space="1" w:color="auto"/>
          <w:left w:val="single" w:sz="4" w:space="4" w:color="auto"/>
          <w:bottom w:val="single" w:sz="4" w:space="1" w:color="auto"/>
          <w:right w:val="single" w:sz="4" w:space="4" w:color="auto"/>
        </w:pBdr>
        <w:spacing w:after="120"/>
        <w:rPr>
          <w:i/>
        </w:rPr>
      </w:pPr>
      <w:r w:rsidRPr="00D16371">
        <w:rPr>
          <w:i/>
        </w:rPr>
        <w:t xml:space="preserve">In the </w:t>
      </w:r>
      <w:r>
        <w:rPr>
          <w:i/>
        </w:rPr>
        <w:t>201</w:t>
      </w:r>
      <w:r w:rsidR="00F31E71">
        <w:rPr>
          <w:i/>
        </w:rPr>
        <w:t>5</w:t>
      </w:r>
      <w:r>
        <w:rPr>
          <w:i/>
        </w:rPr>
        <w:t>-1</w:t>
      </w:r>
      <w:r w:rsidR="00F31E71">
        <w:rPr>
          <w:i/>
        </w:rPr>
        <w:t>6</w:t>
      </w:r>
      <w:r w:rsidRPr="00D16371">
        <w:rPr>
          <w:i/>
        </w:rPr>
        <w:t xml:space="preserve"> financial year a CRC receives cash funding into single account from:</w:t>
      </w:r>
    </w:p>
    <w:p w:rsidR="002F0222" w:rsidRPr="00C957EC" w:rsidRDefault="002F0222" w:rsidP="0039518B">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pPr>
      <w:r w:rsidRPr="00C957EC">
        <w:t>Australian HEP sources:</w:t>
      </w:r>
      <w:r w:rsidRPr="00C957EC">
        <w:tab/>
        <w:t>$5 million (25%)</w:t>
      </w:r>
    </w:p>
    <w:p w:rsidR="002F0222" w:rsidRPr="00C957EC" w:rsidRDefault="002F0222" w:rsidP="0039518B">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pPr>
      <w:r w:rsidRPr="00C957EC">
        <w:t>Government</w:t>
      </w:r>
      <w:r>
        <w:t xml:space="preserve"> grant:</w:t>
      </w:r>
      <w:r w:rsidRPr="00C957EC">
        <w:tab/>
        <w:t>$3 million (15%)</w:t>
      </w:r>
    </w:p>
    <w:p w:rsidR="002F0222" w:rsidRPr="00C957EC" w:rsidRDefault="002F0222" w:rsidP="0039518B">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pPr>
      <w:r w:rsidRPr="00C957EC">
        <w:t>non-HEP participants:</w:t>
      </w:r>
      <w:r w:rsidRPr="00C957EC">
        <w:tab/>
        <w:t>$7 million (35%)</w:t>
      </w:r>
    </w:p>
    <w:p w:rsidR="002F0222" w:rsidRPr="00C957EC" w:rsidRDefault="002F0222" w:rsidP="0039518B">
      <w:pPr>
        <w:pStyle w:val="BodyText1"/>
        <w:keepNext/>
        <w:keepLines/>
        <w:pBdr>
          <w:top w:val="single" w:sz="4" w:space="1" w:color="auto"/>
          <w:left w:val="single" w:sz="4" w:space="4" w:color="auto"/>
          <w:bottom w:val="single" w:sz="4" w:space="1" w:color="auto"/>
          <w:right w:val="single" w:sz="4" w:space="4" w:color="auto"/>
        </w:pBdr>
        <w:tabs>
          <w:tab w:val="left" w:pos="2835"/>
        </w:tabs>
      </w:pPr>
      <w:r>
        <w:t>external</w:t>
      </w:r>
      <w:r w:rsidRPr="00C957EC">
        <w:t xml:space="preserve"> </w:t>
      </w:r>
      <w:r>
        <w:t>parties:</w:t>
      </w:r>
      <w:r w:rsidRPr="00C957EC">
        <w:tab/>
        <w:t>$5 million (25%)</w:t>
      </w:r>
    </w:p>
    <w:p w:rsidR="002F0222" w:rsidRPr="00D16371" w:rsidRDefault="002F0222" w:rsidP="0039518B">
      <w:pPr>
        <w:pStyle w:val="BodyText1"/>
        <w:pBdr>
          <w:top w:val="single" w:sz="4" w:space="1" w:color="auto"/>
          <w:left w:val="single" w:sz="4" w:space="4" w:color="auto"/>
          <w:bottom w:val="single" w:sz="4" w:space="1" w:color="auto"/>
          <w:right w:val="single" w:sz="4" w:space="4" w:color="auto"/>
        </w:pBdr>
        <w:spacing w:after="120"/>
        <w:rPr>
          <w:i/>
          <w:iCs/>
        </w:rPr>
      </w:pPr>
      <w:r w:rsidRPr="00D16371">
        <w:rPr>
          <w:i/>
          <w:iCs/>
        </w:rPr>
        <w:t>If the CRC al</w:t>
      </w:r>
      <w:r>
        <w:rPr>
          <w:i/>
          <w:iCs/>
        </w:rPr>
        <w:t>locates $800,000 of the funds (</w:t>
      </w:r>
      <w:r w:rsidRPr="00D16371">
        <w:rPr>
          <w:i/>
          <w:iCs/>
        </w:rPr>
        <w:t>which it is not readily able to a</w:t>
      </w:r>
      <w:r>
        <w:rPr>
          <w:i/>
          <w:iCs/>
        </w:rPr>
        <w:t>ttribute to particular sources)</w:t>
      </w:r>
      <w:r w:rsidRPr="00D16371">
        <w:rPr>
          <w:i/>
          <w:iCs/>
        </w:rPr>
        <w:t xml:space="preserve"> to HEP X for research purposes, in its Certified Statement for HEP X, the CRC may attribute:</w:t>
      </w:r>
    </w:p>
    <w:p w:rsidR="002F0222" w:rsidRPr="00C957EC" w:rsidRDefault="002F0222" w:rsidP="0039518B">
      <w:pPr>
        <w:pStyle w:val="ListBullet10"/>
        <w:pBdr>
          <w:top w:val="single" w:sz="4" w:space="1" w:color="auto"/>
          <w:left w:val="single" w:sz="4" w:space="4" w:color="auto"/>
          <w:bottom w:val="single" w:sz="4" w:space="1" w:color="auto"/>
          <w:right w:val="single" w:sz="4" w:space="4" w:color="auto"/>
        </w:pBdr>
      </w:pPr>
      <w:r w:rsidRPr="00C957EC">
        <w:t>$120,000 (15% of the $800,000) to the ‘Allocat</w:t>
      </w:r>
      <w:r>
        <w:t>ion of funds from Commonwealth g</w:t>
      </w:r>
      <w:r w:rsidRPr="00C957EC">
        <w:t>rant’ component;</w:t>
      </w:r>
    </w:p>
    <w:p w:rsidR="002F0222" w:rsidRPr="00C957EC" w:rsidRDefault="002F0222" w:rsidP="0039518B">
      <w:pPr>
        <w:pStyle w:val="ListBullet10"/>
        <w:pBdr>
          <w:top w:val="single" w:sz="4" w:space="1" w:color="auto"/>
          <w:left w:val="single" w:sz="4" w:space="4" w:color="auto"/>
          <w:bottom w:val="single" w:sz="4" w:space="1" w:color="auto"/>
          <w:right w:val="single" w:sz="4" w:space="4" w:color="auto"/>
        </w:pBdr>
      </w:pPr>
      <w:r w:rsidRPr="00C957EC">
        <w:t>$280,000 (35% of the $800,000) to the ‘Allocation of funds from non-HEP participants’ component; and</w:t>
      </w:r>
    </w:p>
    <w:p w:rsidR="002F0222" w:rsidRPr="00C957EC" w:rsidRDefault="002F0222" w:rsidP="0039518B">
      <w:pPr>
        <w:pStyle w:val="ListBullet10"/>
        <w:pBdr>
          <w:top w:val="single" w:sz="4" w:space="1" w:color="auto"/>
          <w:left w:val="single" w:sz="4" w:space="4" w:color="auto"/>
          <w:bottom w:val="single" w:sz="4" w:space="1" w:color="auto"/>
          <w:right w:val="single" w:sz="4" w:space="4" w:color="auto"/>
        </w:pBdr>
      </w:pPr>
      <w:r w:rsidRPr="00C957EC">
        <w:t xml:space="preserve">$200,000 (25% of the $800,000) to the ‘Allocation of funds from </w:t>
      </w:r>
      <w:r>
        <w:t>external</w:t>
      </w:r>
      <w:r w:rsidRPr="00C957EC">
        <w:t xml:space="preserve"> parties’ component.</w:t>
      </w:r>
    </w:p>
    <w:p w:rsidR="002F0222" w:rsidRPr="00D16371" w:rsidRDefault="002F0222" w:rsidP="0039518B">
      <w:pPr>
        <w:pStyle w:val="BodyText1"/>
        <w:pBdr>
          <w:top w:val="single" w:sz="4" w:space="1" w:color="auto"/>
          <w:left w:val="single" w:sz="4" w:space="4" w:color="auto"/>
          <w:bottom w:val="single" w:sz="4" w:space="1" w:color="auto"/>
          <w:right w:val="single" w:sz="4" w:space="4" w:color="auto"/>
        </w:pBdr>
        <w:rPr>
          <w:i/>
          <w:iCs/>
        </w:rPr>
      </w:pPr>
      <w:r w:rsidRPr="00D16371">
        <w:rPr>
          <w:i/>
          <w:iCs/>
        </w:rPr>
        <w:t>The 25% share of the $800,000 sourced from Australian HEPs is not able to be counted.</w:t>
      </w:r>
    </w:p>
    <w:p w:rsidR="00352070" w:rsidRPr="005B7BC7" w:rsidRDefault="00352070" w:rsidP="0039518B">
      <w:bookmarkStart w:id="734" w:name="_Toc116183007"/>
      <w:bookmarkStart w:id="735" w:name="_Toc251924139"/>
    </w:p>
    <w:p w:rsidR="00A838B4" w:rsidRPr="005B7BC7" w:rsidRDefault="00CE30BB" w:rsidP="00F37143">
      <w:pPr>
        <w:pStyle w:val="Heading2"/>
        <w:numPr>
          <w:ilvl w:val="1"/>
          <w:numId w:val="5"/>
        </w:numPr>
      </w:pPr>
      <w:bookmarkStart w:id="736" w:name="_Toc406668890"/>
      <w:bookmarkStart w:id="737" w:name="_Toc440030066"/>
      <w:r w:rsidRPr="005B7BC7">
        <w:t>Special c</w:t>
      </w:r>
      <w:r w:rsidR="00A838B4" w:rsidRPr="005B7BC7">
        <w:t>ases</w:t>
      </w:r>
      <w:bookmarkEnd w:id="731"/>
      <w:bookmarkEnd w:id="732"/>
      <w:bookmarkEnd w:id="733"/>
      <w:bookmarkEnd w:id="734"/>
      <w:bookmarkEnd w:id="735"/>
      <w:bookmarkEnd w:id="736"/>
      <w:bookmarkEnd w:id="737"/>
    </w:p>
    <w:p w:rsidR="00A838B4" w:rsidRPr="005B7BC7" w:rsidRDefault="00A838B4" w:rsidP="00E52057">
      <w:pPr>
        <w:pStyle w:val="Heading3"/>
      </w:pPr>
      <w:bookmarkStart w:id="738" w:name="_Toc116183008"/>
      <w:bookmarkStart w:id="739" w:name="_Toc406668891"/>
      <w:r w:rsidRPr="005B7BC7">
        <w:t>Refunds</w:t>
      </w:r>
      <w:bookmarkEnd w:id="738"/>
      <w:bookmarkEnd w:id="739"/>
    </w:p>
    <w:p w:rsidR="00A838B4" w:rsidRPr="005B7BC7" w:rsidRDefault="00A838B4" w:rsidP="004A7123">
      <w:pPr>
        <w:pStyle w:val="BodyText21"/>
        <w:ind w:left="710"/>
      </w:pPr>
      <w:r w:rsidRPr="005B7BC7">
        <w:t xml:space="preserve">Where, in the reference year covered by the Research Income </w:t>
      </w:r>
      <w:r w:rsidR="00A568C0" w:rsidRPr="005B7BC7">
        <w:t>Return - R</w:t>
      </w:r>
      <w:r w:rsidR="00AA307A">
        <w:t xml:space="preserve">eturn 1, a HEP </w:t>
      </w:r>
      <w:r w:rsidRPr="005B7BC7">
        <w:t>refunds any monies received, either in the current year or an earlier year, income reported in the reference year must be reduced by the amount of the refund.</w:t>
      </w:r>
    </w:p>
    <w:p w:rsidR="00A838B4" w:rsidRPr="005B7BC7" w:rsidRDefault="00A838B4" w:rsidP="00DA6114">
      <w:pPr>
        <w:pStyle w:val="Heading3"/>
      </w:pPr>
      <w:bookmarkStart w:id="740" w:name="_Toc406668892"/>
      <w:r w:rsidRPr="005B7BC7">
        <w:t>CRCs which are no longer operational</w:t>
      </w:r>
      <w:bookmarkEnd w:id="740"/>
    </w:p>
    <w:p w:rsidR="00BD2232" w:rsidRPr="005B7BC7" w:rsidRDefault="00A838B4" w:rsidP="004A7123">
      <w:pPr>
        <w:pStyle w:val="BodyText21"/>
        <w:ind w:left="710"/>
      </w:pPr>
      <w:r w:rsidRPr="005B7BC7">
        <w:t>Where a CRC is no</w:t>
      </w:r>
      <w:r w:rsidR="004B2EBC" w:rsidRPr="005B7BC7">
        <w:t xml:space="preserve"> longer operational</w:t>
      </w:r>
      <w:r w:rsidR="00BF34C1" w:rsidRPr="005B7BC7">
        <w:t>,</w:t>
      </w:r>
      <w:r w:rsidR="004B2EBC" w:rsidRPr="005B7BC7">
        <w:t xml:space="preserve"> and it is not possible to verify the research income data with</w:t>
      </w:r>
      <w:r w:rsidR="003C4987" w:rsidRPr="005B7BC7">
        <w:t xml:space="preserve"> the CRC in which the HEP was </w:t>
      </w:r>
      <w:r w:rsidR="008E28AC" w:rsidRPr="005B7BC7">
        <w:t>t</w:t>
      </w:r>
      <w:r w:rsidR="003C4987" w:rsidRPr="005B7BC7">
        <w:t>he Researcher or a Participan</w:t>
      </w:r>
      <w:r w:rsidR="004B2EBC" w:rsidRPr="005B7BC7">
        <w:t xml:space="preserve">t, the amount reported and attributable to </w:t>
      </w:r>
      <w:r w:rsidR="00C5512D" w:rsidRPr="005B7BC7">
        <w:t>that</w:t>
      </w:r>
      <w:r w:rsidR="004B2EBC" w:rsidRPr="005B7BC7">
        <w:t xml:space="preserve"> CRC may be reported on the basis of the HEP’s </w:t>
      </w:r>
      <w:r w:rsidR="00C5512D" w:rsidRPr="005B7BC7">
        <w:t>financial records alone</w:t>
      </w:r>
      <w:r w:rsidR="00A005C2" w:rsidRPr="005B7BC7">
        <w:t xml:space="preserve"> (i.e. the HEP does not need to comply with paragraph 1 of </w:t>
      </w:r>
      <w:r w:rsidR="00A005C2" w:rsidRPr="005B7BC7">
        <w:rPr>
          <w:rStyle w:val="Strong"/>
        </w:rPr>
        <w:t xml:space="preserve">section </w:t>
      </w:r>
      <w:r w:rsidR="00B03213">
        <w:rPr>
          <w:rStyle w:val="Strong"/>
        </w:rPr>
        <w:fldChar w:fldCharType="begin"/>
      </w:r>
      <w:r w:rsidR="00B03213">
        <w:rPr>
          <w:rStyle w:val="Strong"/>
        </w:rPr>
        <w:instrText xml:space="preserve"> REF _Ref440032402 \r \h </w:instrText>
      </w:r>
      <w:r w:rsidR="00B03213">
        <w:rPr>
          <w:rStyle w:val="Strong"/>
        </w:rPr>
      </w:r>
      <w:r w:rsidR="00B03213">
        <w:rPr>
          <w:rStyle w:val="Strong"/>
        </w:rPr>
        <w:fldChar w:fldCharType="separate"/>
      </w:r>
      <w:r w:rsidR="007D5E9F">
        <w:rPr>
          <w:rStyle w:val="Strong"/>
        </w:rPr>
        <w:t>5.2</w:t>
      </w:r>
      <w:r w:rsidR="00B03213">
        <w:rPr>
          <w:rStyle w:val="Strong"/>
        </w:rPr>
        <w:fldChar w:fldCharType="end"/>
      </w:r>
      <w:r w:rsidR="00563E62" w:rsidRPr="005B7BC7">
        <w:rPr>
          <w:rStyle w:val="Strong"/>
        </w:rPr>
        <w:t xml:space="preserve"> </w:t>
      </w:r>
      <w:r w:rsidR="000328C8" w:rsidRPr="005B7BC7">
        <w:rPr>
          <w:rStyle w:val="Strong"/>
        </w:rPr>
        <w:t>of Part B</w:t>
      </w:r>
      <w:r w:rsidR="00A005C2" w:rsidRPr="005B7BC7">
        <w:t>)</w:t>
      </w:r>
      <w:r w:rsidR="00BD2232" w:rsidRPr="005B7BC7">
        <w:t>.</w:t>
      </w:r>
    </w:p>
    <w:p w:rsidR="00BD2232" w:rsidRPr="005B7BC7" w:rsidRDefault="00A005C2" w:rsidP="004A7123">
      <w:pPr>
        <w:pStyle w:val="BodyText21"/>
        <w:ind w:left="710"/>
      </w:pPr>
      <w:r w:rsidRPr="005B7BC7">
        <w:t>The HEP must ensure that the amounts reported are accurate</w:t>
      </w:r>
      <w:r w:rsidR="00256EBA" w:rsidRPr="005B7BC7">
        <w:t>.</w:t>
      </w:r>
      <w:r w:rsidRPr="005B7BC7">
        <w:t xml:space="preserve"> </w:t>
      </w:r>
      <w:r w:rsidR="00256EBA" w:rsidRPr="005B7BC7">
        <w:rPr>
          <w:rStyle w:val="Strong"/>
        </w:rPr>
        <w:t>S</w:t>
      </w:r>
      <w:r w:rsidR="004B2EBC" w:rsidRPr="005B7BC7">
        <w:rPr>
          <w:rStyle w:val="Strong"/>
        </w:rPr>
        <w:t xml:space="preserve">ection </w:t>
      </w:r>
      <w:r w:rsidR="00B03213">
        <w:rPr>
          <w:rStyle w:val="Strong"/>
        </w:rPr>
        <w:fldChar w:fldCharType="begin"/>
      </w:r>
      <w:r w:rsidR="00B03213">
        <w:rPr>
          <w:rStyle w:val="Strong"/>
        </w:rPr>
        <w:instrText xml:space="preserve"> REF _Ref440032416 \r \h </w:instrText>
      </w:r>
      <w:r w:rsidR="00B03213">
        <w:rPr>
          <w:rStyle w:val="Strong"/>
        </w:rPr>
      </w:r>
      <w:r w:rsidR="00B03213">
        <w:rPr>
          <w:rStyle w:val="Strong"/>
        </w:rPr>
        <w:fldChar w:fldCharType="separate"/>
      </w:r>
      <w:r w:rsidR="007D5E9F">
        <w:rPr>
          <w:rStyle w:val="Strong"/>
        </w:rPr>
        <w:t>5.5</w:t>
      </w:r>
      <w:r w:rsidR="00B03213">
        <w:rPr>
          <w:rStyle w:val="Strong"/>
        </w:rPr>
        <w:fldChar w:fldCharType="end"/>
      </w:r>
      <w:r w:rsidR="000328C8" w:rsidRPr="005B7BC7">
        <w:rPr>
          <w:rStyle w:val="Strong"/>
        </w:rPr>
        <w:t xml:space="preserve"> </w:t>
      </w:r>
      <w:r w:rsidR="004B2EBC" w:rsidRPr="005B7BC7">
        <w:t>may be of assistance in determining the breakdown of funds</w:t>
      </w:r>
      <w:r w:rsidR="00BD2232" w:rsidRPr="005B7BC7">
        <w:t>.</w:t>
      </w:r>
    </w:p>
    <w:p w:rsidR="00A838B4" w:rsidRPr="005B7BC7" w:rsidRDefault="00A838B4" w:rsidP="00A91DD7">
      <w:pPr>
        <w:pStyle w:val="HeadingSection"/>
      </w:pPr>
      <w:bookmarkStart w:id="741" w:name="_PART_C"/>
      <w:bookmarkStart w:id="742" w:name="_9._Research_Publications"/>
      <w:bookmarkStart w:id="743" w:name="_Toc406668894"/>
      <w:bookmarkStart w:id="744" w:name="_Toc406669270"/>
      <w:bookmarkStart w:id="745" w:name="_9.1_General_requirements"/>
      <w:bookmarkStart w:id="746" w:name="_General_requirements"/>
      <w:bookmarkStart w:id="747" w:name="_Toc116183012"/>
      <w:bookmarkStart w:id="748" w:name="_Toc116183013"/>
      <w:bookmarkStart w:id="749" w:name="_Toc96674156"/>
      <w:bookmarkStart w:id="750" w:name="_Toc96675264"/>
      <w:bookmarkStart w:id="751" w:name="_Toc116183014"/>
      <w:bookmarkStart w:id="752" w:name="_Toc116183016"/>
      <w:bookmarkStart w:id="753" w:name="_Toc116183017"/>
      <w:bookmarkStart w:id="754" w:name="_Toc116183018"/>
      <w:bookmarkStart w:id="755" w:name="_Toc116183020"/>
      <w:bookmarkStart w:id="756" w:name="_Toc116183022"/>
      <w:bookmarkStart w:id="757" w:name="_Toc116183024"/>
      <w:bookmarkStart w:id="758" w:name="_Toc116183025"/>
      <w:bookmarkStart w:id="759" w:name="_Toc116183026"/>
      <w:bookmarkStart w:id="760" w:name="_Toc116183027"/>
      <w:bookmarkStart w:id="761" w:name="_Toc116183028"/>
      <w:bookmarkStart w:id="762" w:name="_Toc116183029"/>
      <w:bookmarkStart w:id="763" w:name="_Toc116183030"/>
      <w:bookmarkStart w:id="764" w:name="_Toc116183033"/>
      <w:bookmarkStart w:id="765" w:name="_Toc96675275"/>
      <w:bookmarkStart w:id="766" w:name="_Toc116183035"/>
      <w:bookmarkStart w:id="767" w:name="_Toc116183036"/>
      <w:bookmarkStart w:id="768" w:name="_Toc116183037"/>
      <w:bookmarkStart w:id="769" w:name="_Toc116183038"/>
      <w:bookmarkStart w:id="770" w:name="_Toc168817239"/>
      <w:bookmarkStart w:id="771" w:name="_Toc168824858"/>
      <w:bookmarkStart w:id="772" w:name="_Toc168817241"/>
      <w:bookmarkStart w:id="773" w:name="_Toc168824860"/>
      <w:bookmarkStart w:id="774" w:name="_Toc168817243"/>
      <w:bookmarkStart w:id="775" w:name="_Toc168824862"/>
      <w:bookmarkStart w:id="776" w:name="_Toc168817246"/>
      <w:bookmarkStart w:id="777" w:name="_Toc168824865"/>
      <w:bookmarkStart w:id="778" w:name="_Toc168817248"/>
      <w:bookmarkStart w:id="779" w:name="_Toc168824867"/>
      <w:bookmarkStart w:id="780" w:name="_Journal_Articles"/>
      <w:bookmarkStart w:id="781" w:name="_Toc168817250"/>
      <w:bookmarkStart w:id="782" w:name="_Toc168824869"/>
      <w:bookmarkEnd w:id="3"/>
      <w:bookmarkEnd w:id="4"/>
      <w:bookmarkEnd w:id="662"/>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A838B4" w:rsidRPr="00A84EBB" w:rsidRDefault="00A838B4" w:rsidP="00A91DD7">
      <w:pPr>
        <w:pStyle w:val="Heading1"/>
        <w:spacing w:before="120"/>
        <w:rPr>
          <w:rStyle w:val="Strong"/>
          <w:b/>
          <w:szCs w:val="22"/>
        </w:rPr>
      </w:pPr>
      <w:bookmarkStart w:id="783" w:name="_9.4_Author_affiliation"/>
      <w:bookmarkStart w:id="784" w:name="_Toc168817252"/>
      <w:bookmarkStart w:id="785" w:name="_Toc168824871"/>
      <w:bookmarkStart w:id="786" w:name="_9.5_Apportioning_authors"/>
      <w:bookmarkStart w:id="787" w:name="_Toc168817254"/>
      <w:bookmarkStart w:id="788" w:name="_Toc168824873"/>
      <w:bookmarkStart w:id="789" w:name="_9.6_Peer_review"/>
      <w:bookmarkStart w:id="790" w:name="_Toc96675267"/>
      <w:bookmarkStart w:id="791" w:name="_Toc308709034"/>
      <w:bookmarkStart w:id="792" w:name="_Toc308709035"/>
      <w:bookmarkStart w:id="793" w:name="_Toc308709036"/>
      <w:bookmarkStart w:id="794" w:name="_9.7_Verification_material"/>
      <w:bookmarkStart w:id="795" w:name="_Toc168817257"/>
      <w:bookmarkStart w:id="796" w:name="_Toc168824876"/>
      <w:bookmarkStart w:id="797" w:name="_Toc168817259"/>
      <w:bookmarkStart w:id="798" w:name="_Toc168824878"/>
      <w:bookmarkStart w:id="799" w:name="_Toc168817261"/>
      <w:bookmarkStart w:id="800" w:name="_Toc168824880"/>
      <w:bookmarkStart w:id="801" w:name="_Toc168817263"/>
      <w:bookmarkStart w:id="802" w:name="_Toc168824882"/>
      <w:bookmarkStart w:id="803" w:name="_Toc168817266"/>
      <w:bookmarkStart w:id="804" w:name="_Toc168824885"/>
      <w:bookmarkStart w:id="805" w:name="_Toc96319908"/>
      <w:bookmarkStart w:id="806" w:name="_Toc96320024"/>
      <w:bookmarkStart w:id="807" w:name="_Toc96320130"/>
      <w:bookmarkStart w:id="808" w:name="_Toc96320256"/>
      <w:bookmarkStart w:id="809" w:name="_Toc96319909"/>
      <w:bookmarkStart w:id="810" w:name="_Toc96320025"/>
      <w:bookmarkStart w:id="811" w:name="_Toc96320131"/>
      <w:bookmarkStart w:id="812" w:name="_Toc96320257"/>
      <w:bookmarkStart w:id="813" w:name="_Toc96675277"/>
      <w:bookmarkStart w:id="814" w:name="_Toc96675279"/>
      <w:bookmarkStart w:id="815" w:name="_Toc96675281"/>
      <w:bookmarkStart w:id="816" w:name="_Toc168817268"/>
      <w:bookmarkStart w:id="817" w:name="_Toc168824887"/>
      <w:bookmarkStart w:id="818" w:name="_Toc96675283"/>
      <w:bookmarkStart w:id="819" w:name="_Toc22524960"/>
      <w:bookmarkStart w:id="820" w:name="_Toc22524993"/>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5B7BC7">
        <w:rPr>
          <w:rStyle w:val="Strong"/>
        </w:rPr>
        <w:br w:type="page"/>
      </w:r>
      <w:bookmarkStart w:id="821" w:name="_Toc96678098"/>
      <w:bookmarkStart w:id="822" w:name="_Toc112733840"/>
      <w:bookmarkStart w:id="823" w:name="_Toc112734050"/>
      <w:bookmarkStart w:id="824" w:name="_Toc116183056"/>
      <w:bookmarkStart w:id="825" w:name="_Toc251924151"/>
      <w:bookmarkStart w:id="826" w:name="_Toc406668925"/>
      <w:bookmarkStart w:id="827" w:name="_Toc440030067"/>
      <w:r w:rsidRPr="00A84EBB">
        <w:lastRenderedPageBreak/>
        <w:t>Glossary</w:t>
      </w:r>
      <w:bookmarkEnd w:id="819"/>
      <w:bookmarkEnd w:id="820"/>
      <w:bookmarkEnd w:id="821"/>
      <w:bookmarkEnd w:id="822"/>
      <w:bookmarkEnd w:id="823"/>
      <w:bookmarkEnd w:id="824"/>
      <w:bookmarkEnd w:id="825"/>
      <w:bookmarkEnd w:id="826"/>
      <w:bookmarkEnd w:id="827"/>
    </w:p>
    <w:p w:rsidR="00A838B4" w:rsidRPr="005B7BC7" w:rsidRDefault="00A838B4" w:rsidP="00BE7A34">
      <w:pPr>
        <w:pStyle w:val="List2"/>
        <w:tabs>
          <w:tab w:val="clear" w:pos="2835"/>
          <w:tab w:val="left" w:pos="3119"/>
        </w:tabs>
        <w:ind w:left="3119" w:hanging="3119"/>
      </w:pPr>
      <w:r w:rsidRPr="005B7BC7">
        <w:t>ACGR</w:t>
      </w:r>
      <w:r w:rsidRPr="005B7BC7">
        <w:tab/>
        <w:t>Australian Competitive Grants Register</w:t>
      </w:r>
    </w:p>
    <w:p w:rsidR="00FA0BDA" w:rsidRPr="005B7BC7" w:rsidRDefault="00FA0BDA" w:rsidP="00BE7A34">
      <w:pPr>
        <w:pStyle w:val="List2"/>
        <w:tabs>
          <w:tab w:val="clear" w:pos="2835"/>
          <w:tab w:val="left" w:pos="3119"/>
        </w:tabs>
        <w:ind w:left="3119" w:hanging="3119"/>
      </w:pPr>
      <w:r w:rsidRPr="005B7BC7">
        <w:t>ARC</w:t>
      </w:r>
      <w:r w:rsidRPr="005B7BC7">
        <w:tab/>
        <w:t>Australian Research Council</w:t>
      </w:r>
    </w:p>
    <w:p w:rsidR="00A838B4" w:rsidRPr="005B7BC7" w:rsidRDefault="00A838B4" w:rsidP="00BE7A34">
      <w:pPr>
        <w:pStyle w:val="List2"/>
        <w:tabs>
          <w:tab w:val="clear" w:pos="2835"/>
          <w:tab w:val="left" w:pos="3119"/>
        </w:tabs>
        <w:ind w:left="3119" w:hanging="3119"/>
      </w:pPr>
      <w:r w:rsidRPr="005B7BC7">
        <w:t>CRC</w:t>
      </w:r>
      <w:r w:rsidRPr="005B7BC7">
        <w:tab/>
        <w:t>Cooperative Research Centre</w:t>
      </w:r>
    </w:p>
    <w:p w:rsidR="00BE7A34" w:rsidRPr="005B7BC7" w:rsidRDefault="00DA6114" w:rsidP="00DA6114">
      <w:pPr>
        <w:pStyle w:val="List2"/>
        <w:tabs>
          <w:tab w:val="clear" w:pos="2835"/>
          <w:tab w:val="left" w:pos="3119"/>
        </w:tabs>
        <w:ind w:left="3119" w:hanging="3119"/>
      </w:pPr>
      <w:r>
        <w:t>T</w:t>
      </w:r>
      <w:r w:rsidRPr="005B7BC7">
        <w:t>he department</w:t>
      </w:r>
      <w:r w:rsidR="00A838B4" w:rsidRPr="005B7BC7">
        <w:tab/>
      </w:r>
      <w:r w:rsidR="00AC7FCD" w:rsidRPr="005B7BC7">
        <w:t xml:space="preserve">Department of </w:t>
      </w:r>
      <w:r w:rsidR="00BB5D51" w:rsidRPr="005B7BC7">
        <w:t>Education</w:t>
      </w:r>
      <w:r w:rsidR="00A275CB">
        <w:t xml:space="preserve"> and Training</w:t>
      </w:r>
    </w:p>
    <w:p w:rsidR="00FA0BDA" w:rsidRPr="005B7BC7" w:rsidRDefault="00FA0BDA" w:rsidP="00BE7A34">
      <w:pPr>
        <w:pStyle w:val="List2"/>
        <w:tabs>
          <w:tab w:val="clear" w:pos="2835"/>
          <w:tab w:val="left" w:pos="3119"/>
        </w:tabs>
        <w:ind w:left="3119" w:hanging="3119"/>
      </w:pPr>
      <w:r w:rsidRPr="005B7BC7">
        <w:t>EIF</w:t>
      </w:r>
      <w:r w:rsidRPr="005B7BC7">
        <w:tab/>
        <w:t>Education Investment Fund</w:t>
      </w:r>
    </w:p>
    <w:p w:rsidR="00FA0BDA" w:rsidRPr="005B7BC7" w:rsidRDefault="00FA0BDA" w:rsidP="00BE7A34">
      <w:pPr>
        <w:pStyle w:val="List2"/>
        <w:tabs>
          <w:tab w:val="clear" w:pos="2835"/>
          <w:tab w:val="left" w:pos="3119"/>
        </w:tabs>
        <w:ind w:left="3119" w:hanging="3119"/>
      </w:pPr>
      <w:r w:rsidRPr="005B7BC7">
        <w:t>ERA</w:t>
      </w:r>
      <w:r w:rsidRPr="005B7BC7">
        <w:tab/>
        <w:t xml:space="preserve">Excellence in Research </w:t>
      </w:r>
      <w:r w:rsidR="003E22ED" w:rsidRPr="005B7BC7">
        <w:t xml:space="preserve">for </w:t>
      </w:r>
      <w:r w:rsidRPr="005B7BC7">
        <w:t>Australia</w:t>
      </w:r>
    </w:p>
    <w:p w:rsidR="00A73613" w:rsidRPr="0039518B" w:rsidRDefault="00A73613" w:rsidP="006A2B0A">
      <w:pPr>
        <w:pStyle w:val="List2"/>
        <w:tabs>
          <w:tab w:val="clear" w:pos="2835"/>
          <w:tab w:val="left" w:pos="1780"/>
          <w:tab w:val="left" w:pos="3119"/>
        </w:tabs>
        <w:ind w:left="3119" w:hanging="3119"/>
        <w:rPr>
          <w:i/>
        </w:rPr>
      </w:pPr>
      <w:r w:rsidRPr="005B7BC7">
        <w:t>FOI Act</w:t>
      </w:r>
      <w:r w:rsidRPr="005B7BC7">
        <w:tab/>
      </w:r>
      <w:r w:rsidR="00403CE5">
        <w:tab/>
      </w:r>
      <w:r w:rsidRPr="0039518B">
        <w:rPr>
          <w:i/>
        </w:rPr>
        <w:t>Freedom of Information Act 1982</w:t>
      </w:r>
    </w:p>
    <w:p w:rsidR="004C4992" w:rsidRPr="005B7BC7" w:rsidRDefault="004C4992" w:rsidP="00BE7A34">
      <w:pPr>
        <w:pStyle w:val="List2"/>
        <w:tabs>
          <w:tab w:val="clear" w:pos="2835"/>
          <w:tab w:val="left" w:pos="3119"/>
        </w:tabs>
        <w:ind w:left="3119" w:hanging="3119"/>
      </w:pPr>
      <w:r w:rsidRPr="005B7BC7">
        <w:t>GST</w:t>
      </w:r>
      <w:r w:rsidRPr="005B7BC7">
        <w:tab/>
        <w:t>Goods and Services Tax</w:t>
      </w:r>
    </w:p>
    <w:p w:rsidR="00A838B4" w:rsidRPr="005B7BC7" w:rsidRDefault="001F6ED3" w:rsidP="00BE7A34">
      <w:pPr>
        <w:pStyle w:val="List2"/>
        <w:tabs>
          <w:tab w:val="clear" w:pos="2835"/>
          <w:tab w:val="left" w:pos="3119"/>
        </w:tabs>
        <w:ind w:left="3119" w:hanging="3119"/>
      </w:pPr>
      <w:r w:rsidRPr="005B7BC7">
        <w:t>HEP</w:t>
      </w:r>
      <w:r w:rsidRPr="005B7BC7">
        <w:tab/>
      </w:r>
      <w:r w:rsidR="00C4644A" w:rsidRPr="005B7BC7">
        <w:t>H</w:t>
      </w:r>
      <w:r w:rsidRPr="005B7BC7">
        <w:t xml:space="preserve">igher </w:t>
      </w:r>
      <w:r w:rsidR="00C4644A" w:rsidRPr="005B7BC7">
        <w:t>E</w:t>
      </w:r>
      <w:r w:rsidR="00A838B4" w:rsidRPr="005B7BC7">
        <w:t xml:space="preserve">ducation </w:t>
      </w:r>
      <w:r w:rsidR="00C4644A" w:rsidRPr="005B7BC7">
        <w:t>P</w:t>
      </w:r>
      <w:r w:rsidR="00A838B4" w:rsidRPr="005B7BC7">
        <w:t>rovider</w:t>
      </w:r>
    </w:p>
    <w:p w:rsidR="00A838B4" w:rsidRPr="005B7BC7" w:rsidRDefault="00A838B4" w:rsidP="00BE7A34">
      <w:pPr>
        <w:pStyle w:val="List2"/>
        <w:tabs>
          <w:tab w:val="clear" w:pos="2835"/>
          <w:tab w:val="left" w:pos="3119"/>
        </w:tabs>
        <w:ind w:left="3119" w:hanging="3119"/>
      </w:pPr>
      <w:r w:rsidRPr="005B7BC7">
        <w:t>HERDC</w:t>
      </w:r>
      <w:r w:rsidRPr="005B7BC7">
        <w:tab/>
        <w:t>Higher Education Research Data Collection</w:t>
      </w:r>
    </w:p>
    <w:p w:rsidR="00FA0BDA" w:rsidRPr="005B7BC7" w:rsidRDefault="00FA0BDA" w:rsidP="00BE7A34">
      <w:pPr>
        <w:pStyle w:val="List2"/>
        <w:tabs>
          <w:tab w:val="clear" w:pos="2835"/>
          <w:tab w:val="left" w:pos="3119"/>
        </w:tabs>
        <w:ind w:left="3119" w:hanging="3119"/>
      </w:pPr>
      <w:r w:rsidRPr="005B7BC7">
        <w:t>HESA</w:t>
      </w:r>
      <w:r w:rsidRPr="005B7BC7">
        <w:tab/>
      </w:r>
      <w:r w:rsidRPr="0039518B">
        <w:rPr>
          <w:i/>
        </w:rPr>
        <w:t>Higher Education Support Act 2003</w:t>
      </w:r>
    </w:p>
    <w:p w:rsidR="00FA0BDA" w:rsidRPr="005B7BC7" w:rsidRDefault="006C5149" w:rsidP="00BE7A34">
      <w:pPr>
        <w:pStyle w:val="List2"/>
        <w:tabs>
          <w:tab w:val="clear" w:pos="2835"/>
          <w:tab w:val="left" w:pos="3119"/>
        </w:tabs>
        <w:ind w:left="3119" w:hanging="3119"/>
      </w:pPr>
      <w:r w:rsidRPr="005B7BC7">
        <w:t>HDR</w:t>
      </w:r>
      <w:r w:rsidRPr="005B7BC7">
        <w:tab/>
      </w:r>
      <w:r w:rsidR="00C4644A" w:rsidRPr="005B7BC7">
        <w:t>H</w:t>
      </w:r>
      <w:r w:rsidR="00FA0BDA" w:rsidRPr="005B7BC7">
        <w:t xml:space="preserve">igher </w:t>
      </w:r>
      <w:r w:rsidR="00C4644A" w:rsidRPr="005B7BC7">
        <w:t>D</w:t>
      </w:r>
      <w:r w:rsidR="00FA0BDA" w:rsidRPr="005B7BC7">
        <w:t xml:space="preserve">egree by </w:t>
      </w:r>
      <w:r w:rsidR="00C4644A" w:rsidRPr="005B7BC7">
        <w:t>R</w:t>
      </w:r>
      <w:r w:rsidR="00FA0BDA" w:rsidRPr="005B7BC7">
        <w:t>esearch</w:t>
      </w:r>
    </w:p>
    <w:p w:rsidR="00870EF0" w:rsidRPr="005B7BC7" w:rsidRDefault="00870EF0" w:rsidP="00BE7A34">
      <w:pPr>
        <w:pStyle w:val="List2"/>
        <w:tabs>
          <w:tab w:val="clear" w:pos="2835"/>
          <w:tab w:val="left" w:pos="3119"/>
        </w:tabs>
        <w:ind w:left="3119" w:hanging="3119"/>
      </w:pPr>
      <w:r w:rsidRPr="005B7BC7">
        <w:t>IR</w:t>
      </w:r>
      <w:r w:rsidR="00C465D6" w:rsidRPr="005B7BC7">
        <w:t>I</w:t>
      </w:r>
      <w:r w:rsidRPr="005B7BC7">
        <w:t>I</w:t>
      </w:r>
      <w:r w:rsidR="00C465D6" w:rsidRPr="005B7BC7">
        <w:t>S</w:t>
      </w:r>
      <w:r w:rsidRPr="005B7BC7">
        <w:t>S</w:t>
      </w:r>
      <w:r w:rsidRPr="005B7BC7">
        <w:tab/>
        <w:t>Independent Research Institutes Infrastructure Support Scheme</w:t>
      </w:r>
    </w:p>
    <w:p w:rsidR="00A838B4" w:rsidRPr="005B7BC7" w:rsidRDefault="00A838B4" w:rsidP="00BE7A34">
      <w:pPr>
        <w:pStyle w:val="List2"/>
        <w:tabs>
          <w:tab w:val="clear" w:pos="2835"/>
          <w:tab w:val="left" w:pos="3119"/>
        </w:tabs>
        <w:ind w:left="3119" w:hanging="3119"/>
      </w:pPr>
      <w:r w:rsidRPr="005B7BC7">
        <w:t>LIEF</w:t>
      </w:r>
      <w:r w:rsidRPr="005B7BC7">
        <w:tab/>
        <w:t>Linkage—Infrastructure, Equipment and Facilities</w:t>
      </w:r>
    </w:p>
    <w:p w:rsidR="00585EAF" w:rsidRPr="005B7BC7" w:rsidRDefault="00585EAF" w:rsidP="00BE7A34">
      <w:pPr>
        <w:pStyle w:val="List2"/>
        <w:tabs>
          <w:tab w:val="clear" w:pos="2835"/>
          <w:tab w:val="left" w:pos="3119"/>
        </w:tabs>
        <w:ind w:left="3119" w:hanging="3119"/>
      </w:pPr>
      <w:r w:rsidRPr="005B7BC7">
        <w:t>NCRIS</w:t>
      </w:r>
      <w:r w:rsidRPr="005B7BC7">
        <w:tab/>
        <w:t>National Collaborative Research Infrastructure Strategy</w:t>
      </w:r>
    </w:p>
    <w:p w:rsidR="00A0483F" w:rsidRPr="005B7BC7" w:rsidRDefault="00A0483F" w:rsidP="00BE7A34">
      <w:pPr>
        <w:pStyle w:val="List2"/>
        <w:tabs>
          <w:tab w:val="clear" w:pos="2835"/>
          <w:tab w:val="left" w:pos="3119"/>
        </w:tabs>
        <w:ind w:left="3119" w:hanging="3119"/>
      </w:pPr>
      <w:r w:rsidRPr="005B7BC7">
        <w:t>OECD</w:t>
      </w:r>
      <w:r w:rsidRPr="005B7BC7">
        <w:tab/>
        <w:t>Organisation for Economic Cooperation and Development</w:t>
      </w:r>
    </w:p>
    <w:p w:rsidR="00870EF0" w:rsidRPr="005B7BC7" w:rsidRDefault="006C5149" w:rsidP="00BE7A34">
      <w:pPr>
        <w:pStyle w:val="List2"/>
        <w:tabs>
          <w:tab w:val="clear" w:pos="2835"/>
          <w:tab w:val="left" w:pos="3119"/>
        </w:tabs>
        <w:ind w:left="3119" w:hanging="3119"/>
      </w:pPr>
      <w:r w:rsidRPr="005B7BC7">
        <w:t>R&amp;D</w:t>
      </w:r>
      <w:r w:rsidRPr="005B7BC7">
        <w:tab/>
      </w:r>
      <w:r w:rsidR="00C4644A" w:rsidRPr="005B7BC7">
        <w:t>R</w:t>
      </w:r>
      <w:r w:rsidR="00870EF0" w:rsidRPr="005B7BC7">
        <w:t xml:space="preserve">esearch and </w:t>
      </w:r>
      <w:r w:rsidR="00C4644A" w:rsidRPr="005B7BC7">
        <w:t>E</w:t>
      </w:r>
      <w:r w:rsidR="00870EF0" w:rsidRPr="005B7BC7">
        <w:t xml:space="preserve">xperimental </w:t>
      </w:r>
      <w:r w:rsidR="00C4644A" w:rsidRPr="005B7BC7">
        <w:t>D</w:t>
      </w:r>
      <w:r w:rsidR="00870EF0" w:rsidRPr="005B7BC7">
        <w:t>evelopment</w:t>
      </w:r>
    </w:p>
    <w:p w:rsidR="00870EF0" w:rsidRDefault="0008761B" w:rsidP="00BE7A34">
      <w:pPr>
        <w:pStyle w:val="List2"/>
        <w:tabs>
          <w:tab w:val="clear" w:pos="2835"/>
          <w:tab w:val="left" w:pos="3119"/>
        </w:tabs>
        <w:ind w:left="3119" w:hanging="3119"/>
      </w:pPr>
      <w:r w:rsidRPr="005B7BC7">
        <w:t>RBG</w:t>
      </w:r>
      <w:r w:rsidRPr="005B7BC7">
        <w:tab/>
      </w:r>
      <w:r w:rsidR="00C4644A" w:rsidRPr="005B7BC7">
        <w:t>R</w:t>
      </w:r>
      <w:r w:rsidRPr="005B7BC7">
        <w:t xml:space="preserve">esearch </w:t>
      </w:r>
      <w:r w:rsidR="00C4644A" w:rsidRPr="005B7BC7">
        <w:t>B</w:t>
      </w:r>
      <w:r w:rsidRPr="005B7BC7">
        <w:t xml:space="preserve">lock </w:t>
      </w:r>
      <w:r w:rsidR="00C4644A" w:rsidRPr="005B7BC7">
        <w:t>G</w:t>
      </w:r>
      <w:r w:rsidRPr="005B7BC7">
        <w:t>rant</w:t>
      </w:r>
      <w:r w:rsidR="00DA6114">
        <w:t>s</w:t>
      </w:r>
    </w:p>
    <w:p w:rsidR="00872DCB" w:rsidRDefault="00872DCB" w:rsidP="00BE7A34">
      <w:pPr>
        <w:pStyle w:val="List2"/>
        <w:tabs>
          <w:tab w:val="clear" w:pos="2835"/>
          <w:tab w:val="left" w:pos="3119"/>
        </w:tabs>
        <w:ind w:left="3119" w:hanging="3119"/>
      </w:pPr>
      <w:r>
        <w:t>RSP</w:t>
      </w:r>
      <w:r>
        <w:tab/>
        <w:t>Research Support Program</w:t>
      </w:r>
    </w:p>
    <w:p w:rsidR="00872DCB" w:rsidRPr="005B7BC7" w:rsidRDefault="00872DCB" w:rsidP="00BE7A34">
      <w:pPr>
        <w:pStyle w:val="List2"/>
        <w:tabs>
          <w:tab w:val="clear" w:pos="2835"/>
          <w:tab w:val="left" w:pos="3119"/>
        </w:tabs>
        <w:ind w:left="3119" w:hanging="3119"/>
      </w:pPr>
      <w:r>
        <w:t>RTP</w:t>
      </w:r>
      <w:r>
        <w:tab/>
        <w:t>Research Training Program</w:t>
      </w:r>
    </w:p>
    <w:p w:rsidR="000949E6" w:rsidRPr="000E78CE" w:rsidRDefault="000949E6" w:rsidP="00BE3A92">
      <w:pPr>
        <w:pStyle w:val="BodyText21"/>
      </w:pPr>
      <w:bookmarkStart w:id="828" w:name="_APPENDIX_A"/>
      <w:bookmarkStart w:id="829" w:name="_APPENDIX_B"/>
      <w:bookmarkStart w:id="830" w:name="_APPENDIX_C"/>
      <w:bookmarkStart w:id="831" w:name="_APPENDIX_D"/>
      <w:bookmarkStart w:id="832" w:name="_APPENDIX_D_-_"/>
      <w:bookmarkStart w:id="833" w:name="_APPENDIX_D_-"/>
      <w:bookmarkEnd w:id="5"/>
      <w:bookmarkEnd w:id="6"/>
      <w:bookmarkEnd w:id="7"/>
      <w:bookmarkEnd w:id="8"/>
      <w:bookmarkEnd w:id="9"/>
      <w:bookmarkEnd w:id="10"/>
      <w:bookmarkEnd w:id="11"/>
      <w:bookmarkEnd w:id="12"/>
      <w:bookmarkEnd w:id="13"/>
      <w:bookmarkEnd w:id="14"/>
      <w:bookmarkEnd w:id="15"/>
      <w:bookmarkEnd w:id="828"/>
      <w:bookmarkEnd w:id="829"/>
      <w:bookmarkEnd w:id="830"/>
      <w:bookmarkEnd w:id="831"/>
      <w:bookmarkEnd w:id="832"/>
      <w:bookmarkEnd w:id="833"/>
    </w:p>
    <w:sectPr w:rsidR="000949E6" w:rsidRPr="000E78CE" w:rsidSect="0065623D">
      <w:pgSz w:w="11907" w:h="16840" w:code="9"/>
      <w:pgMar w:top="1233" w:right="1242" w:bottom="680" w:left="851" w:header="720" w:footer="45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4CD" w:rsidRDefault="00A444CD">
      <w:r>
        <w:separator/>
      </w:r>
    </w:p>
    <w:p w:rsidR="00A444CD" w:rsidRDefault="00A444CD"/>
  </w:endnote>
  <w:endnote w:type="continuationSeparator" w:id="0">
    <w:p w:rsidR="00A444CD" w:rsidRDefault="00A444CD">
      <w:r>
        <w:continuationSeparator/>
      </w:r>
    </w:p>
    <w:p w:rsidR="00A444CD" w:rsidRDefault="00A44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Default="00A44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30569"/>
      <w:docPartObj>
        <w:docPartGallery w:val="Page Numbers (Bottom of Page)"/>
        <w:docPartUnique/>
      </w:docPartObj>
    </w:sdtPr>
    <w:sdtEndPr>
      <w:rPr>
        <w:noProof/>
      </w:rPr>
    </w:sdtEndPr>
    <w:sdtContent>
      <w:p w:rsidR="00A444CD" w:rsidRDefault="00A44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44CD" w:rsidRDefault="00A444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Default="00A444CD">
    <w:pPr>
      <w:pStyle w:val="Footer"/>
      <w:jc w:val="right"/>
    </w:pPr>
  </w:p>
  <w:p w:rsidR="00A444CD" w:rsidRDefault="00A444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57420"/>
      <w:docPartObj>
        <w:docPartGallery w:val="Page Numbers (Bottom of Page)"/>
        <w:docPartUnique/>
      </w:docPartObj>
    </w:sdtPr>
    <w:sdtEndPr>
      <w:rPr>
        <w:noProof/>
      </w:rPr>
    </w:sdtEndPr>
    <w:sdtContent>
      <w:p w:rsidR="00A444CD" w:rsidRDefault="00A44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44CD" w:rsidRDefault="00A444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33848"/>
      <w:docPartObj>
        <w:docPartGallery w:val="Page Numbers (Bottom of Page)"/>
        <w:docPartUnique/>
      </w:docPartObj>
    </w:sdtPr>
    <w:sdtEndPr>
      <w:rPr>
        <w:noProof/>
      </w:rPr>
    </w:sdtEndPr>
    <w:sdtContent>
      <w:p w:rsidR="00A444CD" w:rsidRDefault="00A444CD">
        <w:pPr>
          <w:pStyle w:val="Footer"/>
          <w:jc w:val="right"/>
        </w:pPr>
        <w:r>
          <w:fldChar w:fldCharType="begin"/>
        </w:r>
        <w:r>
          <w:instrText xml:space="preserve"> PAGE   \* MERGEFORMAT </w:instrText>
        </w:r>
        <w:r>
          <w:fldChar w:fldCharType="separate"/>
        </w:r>
        <w:r w:rsidR="007D5E9F">
          <w:rPr>
            <w:noProof/>
          </w:rPr>
          <w:t>19</w:t>
        </w:r>
        <w:r>
          <w:rPr>
            <w:noProof/>
          </w:rPr>
          <w:fldChar w:fldCharType="end"/>
        </w:r>
      </w:p>
    </w:sdtContent>
  </w:sdt>
  <w:p w:rsidR="00A444CD" w:rsidRDefault="00A444C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Default="00A444CD">
    <w:pPr>
      <w:pStyle w:val="Footer"/>
      <w:jc w:val="right"/>
    </w:pPr>
  </w:p>
  <w:p w:rsidR="00A444CD" w:rsidRDefault="00A44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4CD" w:rsidRDefault="00A444CD">
      <w:r>
        <w:separator/>
      </w:r>
    </w:p>
    <w:p w:rsidR="00A444CD" w:rsidRDefault="00A444CD"/>
  </w:footnote>
  <w:footnote w:type="continuationSeparator" w:id="0">
    <w:p w:rsidR="00A444CD" w:rsidRDefault="00A444CD">
      <w:r>
        <w:continuationSeparator/>
      </w:r>
    </w:p>
    <w:p w:rsidR="00A444CD" w:rsidRDefault="00A444CD"/>
  </w:footnote>
  <w:footnote w:id="1">
    <w:p w:rsidR="00A444CD" w:rsidRDefault="00A444CD" w:rsidP="00D63058">
      <w:pPr>
        <w:pStyle w:val="FootnoteText"/>
      </w:pPr>
      <w:r>
        <w:rPr>
          <w:rStyle w:val="FootnoteReference"/>
          <w:rFonts w:cs="Arial"/>
        </w:rPr>
        <w:footnoteRef/>
      </w:r>
      <w:r>
        <w:t xml:space="preserve"> </w:t>
      </w:r>
      <w:r w:rsidRPr="00AB4992">
        <w:rPr>
          <w:sz w:val="18"/>
          <w:szCs w:val="18"/>
        </w:rPr>
        <w:t xml:space="preserve">Eligible higher education providers are those institutions identified as Table A and Table B providers in sections 16-15 and 16-20 of the </w:t>
      </w:r>
      <w:r w:rsidRPr="00AB4992">
        <w:rPr>
          <w:i/>
          <w:iCs/>
          <w:sz w:val="18"/>
          <w:szCs w:val="18"/>
        </w:rPr>
        <w:t>Higher Education Support Act 2003</w:t>
      </w:r>
      <w:r w:rsidRPr="00AB4992">
        <w:rPr>
          <w:sz w:val="18"/>
          <w:szCs w:val="18"/>
        </w:rPr>
        <w:t>.</w:t>
      </w:r>
    </w:p>
  </w:footnote>
  <w:footnote w:id="2">
    <w:p w:rsidR="00A444CD" w:rsidRPr="00AB4992" w:rsidRDefault="00A444CD" w:rsidP="009F7004">
      <w:pPr>
        <w:autoSpaceDE w:val="0"/>
        <w:autoSpaceDN w:val="0"/>
        <w:adjustRightInd w:val="0"/>
        <w:rPr>
          <w:i/>
          <w:iCs/>
          <w:sz w:val="18"/>
          <w:szCs w:val="18"/>
          <w:lang w:eastAsia="en-AU"/>
        </w:rPr>
      </w:pPr>
      <w:r w:rsidRPr="00AB4992">
        <w:rPr>
          <w:rStyle w:val="FootnoteReference"/>
          <w:rFonts w:cs="Arial"/>
          <w:sz w:val="18"/>
          <w:szCs w:val="18"/>
        </w:rPr>
        <w:footnoteRef/>
      </w:r>
      <w:r w:rsidRPr="00AB4992">
        <w:rPr>
          <w:sz w:val="18"/>
          <w:szCs w:val="18"/>
          <w:lang w:eastAsia="en-AU"/>
        </w:rPr>
        <w:t xml:space="preserve">OECD (2015), </w:t>
      </w:r>
      <w:r w:rsidRPr="00AB4992">
        <w:rPr>
          <w:i/>
          <w:iCs/>
          <w:sz w:val="18"/>
          <w:szCs w:val="18"/>
          <w:lang w:eastAsia="en-AU"/>
        </w:rPr>
        <w:t>Frascati Manual 2015: Guidelines for Collecting and Reporting Data on Research</w:t>
      </w:r>
    </w:p>
    <w:p w:rsidR="00A444CD" w:rsidRPr="00AB4992" w:rsidRDefault="00A444CD" w:rsidP="009F7004">
      <w:pPr>
        <w:autoSpaceDE w:val="0"/>
        <w:autoSpaceDN w:val="0"/>
        <w:adjustRightInd w:val="0"/>
        <w:rPr>
          <w:sz w:val="18"/>
          <w:szCs w:val="18"/>
          <w:lang w:eastAsia="en-AU"/>
        </w:rPr>
      </w:pPr>
      <w:r w:rsidRPr="00AB4992">
        <w:rPr>
          <w:i/>
          <w:iCs/>
          <w:sz w:val="18"/>
          <w:szCs w:val="18"/>
          <w:lang w:eastAsia="en-AU"/>
        </w:rPr>
        <w:t>and Experimental Development</w:t>
      </w:r>
      <w:r w:rsidRPr="00AB4992">
        <w:rPr>
          <w:sz w:val="18"/>
          <w:szCs w:val="18"/>
          <w:lang w:eastAsia="en-AU"/>
        </w:rPr>
        <w:t>, The Measurement of Scientific, Technological and Innovation</w:t>
      </w:r>
    </w:p>
    <w:p w:rsidR="00A444CD" w:rsidRPr="00AB4992" w:rsidRDefault="00A444CD" w:rsidP="009F7004">
      <w:pPr>
        <w:pStyle w:val="FootnoteText"/>
        <w:rPr>
          <w:sz w:val="18"/>
          <w:szCs w:val="18"/>
        </w:rPr>
      </w:pPr>
      <w:r w:rsidRPr="00AB4992">
        <w:rPr>
          <w:sz w:val="18"/>
          <w:szCs w:val="18"/>
          <w:lang w:eastAsia="en-AU"/>
        </w:rPr>
        <w:t>Activities, OECD Publishing, Paris</w:t>
      </w:r>
      <w:r>
        <w:rPr>
          <w:sz w:val="18"/>
          <w:szCs w:val="18"/>
          <w:lang w:eastAsia="en-AU"/>
        </w:rPr>
        <w:t>, pp 44-45</w:t>
      </w:r>
      <w:r w:rsidRPr="00AB4992">
        <w:rPr>
          <w:sz w:val="18"/>
          <w:szCs w:val="18"/>
        </w:rPr>
        <w:t xml:space="preserve"> </w:t>
      </w:r>
    </w:p>
  </w:footnote>
  <w:footnote w:id="3">
    <w:p w:rsidR="00A444CD" w:rsidRPr="00AB4992" w:rsidRDefault="00A444CD" w:rsidP="00991911">
      <w:pPr>
        <w:autoSpaceDE w:val="0"/>
        <w:autoSpaceDN w:val="0"/>
        <w:adjustRightInd w:val="0"/>
        <w:rPr>
          <w:sz w:val="18"/>
          <w:szCs w:val="18"/>
        </w:rPr>
      </w:pPr>
      <w:r w:rsidRPr="00AB4992">
        <w:rPr>
          <w:rStyle w:val="FootnoteReference"/>
          <w:rFonts w:cs="Arial"/>
          <w:sz w:val="18"/>
          <w:szCs w:val="18"/>
        </w:rPr>
        <w:footnoteRef/>
      </w:r>
      <w:r w:rsidRPr="00991911">
        <w:rPr>
          <w:i/>
          <w:sz w:val="18"/>
          <w:szCs w:val="18"/>
          <w:lang w:eastAsia="en-AU"/>
        </w:rPr>
        <w:t>Ibid</w:t>
      </w:r>
      <w:r>
        <w:rPr>
          <w:sz w:val="18"/>
          <w:szCs w:val="18"/>
          <w:lang w:eastAsia="en-AU"/>
        </w:rPr>
        <w:t>. pp 46-48</w:t>
      </w:r>
    </w:p>
  </w:footnote>
  <w:footnote w:id="4">
    <w:p w:rsidR="00A444CD" w:rsidRDefault="00A444CD">
      <w:pPr>
        <w:pStyle w:val="FootnoteText"/>
      </w:pPr>
      <w:r w:rsidRPr="00AB4992">
        <w:rPr>
          <w:rStyle w:val="FootnoteReference"/>
          <w:sz w:val="18"/>
          <w:szCs w:val="18"/>
        </w:rPr>
        <w:footnoteRef/>
      </w:r>
      <w:r w:rsidRPr="00AB4992">
        <w:rPr>
          <w:sz w:val="18"/>
          <w:szCs w:val="18"/>
        </w:rPr>
        <w:t xml:space="preserve"> Higher degree by research (HDR) training is training undertaken by students to achieve a Research Doctorate or Research Masters. A Research Doctorate</w:t>
      </w:r>
      <w:r>
        <w:rPr>
          <w:sz w:val="18"/>
          <w:szCs w:val="18"/>
        </w:rPr>
        <w:t xml:space="preserve"> </w:t>
      </w:r>
      <w:r w:rsidRPr="004925DA">
        <w:rPr>
          <w:sz w:val="18"/>
          <w:szCs w:val="18"/>
        </w:rPr>
        <w:t xml:space="preserve">means a Level 10 Doctoral Degree (Research) qualification as described in the </w:t>
      </w:r>
      <w:r w:rsidRPr="00AB4992">
        <w:rPr>
          <w:sz w:val="18"/>
          <w:szCs w:val="18"/>
        </w:rPr>
        <w:t xml:space="preserve">Australian Qualifications Framework and a Research Masters </w:t>
      </w:r>
      <w:r w:rsidRPr="004925DA">
        <w:rPr>
          <w:sz w:val="18"/>
          <w:szCs w:val="18"/>
        </w:rPr>
        <w:t xml:space="preserve">means a Level 9 Masters Degree (Research) qualification as described in the </w:t>
      </w:r>
      <w:r w:rsidRPr="00AB4992">
        <w:rPr>
          <w:sz w:val="18"/>
          <w:szCs w:val="18"/>
        </w:rPr>
        <w:t>Australian Qualifications Framework.</w:t>
      </w:r>
      <w:r>
        <w:rPr>
          <w:sz w:val="18"/>
          <w:szCs w:val="18"/>
        </w:rPr>
        <w:t xml:space="preserve"> Professional Doctorates may be included but only where two-thirds of the qualification is research.</w:t>
      </w:r>
    </w:p>
  </w:footnote>
  <w:footnote w:id="5">
    <w:p w:rsidR="00A444CD" w:rsidRPr="00AB4992" w:rsidRDefault="00A444CD" w:rsidP="00EA32B0">
      <w:pPr>
        <w:autoSpaceDE w:val="0"/>
        <w:autoSpaceDN w:val="0"/>
        <w:adjustRightInd w:val="0"/>
        <w:rPr>
          <w:i/>
          <w:iCs/>
          <w:sz w:val="18"/>
          <w:szCs w:val="18"/>
          <w:lang w:eastAsia="en-AU"/>
        </w:rPr>
      </w:pPr>
      <w:r>
        <w:rPr>
          <w:rStyle w:val="FootnoteReference"/>
        </w:rPr>
        <w:footnoteRef/>
      </w:r>
      <w:r>
        <w:t xml:space="preserve"> </w:t>
      </w:r>
      <w:r w:rsidRPr="00AB4992">
        <w:rPr>
          <w:sz w:val="18"/>
          <w:szCs w:val="18"/>
          <w:lang w:eastAsia="en-AU"/>
        </w:rPr>
        <w:t xml:space="preserve">OECD (2015), </w:t>
      </w:r>
      <w:r w:rsidRPr="00AB4992">
        <w:rPr>
          <w:i/>
          <w:iCs/>
          <w:sz w:val="18"/>
          <w:szCs w:val="18"/>
          <w:lang w:eastAsia="en-AU"/>
        </w:rPr>
        <w:t>Frascati Manual 2015: Guidelines for Collecting and Reporting Data on Research</w:t>
      </w:r>
    </w:p>
    <w:p w:rsidR="00A444CD" w:rsidRPr="00AB4992" w:rsidRDefault="00A444CD" w:rsidP="00EA32B0">
      <w:pPr>
        <w:autoSpaceDE w:val="0"/>
        <w:autoSpaceDN w:val="0"/>
        <w:adjustRightInd w:val="0"/>
        <w:rPr>
          <w:sz w:val="18"/>
          <w:szCs w:val="18"/>
          <w:lang w:eastAsia="en-AU"/>
        </w:rPr>
      </w:pPr>
      <w:r w:rsidRPr="00AB4992">
        <w:rPr>
          <w:i/>
          <w:iCs/>
          <w:sz w:val="18"/>
          <w:szCs w:val="18"/>
          <w:lang w:eastAsia="en-AU"/>
        </w:rPr>
        <w:t>and Experimental Development</w:t>
      </w:r>
      <w:r w:rsidRPr="00AB4992">
        <w:rPr>
          <w:sz w:val="18"/>
          <w:szCs w:val="18"/>
          <w:lang w:eastAsia="en-AU"/>
        </w:rPr>
        <w:t>, The Measurement of Scientific, Technological and Innovation</w:t>
      </w:r>
    </w:p>
    <w:p w:rsidR="00A444CD" w:rsidRDefault="00A444CD" w:rsidP="00EA32B0">
      <w:pPr>
        <w:pStyle w:val="FootnoteText"/>
      </w:pPr>
      <w:r w:rsidRPr="00AB4992">
        <w:rPr>
          <w:sz w:val="18"/>
          <w:szCs w:val="18"/>
          <w:lang w:eastAsia="en-AU"/>
        </w:rPr>
        <w:t>Activities, OECD Publishing, Paris</w:t>
      </w:r>
      <w:r>
        <w:rPr>
          <w:sz w:val="18"/>
          <w:szCs w:val="18"/>
          <w:lang w:eastAsia="en-AU"/>
        </w:rPr>
        <w:t>, pp 53-54</w:t>
      </w:r>
    </w:p>
  </w:footnote>
  <w:footnote w:id="6">
    <w:p w:rsidR="00A444CD" w:rsidRDefault="00A444CD">
      <w:pPr>
        <w:pStyle w:val="FootnoteText"/>
      </w:pPr>
      <w:r>
        <w:rPr>
          <w:rStyle w:val="FootnoteReference"/>
        </w:rPr>
        <w:footnoteRef/>
      </w:r>
      <w:r>
        <w:t xml:space="preserve"> </w:t>
      </w:r>
      <w:r w:rsidRPr="003248CD">
        <w:rPr>
          <w:i/>
          <w:sz w:val="18"/>
          <w:szCs w:val="18"/>
          <w:lang w:eastAsia="en-AU"/>
        </w:rPr>
        <w:t>Ibid</w:t>
      </w:r>
      <w:r>
        <w:rPr>
          <w:sz w:val="18"/>
          <w:szCs w:val="18"/>
          <w:lang w:eastAsia="en-AU"/>
        </w:rPr>
        <w:t>. pp 54</w:t>
      </w:r>
    </w:p>
  </w:footnote>
  <w:footnote w:id="7">
    <w:p w:rsidR="00A444CD" w:rsidRPr="00FC750C" w:rsidRDefault="00A444CD">
      <w:pPr>
        <w:pStyle w:val="FootnoteText"/>
      </w:pPr>
      <w:r w:rsidRPr="005C4E7C">
        <w:rPr>
          <w:rStyle w:val="FootnoteReference"/>
        </w:rPr>
        <w:footnoteRef/>
      </w:r>
      <w:r>
        <w:t xml:space="preserve"> </w:t>
      </w:r>
      <w:r w:rsidRPr="00AB4992">
        <w:rPr>
          <w:sz w:val="18"/>
          <w:szCs w:val="18"/>
        </w:rPr>
        <w:t>See also Section 4.3, Income involving other parties; this includes where a HEP has made payments to a third party for goods and services in support of the conduct of research under the control of the HEP.</w:t>
      </w:r>
    </w:p>
  </w:footnote>
  <w:footnote w:id="8">
    <w:p w:rsidR="00A444CD" w:rsidRDefault="00A444CD" w:rsidP="00BA169E">
      <w:pPr>
        <w:pStyle w:val="FootnoteText"/>
      </w:pPr>
      <w:r w:rsidRPr="0066662B">
        <w:rPr>
          <w:rStyle w:val="FootnoteReference"/>
        </w:rPr>
        <w:footnoteRef/>
      </w:r>
      <w:r w:rsidRPr="0066662B">
        <w:t xml:space="preserve"> </w:t>
      </w:r>
      <w:r w:rsidRPr="00AB4992">
        <w:rPr>
          <w:sz w:val="18"/>
          <w:szCs w:val="18"/>
        </w:rPr>
        <w:t>See note above.</w:t>
      </w:r>
    </w:p>
  </w:footnote>
  <w:footnote w:id="9">
    <w:p w:rsidR="00A444CD" w:rsidRDefault="00A444CD">
      <w:pPr>
        <w:pStyle w:val="FootnoteText"/>
      </w:pPr>
      <w:r>
        <w:rPr>
          <w:rStyle w:val="FootnoteReference"/>
        </w:rPr>
        <w:footnoteRef/>
      </w:r>
      <w:r>
        <w:t xml:space="preserve"> </w:t>
      </w:r>
      <w:r w:rsidRPr="00AB4992">
        <w:rPr>
          <w:sz w:val="18"/>
          <w:szCs w:val="18"/>
        </w:rPr>
        <w:t>A subsidiary is an entity, including an unincorporated entity such as a partnership that is controlled by another entity (known as the parent).</w:t>
      </w:r>
    </w:p>
  </w:footnote>
  <w:footnote w:id="10">
    <w:p w:rsidR="00A444CD" w:rsidRDefault="00A444CD">
      <w:pPr>
        <w:pStyle w:val="FootnoteText"/>
      </w:pPr>
      <w:r>
        <w:rPr>
          <w:rStyle w:val="FootnoteReference"/>
        </w:rPr>
        <w:footnoteRef/>
      </w:r>
      <w:r>
        <w:t xml:space="preserve"> </w:t>
      </w:r>
      <w:r w:rsidRPr="00AB4992">
        <w:rPr>
          <w:sz w:val="18"/>
          <w:szCs w:val="18"/>
        </w:rPr>
        <w:t>Capital grants are those grants provided to a HEP to purchase an asset of a durable nature, even if the asset is for the purpose of conducting research. Capital grants include grants for the construction and/or upgrade or refurbishment of buildings, centres or facilities, as well as purchase of properties or land. Capital grants are distinct from grants for research infrastructure. Grants for research infrastructure are considered to include grants for specific and specialised equipment which are used in the conduct of research.</w:t>
      </w:r>
    </w:p>
  </w:footnote>
  <w:footnote w:id="11">
    <w:p w:rsidR="00A444CD" w:rsidRDefault="00A444CD" w:rsidP="002E500D">
      <w:pPr>
        <w:pStyle w:val="FootnoteText"/>
      </w:pPr>
      <w:r>
        <w:rPr>
          <w:rStyle w:val="FootnoteReference"/>
        </w:rPr>
        <w:footnoteRef/>
      </w:r>
      <w:r>
        <w:t xml:space="preserve"> </w:t>
      </w:r>
      <w:r w:rsidRPr="00AB4992">
        <w:rPr>
          <w:sz w:val="18"/>
          <w:szCs w:val="18"/>
        </w:rPr>
        <w:t>Exclude fees that HEPs may charge domestic HDR students who exhaust their RTS funding entitlement and continue their enrolment as listed under section 4.2.2. Also exclude Commonwealth contributions paid by the Australian Government directly to HEPs for Commonwealth supported places.</w:t>
      </w:r>
    </w:p>
  </w:footnote>
  <w:footnote w:id="12">
    <w:p w:rsidR="00A444CD" w:rsidRDefault="00A444CD" w:rsidP="001A4516">
      <w:pPr>
        <w:pStyle w:val="FootnoteText"/>
      </w:pPr>
      <w:r>
        <w:rPr>
          <w:rStyle w:val="FootnoteReference"/>
        </w:rPr>
        <w:footnoteRef/>
      </w:r>
      <w:r>
        <w:t xml:space="preserve"> </w:t>
      </w:r>
      <w:r w:rsidRPr="00AB4992">
        <w:rPr>
          <w:sz w:val="18"/>
          <w:szCs w:val="18"/>
        </w:rPr>
        <w:t xml:space="preserve">As listed under </w:t>
      </w:r>
      <w:r w:rsidRPr="00AB4992">
        <w:rPr>
          <w:b/>
          <w:sz w:val="18"/>
          <w:szCs w:val="18"/>
        </w:rPr>
        <w:t>section 4.2.2</w:t>
      </w:r>
      <w:r w:rsidRPr="00AB4992">
        <w:rPr>
          <w:sz w:val="18"/>
          <w:szCs w:val="18"/>
        </w:rPr>
        <w:t>, funds also exclude Commonwealth contributions paid by the Australian Government directly to HEPs for Commonwealth supported places.</w:t>
      </w:r>
    </w:p>
  </w:footnote>
  <w:footnote w:id="13">
    <w:p w:rsidR="00A444CD" w:rsidRDefault="00A444CD">
      <w:pPr>
        <w:pStyle w:val="FootnoteText"/>
      </w:pPr>
      <w:r>
        <w:rPr>
          <w:rStyle w:val="FootnoteReference"/>
        </w:rPr>
        <w:footnoteRef/>
      </w:r>
      <w:r>
        <w:t xml:space="preserve"> </w:t>
      </w:r>
      <w:r w:rsidRPr="00AB4992">
        <w:rPr>
          <w:i/>
          <w:sz w:val="18"/>
          <w:szCs w:val="18"/>
        </w:rPr>
        <w:t>Ibid</w:t>
      </w:r>
      <w:r w:rsidRPr="00AB4992">
        <w:rPr>
          <w:sz w:val="18"/>
          <w:szCs w:val="18"/>
        </w:rPr>
        <w:t>, p.9.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Default="00A444CD"/>
  <w:p w:rsidR="00A444CD" w:rsidRDefault="00A444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Pr="00AC7885" w:rsidRDefault="00A444CD" w:rsidP="00AC7885">
    <w:pPr>
      <w:jc w:val="right"/>
    </w:pPr>
    <w:r>
      <w:rPr>
        <w:i/>
        <w:iCs/>
        <w:sz w:val="16"/>
        <w:szCs w:val="16"/>
      </w:rPr>
      <w:t>Draft 2015 HERDC Specifications for the collection of 2014 data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Pr="00AC7885" w:rsidRDefault="00A444CD" w:rsidP="00F73934">
    <w:pPr>
      <w:jc w:val="right"/>
    </w:pPr>
    <w:r>
      <w:rPr>
        <w:i/>
        <w:iCs/>
        <w:sz w:val="16"/>
        <w:szCs w:val="16"/>
      </w:rPr>
      <w:t>2017 HERDC Specifications for the collection of 2016 data</w:t>
    </w:r>
  </w:p>
  <w:p w:rsidR="00A444CD" w:rsidRDefault="00A444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CD" w:rsidRPr="00AC7885" w:rsidRDefault="00A444CD" w:rsidP="00AC7885">
    <w:pPr>
      <w:jc w:val="right"/>
    </w:pPr>
    <w:r>
      <w:rPr>
        <w:i/>
        <w:iCs/>
        <w:sz w:val="16"/>
        <w:szCs w:val="16"/>
      </w:rPr>
      <w:t>2017 HERDC Specifications for the collection of 2016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F669AE"/>
    <w:lvl w:ilvl="0">
      <w:start w:val="1"/>
      <w:numFmt w:val="bullet"/>
      <w:pStyle w:val="ListBullet"/>
      <w:lvlText w:val=""/>
      <w:lvlJc w:val="left"/>
      <w:pPr>
        <w:tabs>
          <w:tab w:val="num" w:pos="1070"/>
        </w:tabs>
        <w:ind w:left="1070" w:hanging="360"/>
      </w:pPr>
      <w:rPr>
        <w:rFonts w:ascii="Symbol" w:hAnsi="Symbol" w:hint="default"/>
      </w:rPr>
    </w:lvl>
  </w:abstractNum>
  <w:abstractNum w:abstractNumId="1">
    <w:nsid w:val="00B41EE3"/>
    <w:multiLevelType w:val="hybridMultilevel"/>
    <w:tmpl w:val="6A9C6D24"/>
    <w:lvl w:ilvl="0" w:tplc="830E4A32">
      <w:start w:val="1"/>
      <w:numFmt w:val="bullet"/>
      <w:lvlText w:val="•"/>
      <w:lvlJc w:val="left"/>
      <w:pPr>
        <w:tabs>
          <w:tab w:val="num" w:pos="720"/>
        </w:tabs>
        <w:ind w:left="720" w:hanging="360"/>
      </w:pPr>
      <w:rPr>
        <w:rFonts w:ascii="Arial" w:hAnsi="Arial" w:hint="default"/>
      </w:rPr>
    </w:lvl>
    <w:lvl w:ilvl="1" w:tplc="C3F2C3A2" w:tentative="1">
      <w:start w:val="1"/>
      <w:numFmt w:val="bullet"/>
      <w:lvlText w:val="•"/>
      <w:lvlJc w:val="left"/>
      <w:pPr>
        <w:tabs>
          <w:tab w:val="num" w:pos="1440"/>
        </w:tabs>
        <w:ind w:left="1440" w:hanging="360"/>
      </w:pPr>
      <w:rPr>
        <w:rFonts w:ascii="Arial" w:hAnsi="Arial" w:hint="default"/>
      </w:rPr>
    </w:lvl>
    <w:lvl w:ilvl="2" w:tplc="D1C02894" w:tentative="1">
      <w:start w:val="1"/>
      <w:numFmt w:val="bullet"/>
      <w:lvlText w:val="•"/>
      <w:lvlJc w:val="left"/>
      <w:pPr>
        <w:tabs>
          <w:tab w:val="num" w:pos="2160"/>
        </w:tabs>
        <w:ind w:left="2160" w:hanging="360"/>
      </w:pPr>
      <w:rPr>
        <w:rFonts w:ascii="Arial" w:hAnsi="Arial" w:hint="default"/>
      </w:rPr>
    </w:lvl>
    <w:lvl w:ilvl="3" w:tplc="0E984DD6" w:tentative="1">
      <w:start w:val="1"/>
      <w:numFmt w:val="bullet"/>
      <w:lvlText w:val="•"/>
      <w:lvlJc w:val="left"/>
      <w:pPr>
        <w:tabs>
          <w:tab w:val="num" w:pos="2880"/>
        </w:tabs>
        <w:ind w:left="2880" w:hanging="360"/>
      </w:pPr>
      <w:rPr>
        <w:rFonts w:ascii="Arial" w:hAnsi="Arial" w:hint="default"/>
      </w:rPr>
    </w:lvl>
    <w:lvl w:ilvl="4" w:tplc="A086D4AE" w:tentative="1">
      <w:start w:val="1"/>
      <w:numFmt w:val="bullet"/>
      <w:lvlText w:val="•"/>
      <w:lvlJc w:val="left"/>
      <w:pPr>
        <w:tabs>
          <w:tab w:val="num" w:pos="3600"/>
        </w:tabs>
        <w:ind w:left="3600" w:hanging="360"/>
      </w:pPr>
      <w:rPr>
        <w:rFonts w:ascii="Arial" w:hAnsi="Arial" w:hint="default"/>
      </w:rPr>
    </w:lvl>
    <w:lvl w:ilvl="5" w:tplc="D0F26304" w:tentative="1">
      <w:start w:val="1"/>
      <w:numFmt w:val="bullet"/>
      <w:lvlText w:val="•"/>
      <w:lvlJc w:val="left"/>
      <w:pPr>
        <w:tabs>
          <w:tab w:val="num" w:pos="4320"/>
        </w:tabs>
        <w:ind w:left="4320" w:hanging="360"/>
      </w:pPr>
      <w:rPr>
        <w:rFonts w:ascii="Arial" w:hAnsi="Arial" w:hint="default"/>
      </w:rPr>
    </w:lvl>
    <w:lvl w:ilvl="6" w:tplc="05200F74" w:tentative="1">
      <w:start w:val="1"/>
      <w:numFmt w:val="bullet"/>
      <w:lvlText w:val="•"/>
      <w:lvlJc w:val="left"/>
      <w:pPr>
        <w:tabs>
          <w:tab w:val="num" w:pos="5040"/>
        </w:tabs>
        <w:ind w:left="5040" w:hanging="360"/>
      </w:pPr>
      <w:rPr>
        <w:rFonts w:ascii="Arial" w:hAnsi="Arial" w:hint="default"/>
      </w:rPr>
    </w:lvl>
    <w:lvl w:ilvl="7" w:tplc="57FA75F4" w:tentative="1">
      <w:start w:val="1"/>
      <w:numFmt w:val="bullet"/>
      <w:lvlText w:val="•"/>
      <w:lvlJc w:val="left"/>
      <w:pPr>
        <w:tabs>
          <w:tab w:val="num" w:pos="5760"/>
        </w:tabs>
        <w:ind w:left="5760" w:hanging="360"/>
      </w:pPr>
      <w:rPr>
        <w:rFonts w:ascii="Arial" w:hAnsi="Arial" w:hint="default"/>
      </w:rPr>
    </w:lvl>
    <w:lvl w:ilvl="8" w:tplc="8FF0852A" w:tentative="1">
      <w:start w:val="1"/>
      <w:numFmt w:val="bullet"/>
      <w:lvlText w:val="•"/>
      <w:lvlJc w:val="left"/>
      <w:pPr>
        <w:tabs>
          <w:tab w:val="num" w:pos="6480"/>
        </w:tabs>
        <w:ind w:left="6480" w:hanging="360"/>
      </w:pPr>
      <w:rPr>
        <w:rFonts w:ascii="Arial" w:hAnsi="Arial" w:hint="default"/>
      </w:rPr>
    </w:lvl>
  </w:abstractNum>
  <w:abstractNum w:abstractNumId="2">
    <w:nsid w:val="015E2BAC"/>
    <w:multiLevelType w:val="hybridMultilevel"/>
    <w:tmpl w:val="3542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793784"/>
    <w:multiLevelType w:val="hybridMultilevel"/>
    <w:tmpl w:val="05ECA0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nsid w:val="06F17576"/>
    <w:multiLevelType w:val="hybridMultilevel"/>
    <w:tmpl w:val="1CE86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F045F6"/>
    <w:multiLevelType w:val="hybridMultilevel"/>
    <w:tmpl w:val="40AA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A4315F"/>
    <w:multiLevelType w:val="hybridMultilevel"/>
    <w:tmpl w:val="771AA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F0698B"/>
    <w:multiLevelType w:val="hybridMultilevel"/>
    <w:tmpl w:val="839426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28E0A90"/>
    <w:multiLevelType w:val="hybridMultilevel"/>
    <w:tmpl w:val="D0F6279E"/>
    <w:lvl w:ilvl="0" w:tplc="33B8A9AC">
      <w:start w:val="1"/>
      <w:numFmt w:val="bullet"/>
      <w:pStyle w:val="ListBullet31"/>
      <w:lvlText w:val=""/>
      <w:lvlJc w:val="left"/>
      <w:pPr>
        <w:tabs>
          <w:tab w:val="num" w:pos="7448"/>
        </w:tabs>
        <w:ind w:left="7448" w:hanging="360"/>
      </w:pPr>
      <w:rPr>
        <w:rFonts w:ascii="Symbol" w:hAnsi="Symbol" w:hint="default"/>
      </w:rPr>
    </w:lvl>
    <w:lvl w:ilvl="1" w:tplc="DB66698C">
      <w:start w:val="1"/>
      <w:numFmt w:val="bullet"/>
      <w:lvlText w:val="o"/>
      <w:lvlJc w:val="left"/>
      <w:pPr>
        <w:tabs>
          <w:tab w:val="num" w:pos="1440"/>
        </w:tabs>
        <w:ind w:left="1440" w:hanging="360"/>
      </w:pPr>
      <w:rPr>
        <w:rFonts w:ascii="Courier New" w:hAnsi="Courier New" w:hint="default"/>
      </w:rPr>
    </w:lvl>
    <w:lvl w:ilvl="2" w:tplc="BC98CE86">
      <w:start w:val="1"/>
      <w:numFmt w:val="bullet"/>
      <w:lvlText w:val=""/>
      <w:lvlJc w:val="left"/>
      <w:pPr>
        <w:tabs>
          <w:tab w:val="num" w:pos="2160"/>
        </w:tabs>
        <w:ind w:left="2160" w:hanging="360"/>
      </w:pPr>
      <w:rPr>
        <w:rFonts w:ascii="Wingdings" w:hAnsi="Wingdings" w:hint="default"/>
      </w:rPr>
    </w:lvl>
    <w:lvl w:ilvl="3" w:tplc="7E0E5BB8" w:tentative="1">
      <w:start w:val="1"/>
      <w:numFmt w:val="bullet"/>
      <w:lvlText w:val=""/>
      <w:lvlJc w:val="left"/>
      <w:pPr>
        <w:tabs>
          <w:tab w:val="num" w:pos="2880"/>
        </w:tabs>
        <w:ind w:left="2880" w:hanging="360"/>
      </w:pPr>
      <w:rPr>
        <w:rFonts w:ascii="Symbol" w:hAnsi="Symbol" w:hint="default"/>
      </w:rPr>
    </w:lvl>
    <w:lvl w:ilvl="4" w:tplc="2DB85D36" w:tentative="1">
      <w:start w:val="1"/>
      <w:numFmt w:val="bullet"/>
      <w:lvlText w:val="o"/>
      <w:lvlJc w:val="left"/>
      <w:pPr>
        <w:tabs>
          <w:tab w:val="num" w:pos="3600"/>
        </w:tabs>
        <w:ind w:left="3600" w:hanging="360"/>
      </w:pPr>
      <w:rPr>
        <w:rFonts w:ascii="Courier New" w:hAnsi="Courier New" w:hint="default"/>
      </w:rPr>
    </w:lvl>
    <w:lvl w:ilvl="5" w:tplc="6958AFCA" w:tentative="1">
      <w:start w:val="1"/>
      <w:numFmt w:val="bullet"/>
      <w:lvlText w:val=""/>
      <w:lvlJc w:val="left"/>
      <w:pPr>
        <w:tabs>
          <w:tab w:val="num" w:pos="4320"/>
        </w:tabs>
        <w:ind w:left="4320" w:hanging="360"/>
      </w:pPr>
      <w:rPr>
        <w:rFonts w:ascii="Wingdings" w:hAnsi="Wingdings" w:hint="default"/>
      </w:rPr>
    </w:lvl>
    <w:lvl w:ilvl="6" w:tplc="54523C92" w:tentative="1">
      <w:start w:val="1"/>
      <w:numFmt w:val="bullet"/>
      <w:lvlText w:val=""/>
      <w:lvlJc w:val="left"/>
      <w:pPr>
        <w:tabs>
          <w:tab w:val="num" w:pos="5040"/>
        </w:tabs>
        <w:ind w:left="5040" w:hanging="360"/>
      </w:pPr>
      <w:rPr>
        <w:rFonts w:ascii="Symbol" w:hAnsi="Symbol" w:hint="default"/>
      </w:rPr>
    </w:lvl>
    <w:lvl w:ilvl="7" w:tplc="16344B2E" w:tentative="1">
      <w:start w:val="1"/>
      <w:numFmt w:val="bullet"/>
      <w:lvlText w:val="o"/>
      <w:lvlJc w:val="left"/>
      <w:pPr>
        <w:tabs>
          <w:tab w:val="num" w:pos="5760"/>
        </w:tabs>
        <w:ind w:left="5760" w:hanging="360"/>
      </w:pPr>
      <w:rPr>
        <w:rFonts w:ascii="Courier New" w:hAnsi="Courier New" w:hint="default"/>
      </w:rPr>
    </w:lvl>
    <w:lvl w:ilvl="8" w:tplc="8382A00C" w:tentative="1">
      <w:start w:val="1"/>
      <w:numFmt w:val="bullet"/>
      <w:lvlText w:val=""/>
      <w:lvlJc w:val="left"/>
      <w:pPr>
        <w:tabs>
          <w:tab w:val="num" w:pos="6480"/>
        </w:tabs>
        <w:ind w:left="6480" w:hanging="360"/>
      </w:pPr>
      <w:rPr>
        <w:rFonts w:ascii="Wingdings" w:hAnsi="Wingdings" w:hint="default"/>
      </w:rPr>
    </w:lvl>
  </w:abstractNum>
  <w:abstractNum w:abstractNumId="9">
    <w:nsid w:val="14861174"/>
    <w:multiLevelType w:val="hybridMultilevel"/>
    <w:tmpl w:val="7A8A8358"/>
    <w:lvl w:ilvl="0" w:tplc="406CBA5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16431A"/>
    <w:multiLevelType w:val="hybridMultilevel"/>
    <w:tmpl w:val="F09E9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1761EA"/>
    <w:multiLevelType w:val="hybridMultilevel"/>
    <w:tmpl w:val="40626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8E1F4C"/>
    <w:multiLevelType w:val="hybridMultilevel"/>
    <w:tmpl w:val="9A4E1E18"/>
    <w:lvl w:ilvl="0" w:tplc="D7E4BD1C">
      <w:start w:val="1"/>
      <w:numFmt w:val="bullet"/>
      <w:pStyle w:val="ListBullet4"/>
      <w:lvlText w:val="o"/>
      <w:lvlJc w:val="left"/>
      <w:pPr>
        <w:ind w:left="1851" w:hanging="360"/>
      </w:pPr>
      <w:rPr>
        <w:rFonts w:ascii="Courier New" w:hAnsi="Courier New" w:hint="default"/>
      </w:rPr>
    </w:lvl>
    <w:lvl w:ilvl="1" w:tplc="28B4D1E4">
      <w:start w:val="1"/>
      <w:numFmt w:val="decimal"/>
      <w:lvlText w:val="%2."/>
      <w:lvlJc w:val="left"/>
      <w:pPr>
        <w:tabs>
          <w:tab w:val="num" w:pos="2194"/>
        </w:tabs>
        <w:ind w:left="2194" w:hanging="360"/>
      </w:pPr>
      <w:rPr>
        <w:rFonts w:cs="Times New Roman" w:hint="default"/>
      </w:rPr>
    </w:lvl>
    <w:lvl w:ilvl="2" w:tplc="9D66D99E" w:tentative="1">
      <w:start w:val="1"/>
      <w:numFmt w:val="bullet"/>
      <w:lvlText w:val=""/>
      <w:lvlJc w:val="left"/>
      <w:pPr>
        <w:tabs>
          <w:tab w:val="num" w:pos="2914"/>
        </w:tabs>
        <w:ind w:left="2914" w:hanging="360"/>
      </w:pPr>
      <w:rPr>
        <w:rFonts w:ascii="Wingdings" w:hAnsi="Wingdings" w:hint="default"/>
      </w:rPr>
    </w:lvl>
    <w:lvl w:ilvl="3" w:tplc="28325122" w:tentative="1">
      <w:start w:val="1"/>
      <w:numFmt w:val="bullet"/>
      <w:lvlText w:val=""/>
      <w:lvlJc w:val="left"/>
      <w:pPr>
        <w:tabs>
          <w:tab w:val="num" w:pos="3634"/>
        </w:tabs>
        <w:ind w:left="3634" w:hanging="360"/>
      </w:pPr>
      <w:rPr>
        <w:rFonts w:ascii="Symbol" w:hAnsi="Symbol" w:hint="default"/>
      </w:rPr>
    </w:lvl>
    <w:lvl w:ilvl="4" w:tplc="FBC8E67A" w:tentative="1">
      <w:start w:val="1"/>
      <w:numFmt w:val="bullet"/>
      <w:lvlText w:val="o"/>
      <w:lvlJc w:val="left"/>
      <w:pPr>
        <w:tabs>
          <w:tab w:val="num" w:pos="4354"/>
        </w:tabs>
        <w:ind w:left="4354" w:hanging="360"/>
      </w:pPr>
      <w:rPr>
        <w:rFonts w:ascii="Courier New" w:hAnsi="Courier New" w:hint="default"/>
      </w:rPr>
    </w:lvl>
    <w:lvl w:ilvl="5" w:tplc="5E42A7F4" w:tentative="1">
      <w:start w:val="1"/>
      <w:numFmt w:val="bullet"/>
      <w:lvlText w:val=""/>
      <w:lvlJc w:val="left"/>
      <w:pPr>
        <w:tabs>
          <w:tab w:val="num" w:pos="5074"/>
        </w:tabs>
        <w:ind w:left="5074" w:hanging="360"/>
      </w:pPr>
      <w:rPr>
        <w:rFonts w:ascii="Wingdings" w:hAnsi="Wingdings" w:hint="default"/>
      </w:rPr>
    </w:lvl>
    <w:lvl w:ilvl="6" w:tplc="E2EC32CA" w:tentative="1">
      <w:start w:val="1"/>
      <w:numFmt w:val="bullet"/>
      <w:lvlText w:val=""/>
      <w:lvlJc w:val="left"/>
      <w:pPr>
        <w:tabs>
          <w:tab w:val="num" w:pos="5794"/>
        </w:tabs>
        <w:ind w:left="5794" w:hanging="360"/>
      </w:pPr>
      <w:rPr>
        <w:rFonts w:ascii="Symbol" w:hAnsi="Symbol" w:hint="default"/>
      </w:rPr>
    </w:lvl>
    <w:lvl w:ilvl="7" w:tplc="B8E00DD6" w:tentative="1">
      <w:start w:val="1"/>
      <w:numFmt w:val="bullet"/>
      <w:lvlText w:val="o"/>
      <w:lvlJc w:val="left"/>
      <w:pPr>
        <w:tabs>
          <w:tab w:val="num" w:pos="6514"/>
        </w:tabs>
        <w:ind w:left="6514" w:hanging="360"/>
      </w:pPr>
      <w:rPr>
        <w:rFonts w:ascii="Courier New" w:hAnsi="Courier New" w:hint="default"/>
      </w:rPr>
    </w:lvl>
    <w:lvl w:ilvl="8" w:tplc="4A7AA71E" w:tentative="1">
      <w:start w:val="1"/>
      <w:numFmt w:val="bullet"/>
      <w:lvlText w:val=""/>
      <w:lvlJc w:val="left"/>
      <w:pPr>
        <w:tabs>
          <w:tab w:val="num" w:pos="7234"/>
        </w:tabs>
        <w:ind w:left="7234" w:hanging="360"/>
      </w:pPr>
      <w:rPr>
        <w:rFonts w:ascii="Wingdings" w:hAnsi="Wingdings" w:hint="default"/>
      </w:rPr>
    </w:lvl>
  </w:abstractNum>
  <w:abstractNum w:abstractNumId="13">
    <w:nsid w:val="1A7C3589"/>
    <w:multiLevelType w:val="hybridMultilevel"/>
    <w:tmpl w:val="804E98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E545C1"/>
    <w:multiLevelType w:val="hybridMultilevel"/>
    <w:tmpl w:val="A63E1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04B1CF1"/>
    <w:multiLevelType w:val="hybridMultilevel"/>
    <w:tmpl w:val="11BC9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497623E"/>
    <w:multiLevelType w:val="hybridMultilevel"/>
    <w:tmpl w:val="6B4E2D9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nsid w:val="27617737"/>
    <w:multiLevelType w:val="multilevel"/>
    <w:tmpl w:val="A394F5DA"/>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E54202"/>
    <w:multiLevelType w:val="hybridMultilevel"/>
    <w:tmpl w:val="34E45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1D16A7F"/>
    <w:multiLevelType w:val="hybridMultilevel"/>
    <w:tmpl w:val="B6008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4C470D6"/>
    <w:multiLevelType w:val="hybridMultilevel"/>
    <w:tmpl w:val="FF24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E63F0C"/>
    <w:multiLevelType w:val="multilevel"/>
    <w:tmpl w:val="63786DCC"/>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ascii="Arial Bold" w:hAnsi="Arial Bold" w:hint="default"/>
        <w:b/>
        <w:i w:val="0"/>
        <w:sz w:val="26"/>
      </w:rPr>
    </w:lvl>
    <w:lvl w:ilvl="2">
      <w:start w:val="1"/>
      <w:numFmt w:val="decimal"/>
      <w:pStyle w:val="Heading3"/>
      <w:lvlText w:val="%1.%2.%3."/>
      <w:lvlJc w:val="left"/>
      <w:pPr>
        <w:tabs>
          <w:tab w:val="num" w:pos="1645"/>
        </w:tabs>
        <w:ind w:left="1645" w:hanging="794"/>
      </w:pPr>
      <w:rPr>
        <w:rFonts w:ascii="Arial Bold" w:hAnsi="Arial Bold"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A45283C"/>
    <w:multiLevelType w:val="multilevel"/>
    <w:tmpl w:val="F45AD6C0"/>
    <w:lvl w:ilvl="0">
      <w:start w:val="1"/>
      <w:numFmt w:val="decimal"/>
      <w:lvlText w:val="%1."/>
      <w:lvlJc w:val="left"/>
      <w:pPr>
        <w:ind w:left="0" w:firstLine="0"/>
      </w:pPr>
      <w:rPr>
        <w:rFonts w:ascii="Arial Bold" w:hAnsi="Arial Bold" w:hint="default"/>
        <w:b/>
        <w:i w:val="0"/>
        <w:sz w:val="28"/>
        <w:u w:val="none"/>
      </w:rPr>
    </w:lvl>
    <w:lvl w:ilvl="1">
      <w:start w:val="1"/>
      <w:numFmt w:val="decimal"/>
      <w:pStyle w:val="Heading2"/>
      <w:lvlText w:val="%2.1"/>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FF7200"/>
    <w:multiLevelType w:val="hybridMultilevel"/>
    <w:tmpl w:val="6C62865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3DE65F66"/>
    <w:multiLevelType w:val="hybridMultilevel"/>
    <w:tmpl w:val="E4D0A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E7A0D4C"/>
    <w:multiLevelType w:val="hybridMultilevel"/>
    <w:tmpl w:val="9808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66551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20"/>
        </w:tabs>
        <w:ind w:left="93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7">
    <w:nsid w:val="48EC39F1"/>
    <w:multiLevelType w:val="hybridMultilevel"/>
    <w:tmpl w:val="E0B64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CFA6283"/>
    <w:multiLevelType w:val="hybridMultilevel"/>
    <w:tmpl w:val="0A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18D4697"/>
    <w:multiLevelType w:val="hybridMultilevel"/>
    <w:tmpl w:val="B1E660E4"/>
    <w:lvl w:ilvl="0" w:tplc="473C2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DA5D65"/>
    <w:multiLevelType w:val="hybridMultilevel"/>
    <w:tmpl w:val="5AAA7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5B3305"/>
    <w:multiLevelType w:val="hybridMultilevel"/>
    <w:tmpl w:val="F912D82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2">
    <w:nsid w:val="57EE1D0C"/>
    <w:multiLevelType w:val="hybridMultilevel"/>
    <w:tmpl w:val="3CB09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A066B17"/>
    <w:multiLevelType w:val="hybridMultilevel"/>
    <w:tmpl w:val="3BD6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172FA6"/>
    <w:multiLevelType w:val="hybridMultilevel"/>
    <w:tmpl w:val="5E5EBBAE"/>
    <w:lvl w:ilvl="0" w:tplc="C00E530E">
      <w:start w:val="1"/>
      <w:numFmt w:val="lowerLetter"/>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1763EA7"/>
    <w:multiLevelType w:val="hybridMultilevel"/>
    <w:tmpl w:val="8DE85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4490A7D"/>
    <w:multiLevelType w:val="hybridMultilevel"/>
    <w:tmpl w:val="3A403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DE16C5"/>
    <w:multiLevelType w:val="hybridMultilevel"/>
    <w:tmpl w:val="7F9E5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B1B43D7"/>
    <w:multiLevelType w:val="hybridMultilevel"/>
    <w:tmpl w:val="C6B2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5A0E86"/>
    <w:multiLevelType w:val="hybridMultilevel"/>
    <w:tmpl w:val="9B14C532"/>
    <w:lvl w:ilvl="0" w:tplc="0C090001">
      <w:start w:val="1"/>
      <w:numFmt w:val="bullet"/>
      <w:lvlText w:val=""/>
      <w:lvlJc w:val="left"/>
      <w:pPr>
        <w:ind w:left="2407" w:hanging="360"/>
      </w:pPr>
      <w:rPr>
        <w:rFonts w:ascii="Symbol" w:hAnsi="Symbol" w:hint="default"/>
      </w:rPr>
    </w:lvl>
    <w:lvl w:ilvl="1" w:tplc="0C090003" w:tentative="1">
      <w:start w:val="1"/>
      <w:numFmt w:val="bullet"/>
      <w:lvlText w:val="o"/>
      <w:lvlJc w:val="left"/>
      <w:pPr>
        <w:ind w:left="3127" w:hanging="360"/>
      </w:pPr>
      <w:rPr>
        <w:rFonts w:ascii="Courier New" w:hAnsi="Courier New" w:cs="Courier New" w:hint="default"/>
      </w:rPr>
    </w:lvl>
    <w:lvl w:ilvl="2" w:tplc="0C090005" w:tentative="1">
      <w:start w:val="1"/>
      <w:numFmt w:val="bullet"/>
      <w:lvlText w:val=""/>
      <w:lvlJc w:val="left"/>
      <w:pPr>
        <w:ind w:left="3847" w:hanging="360"/>
      </w:pPr>
      <w:rPr>
        <w:rFonts w:ascii="Wingdings" w:hAnsi="Wingdings" w:hint="default"/>
      </w:rPr>
    </w:lvl>
    <w:lvl w:ilvl="3" w:tplc="0C090001" w:tentative="1">
      <w:start w:val="1"/>
      <w:numFmt w:val="bullet"/>
      <w:lvlText w:val=""/>
      <w:lvlJc w:val="left"/>
      <w:pPr>
        <w:ind w:left="4567" w:hanging="360"/>
      </w:pPr>
      <w:rPr>
        <w:rFonts w:ascii="Symbol" w:hAnsi="Symbol" w:hint="default"/>
      </w:rPr>
    </w:lvl>
    <w:lvl w:ilvl="4" w:tplc="0C090003" w:tentative="1">
      <w:start w:val="1"/>
      <w:numFmt w:val="bullet"/>
      <w:lvlText w:val="o"/>
      <w:lvlJc w:val="left"/>
      <w:pPr>
        <w:ind w:left="5287" w:hanging="360"/>
      </w:pPr>
      <w:rPr>
        <w:rFonts w:ascii="Courier New" w:hAnsi="Courier New" w:cs="Courier New" w:hint="default"/>
      </w:rPr>
    </w:lvl>
    <w:lvl w:ilvl="5" w:tplc="0C090005" w:tentative="1">
      <w:start w:val="1"/>
      <w:numFmt w:val="bullet"/>
      <w:lvlText w:val=""/>
      <w:lvlJc w:val="left"/>
      <w:pPr>
        <w:ind w:left="6007" w:hanging="360"/>
      </w:pPr>
      <w:rPr>
        <w:rFonts w:ascii="Wingdings" w:hAnsi="Wingdings" w:hint="default"/>
      </w:rPr>
    </w:lvl>
    <w:lvl w:ilvl="6" w:tplc="0C090001" w:tentative="1">
      <w:start w:val="1"/>
      <w:numFmt w:val="bullet"/>
      <w:lvlText w:val=""/>
      <w:lvlJc w:val="left"/>
      <w:pPr>
        <w:ind w:left="6727" w:hanging="360"/>
      </w:pPr>
      <w:rPr>
        <w:rFonts w:ascii="Symbol" w:hAnsi="Symbol" w:hint="default"/>
      </w:rPr>
    </w:lvl>
    <w:lvl w:ilvl="7" w:tplc="0C090003" w:tentative="1">
      <w:start w:val="1"/>
      <w:numFmt w:val="bullet"/>
      <w:lvlText w:val="o"/>
      <w:lvlJc w:val="left"/>
      <w:pPr>
        <w:ind w:left="7447" w:hanging="360"/>
      </w:pPr>
      <w:rPr>
        <w:rFonts w:ascii="Courier New" w:hAnsi="Courier New" w:cs="Courier New" w:hint="default"/>
      </w:rPr>
    </w:lvl>
    <w:lvl w:ilvl="8" w:tplc="0C090005" w:tentative="1">
      <w:start w:val="1"/>
      <w:numFmt w:val="bullet"/>
      <w:lvlText w:val=""/>
      <w:lvlJc w:val="left"/>
      <w:pPr>
        <w:ind w:left="8167" w:hanging="360"/>
      </w:pPr>
      <w:rPr>
        <w:rFonts w:ascii="Wingdings" w:hAnsi="Wingdings" w:hint="default"/>
      </w:rPr>
    </w:lvl>
  </w:abstractNum>
  <w:abstractNum w:abstractNumId="40">
    <w:nsid w:val="6F403362"/>
    <w:multiLevelType w:val="hybridMultilevel"/>
    <w:tmpl w:val="D49E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BE4BAF"/>
    <w:multiLevelType w:val="hybridMultilevel"/>
    <w:tmpl w:val="B6AA4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1C90B16"/>
    <w:multiLevelType w:val="hybridMultilevel"/>
    <w:tmpl w:val="F4E45E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3FC4E34"/>
    <w:multiLevelType w:val="hybridMultilevel"/>
    <w:tmpl w:val="E00EF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5355B6"/>
    <w:multiLevelType w:val="hybridMultilevel"/>
    <w:tmpl w:val="E84068EA"/>
    <w:lvl w:ilvl="0" w:tplc="FBA46D38">
      <w:start w:val="1"/>
      <w:numFmt w:val="bullet"/>
      <w:pStyle w:val="ListBullet3"/>
      <w:lvlText w:val=""/>
      <w:lvlJc w:val="left"/>
      <w:pPr>
        <w:tabs>
          <w:tab w:val="num" w:pos="960"/>
        </w:tabs>
        <w:ind w:left="960" w:hanging="360"/>
      </w:pPr>
      <w:rPr>
        <w:rFonts w:ascii="Symbol" w:hAnsi="Symbol" w:hint="default"/>
      </w:rPr>
    </w:lvl>
    <w:lvl w:ilvl="1" w:tplc="2312ED4A">
      <w:start w:val="1"/>
      <w:numFmt w:val="bullet"/>
      <w:lvlText w:val="o"/>
      <w:lvlJc w:val="left"/>
      <w:pPr>
        <w:tabs>
          <w:tab w:val="num" w:pos="2041"/>
        </w:tabs>
        <w:ind w:left="2041" w:hanging="360"/>
      </w:pPr>
      <w:rPr>
        <w:rFonts w:ascii="Courier New" w:hAnsi="Courier New" w:hint="default"/>
      </w:rPr>
    </w:lvl>
    <w:lvl w:ilvl="2" w:tplc="BD481AEA" w:tentative="1">
      <w:start w:val="1"/>
      <w:numFmt w:val="bullet"/>
      <w:lvlText w:val=""/>
      <w:lvlJc w:val="left"/>
      <w:pPr>
        <w:tabs>
          <w:tab w:val="num" w:pos="2761"/>
        </w:tabs>
        <w:ind w:left="2761" w:hanging="360"/>
      </w:pPr>
      <w:rPr>
        <w:rFonts w:ascii="Wingdings" w:hAnsi="Wingdings" w:hint="default"/>
      </w:rPr>
    </w:lvl>
    <w:lvl w:ilvl="3" w:tplc="FEEAEDF8" w:tentative="1">
      <w:start w:val="1"/>
      <w:numFmt w:val="bullet"/>
      <w:lvlText w:val=""/>
      <w:lvlJc w:val="left"/>
      <w:pPr>
        <w:tabs>
          <w:tab w:val="num" w:pos="3481"/>
        </w:tabs>
        <w:ind w:left="3481" w:hanging="360"/>
      </w:pPr>
      <w:rPr>
        <w:rFonts w:ascii="Symbol" w:hAnsi="Symbol" w:hint="default"/>
      </w:rPr>
    </w:lvl>
    <w:lvl w:ilvl="4" w:tplc="DC369948" w:tentative="1">
      <w:start w:val="1"/>
      <w:numFmt w:val="bullet"/>
      <w:lvlText w:val="o"/>
      <w:lvlJc w:val="left"/>
      <w:pPr>
        <w:tabs>
          <w:tab w:val="num" w:pos="4201"/>
        </w:tabs>
        <w:ind w:left="4201" w:hanging="360"/>
      </w:pPr>
      <w:rPr>
        <w:rFonts w:ascii="Courier New" w:hAnsi="Courier New" w:hint="default"/>
      </w:rPr>
    </w:lvl>
    <w:lvl w:ilvl="5" w:tplc="0466189C" w:tentative="1">
      <w:start w:val="1"/>
      <w:numFmt w:val="bullet"/>
      <w:lvlText w:val=""/>
      <w:lvlJc w:val="left"/>
      <w:pPr>
        <w:tabs>
          <w:tab w:val="num" w:pos="4921"/>
        </w:tabs>
        <w:ind w:left="4921" w:hanging="360"/>
      </w:pPr>
      <w:rPr>
        <w:rFonts w:ascii="Wingdings" w:hAnsi="Wingdings" w:hint="default"/>
      </w:rPr>
    </w:lvl>
    <w:lvl w:ilvl="6" w:tplc="9C52914A" w:tentative="1">
      <w:start w:val="1"/>
      <w:numFmt w:val="bullet"/>
      <w:lvlText w:val=""/>
      <w:lvlJc w:val="left"/>
      <w:pPr>
        <w:tabs>
          <w:tab w:val="num" w:pos="5641"/>
        </w:tabs>
        <w:ind w:left="5641" w:hanging="360"/>
      </w:pPr>
      <w:rPr>
        <w:rFonts w:ascii="Symbol" w:hAnsi="Symbol" w:hint="default"/>
      </w:rPr>
    </w:lvl>
    <w:lvl w:ilvl="7" w:tplc="5570198C" w:tentative="1">
      <w:start w:val="1"/>
      <w:numFmt w:val="bullet"/>
      <w:lvlText w:val="o"/>
      <w:lvlJc w:val="left"/>
      <w:pPr>
        <w:tabs>
          <w:tab w:val="num" w:pos="6361"/>
        </w:tabs>
        <w:ind w:left="6361" w:hanging="360"/>
      </w:pPr>
      <w:rPr>
        <w:rFonts w:ascii="Courier New" w:hAnsi="Courier New" w:hint="default"/>
      </w:rPr>
    </w:lvl>
    <w:lvl w:ilvl="8" w:tplc="5456C42A" w:tentative="1">
      <w:start w:val="1"/>
      <w:numFmt w:val="bullet"/>
      <w:lvlText w:val=""/>
      <w:lvlJc w:val="left"/>
      <w:pPr>
        <w:tabs>
          <w:tab w:val="num" w:pos="7081"/>
        </w:tabs>
        <w:ind w:left="7081" w:hanging="360"/>
      </w:pPr>
      <w:rPr>
        <w:rFonts w:ascii="Wingdings" w:hAnsi="Wingdings" w:hint="default"/>
      </w:rPr>
    </w:lvl>
  </w:abstractNum>
  <w:abstractNum w:abstractNumId="45">
    <w:nsid w:val="759F194A"/>
    <w:multiLevelType w:val="hybridMultilevel"/>
    <w:tmpl w:val="B5BE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6C23275"/>
    <w:multiLevelType w:val="hybridMultilevel"/>
    <w:tmpl w:val="80A246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77967958"/>
    <w:multiLevelType w:val="hybridMultilevel"/>
    <w:tmpl w:val="CD9EC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8"/>
  </w:num>
  <w:num w:numId="3">
    <w:abstractNumId w:val="44"/>
  </w:num>
  <w:num w:numId="4">
    <w:abstractNumId w:val="12"/>
  </w:num>
  <w:num w:numId="5">
    <w:abstractNumId w:val="21"/>
  </w:num>
  <w:num w:numId="6">
    <w:abstractNumId w:val="0"/>
  </w:num>
  <w:num w:numId="7">
    <w:abstractNumId w:val="22"/>
  </w:num>
  <w:num w:numId="8">
    <w:abstractNumId w:val="34"/>
  </w:num>
  <w:num w:numId="9">
    <w:abstractNumId w:val="34"/>
    <w:lvlOverride w:ilvl="0">
      <w:startOverride w:val="1"/>
    </w:lvlOverride>
  </w:num>
  <w:num w:numId="10">
    <w:abstractNumId w:val="44"/>
  </w:num>
  <w:num w:numId="11">
    <w:abstractNumId w:val="22"/>
  </w:num>
  <w:num w:numId="12">
    <w:abstractNumId w:val="22"/>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2"/>
  </w:num>
  <w:num w:numId="20">
    <w:abstractNumId w:val="8"/>
  </w:num>
  <w:num w:numId="21">
    <w:abstractNumId w:val="3"/>
  </w:num>
  <w:num w:numId="22">
    <w:abstractNumId w:val="40"/>
  </w:num>
  <w:num w:numId="23">
    <w:abstractNumId w:val="7"/>
  </w:num>
  <w:num w:numId="24">
    <w:abstractNumId w:val="24"/>
  </w:num>
  <w:num w:numId="25">
    <w:abstractNumId w:val="21"/>
  </w:num>
  <w:num w:numId="26">
    <w:abstractNumId w:val="35"/>
  </w:num>
  <w:num w:numId="27">
    <w:abstractNumId w:val="3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num>
  <w:num w:numId="31">
    <w:abstractNumId w:val="11"/>
  </w:num>
  <w:num w:numId="32">
    <w:abstractNumId w:val="2"/>
  </w:num>
  <w:num w:numId="33">
    <w:abstractNumId w:val="21"/>
  </w:num>
  <w:num w:numId="34">
    <w:abstractNumId w:val="21"/>
  </w:num>
  <w:num w:numId="35">
    <w:abstractNumId w:val="21"/>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 w:numId="40">
    <w:abstractNumId w:val="30"/>
  </w:num>
  <w:num w:numId="41">
    <w:abstractNumId w:val="9"/>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2"/>
  </w:num>
  <w:num w:numId="51">
    <w:abstractNumId w:val="22"/>
  </w:num>
  <w:num w:numId="52">
    <w:abstractNumId w:val="21"/>
  </w:num>
  <w:num w:numId="53">
    <w:abstractNumId w:val="21"/>
  </w:num>
  <w:num w:numId="54">
    <w:abstractNumId w:val="8"/>
  </w:num>
  <w:num w:numId="55">
    <w:abstractNumId w:val="21"/>
  </w:num>
  <w:num w:numId="56">
    <w:abstractNumId w:val="21"/>
  </w:num>
  <w:num w:numId="57">
    <w:abstractNumId w:val="21"/>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10"/>
  </w:num>
  <w:num w:numId="66">
    <w:abstractNumId w:val="37"/>
  </w:num>
  <w:num w:numId="67">
    <w:abstractNumId w:val="25"/>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num>
  <w:num w:numId="71">
    <w:abstractNumId w:val="14"/>
  </w:num>
  <w:num w:numId="72">
    <w:abstractNumId w:val="42"/>
  </w:num>
  <w:num w:numId="73">
    <w:abstractNumId w:val="33"/>
  </w:num>
  <w:num w:numId="74">
    <w:abstractNumId w:val="18"/>
  </w:num>
  <w:num w:numId="75">
    <w:abstractNumId w:val="47"/>
  </w:num>
  <w:num w:numId="76">
    <w:abstractNumId w:val="19"/>
  </w:num>
  <w:num w:numId="77">
    <w:abstractNumId w:val="29"/>
  </w:num>
  <w:num w:numId="78">
    <w:abstractNumId w:val="38"/>
  </w:num>
  <w:num w:numId="79">
    <w:abstractNumId w:val="20"/>
  </w:num>
  <w:num w:numId="80">
    <w:abstractNumId w:val="36"/>
  </w:num>
  <w:num w:numId="81">
    <w:abstractNumId w:val="28"/>
  </w:num>
  <w:num w:numId="82">
    <w:abstractNumId w:val="13"/>
  </w:num>
  <w:num w:numId="83">
    <w:abstractNumId w:val="46"/>
  </w:num>
  <w:num w:numId="84">
    <w:abstractNumId w:val="39"/>
  </w:num>
  <w:num w:numId="85">
    <w:abstractNumId w:val="21"/>
  </w:num>
  <w:num w:numId="86">
    <w:abstractNumId w:val="21"/>
  </w:num>
  <w:num w:numId="87">
    <w:abstractNumId w:val="21"/>
  </w:num>
  <w:num w:numId="88">
    <w:abstractNumId w:val="27"/>
  </w:num>
  <w:num w:numId="89">
    <w:abstractNumId w:val="41"/>
  </w:num>
  <w:num w:numId="90">
    <w:abstractNumId w:val="5"/>
  </w:num>
  <w:num w:numId="91">
    <w:abstractNumId w:val="31"/>
  </w:num>
  <w:num w:numId="92">
    <w:abstractNumId w:val="23"/>
  </w:num>
  <w:num w:numId="93">
    <w:abstractNumId w:val="16"/>
  </w:num>
  <w:num w:numId="94">
    <w:abstractNumId w:val="43"/>
  </w:num>
  <w:num w:numId="95">
    <w:abstractNumId w:val="6"/>
  </w:num>
  <w:num w:numId="96">
    <w:abstractNumId w:val="15"/>
  </w:num>
  <w:num w:numId="97">
    <w:abstractNumId w:val="1"/>
  </w:num>
  <w:num w:numId="98">
    <w:abstractNumId w:val="45"/>
  </w:num>
  <w:num w:numId="99">
    <w:abstractNumId w:val="4"/>
  </w:num>
  <w:num w:numId="100">
    <w:abstractNumId w:val="8"/>
  </w:num>
  <w:num w:numId="101">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134"/>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B4410E"/>
    <w:rsid w:val="00001216"/>
    <w:rsid w:val="00001D91"/>
    <w:rsid w:val="0000231E"/>
    <w:rsid w:val="00002562"/>
    <w:rsid w:val="000026ED"/>
    <w:rsid w:val="00002B71"/>
    <w:rsid w:val="000034FF"/>
    <w:rsid w:val="000039E1"/>
    <w:rsid w:val="00003AFA"/>
    <w:rsid w:val="00004EE6"/>
    <w:rsid w:val="00005D02"/>
    <w:rsid w:val="0000680C"/>
    <w:rsid w:val="0000734B"/>
    <w:rsid w:val="0001301F"/>
    <w:rsid w:val="000150F3"/>
    <w:rsid w:val="000160BF"/>
    <w:rsid w:val="00016344"/>
    <w:rsid w:val="00016CC0"/>
    <w:rsid w:val="00017583"/>
    <w:rsid w:val="000202FA"/>
    <w:rsid w:val="00020F39"/>
    <w:rsid w:val="0002242F"/>
    <w:rsid w:val="00022491"/>
    <w:rsid w:val="00022C9F"/>
    <w:rsid w:val="000236A3"/>
    <w:rsid w:val="00023BEB"/>
    <w:rsid w:val="00023F08"/>
    <w:rsid w:val="0002432D"/>
    <w:rsid w:val="0002695F"/>
    <w:rsid w:val="00026C87"/>
    <w:rsid w:val="00027704"/>
    <w:rsid w:val="00027EDF"/>
    <w:rsid w:val="00027F7F"/>
    <w:rsid w:val="0003135E"/>
    <w:rsid w:val="000328C8"/>
    <w:rsid w:val="00032F02"/>
    <w:rsid w:val="00033515"/>
    <w:rsid w:val="00033B77"/>
    <w:rsid w:val="00035234"/>
    <w:rsid w:val="0003546E"/>
    <w:rsid w:val="00036092"/>
    <w:rsid w:val="000362FE"/>
    <w:rsid w:val="00036C4E"/>
    <w:rsid w:val="00036DEC"/>
    <w:rsid w:val="00037C1E"/>
    <w:rsid w:val="00040E47"/>
    <w:rsid w:val="0004184F"/>
    <w:rsid w:val="00041874"/>
    <w:rsid w:val="00042A4A"/>
    <w:rsid w:val="00044BB5"/>
    <w:rsid w:val="00044BD5"/>
    <w:rsid w:val="00044C72"/>
    <w:rsid w:val="0004523C"/>
    <w:rsid w:val="00045443"/>
    <w:rsid w:val="0004690F"/>
    <w:rsid w:val="00047332"/>
    <w:rsid w:val="00047C74"/>
    <w:rsid w:val="0005037E"/>
    <w:rsid w:val="00051D5C"/>
    <w:rsid w:val="00051D94"/>
    <w:rsid w:val="0005223E"/>
    <w:rsid w:val="0005259E"/>
    <w:rsid w:val="00052DEB"/>
    <w:rsid w:val="000547F6"/>
    <w:rsid w:val="00054C0B"/>
    <w:rsid w:val="00054CE6"/>
    <w:rsid w:val="00054D7A"/>
    <w:rsid w:val="00056965"/>
    <w:rsid w:val="00056AFD"/>
    <w:rsid w:val="00056EFB"/>
    <w:rsid w:val="00057A74"/>
    <w:rsid w:val="00057D29"/>
    <w:rsid w:val="00057E03"/>
    <w:rsid w:val="00060EB4"/>
    <w:rsid w:val="00061478"/>
    <w:rsid w:val="0006275A"/>
    <w:rsid w:val="00063007"/>
    <w:rsid w:val="00063143"/>
    <w:rsid w:val="00063D2B"/>
    <w:rsid w:val="000641FC"/>
    <w:rsid w:val="00064C18"/>
    <w:rsid w:val="00064D50"/>
    <w:rsid w:val="00064E97"/>
    <w:rsid w:val="0006556D"/>
    <w:rsid w:val="0006583D"/>
    <w:rsid w:val="00065B41"/>
    <w:rsid w:val="00067219"/>
    <w:rsid w:val="000672ED"/>
    <w:rsid w:val="00067A86"/>
    <w:rsid w:val="00070DFE"/>
    <w:rsid w:val="0007139C"/>
    <w:rsid w:val="000721E0"/>
    <w:rsid w:val="00074A59"/>
    <w:rsid w:val="00074E45"/>
    <w:rsid w:val="0007507C"/>
    <w:rsid w:val="00076522"/>
    <w:rsid w:val="0007728F"/>
    <w:rsid w:val="00080BB1"/>
    <w:rsid w:val="00080EDC"/>
    <w:rsid w:val="00081ABF"/>
    <w:rsid w:val="000821E9"/>
    <w:rsid w:val="000823D9"/>
    <w:rsid w:val="00084176"/>
    <w:rsid w:val="00084FCD"/>
    <w:rsid w:val="000850FE"/>
    <w:rsid w:val="00085476"/>
    <w:rsid w:val="00085B0F"/>
    <w:rsid w:val="0008761B"/>
    <w:rsid w:val="00087A40"/>
    <w:rsid w:val="00091EE7"/>
    <w:rsid w:val="00092B91"/>
    <w:rsid w:val="0009382B"/>
    <w:rsid w:val="00093857"/>
    <w:rsid w:val="00093B22"/>
    <w:rsid w:val="000949E6"/>
    <w:rsid w:val="000A09D9"/>
    <w:rsid w:val="000A0A6A"/>
    <w:rsid w:val="000A0CA1"/>
    <w:rsid w:val="000A29B6"/>
    <w:rsid w:val="000A3311"/>
    <w:rsid w:val="000A38AB"/>
    <w:rsid w:val="000A3B56"/>
    <w:rsid w:val="000A3ED6"/>
    <w:rsid w:val="000A4B7E"/>
    <w:rsid w:val="000A4E15"/>
    <w:rsid w:val="000A7D7E"/>
    <w:rsid w:val="000B065F"/>
    <w:rsid w:val="000B170E"/>
    <w:rsid w:val="000B1ED3"/>
    <w:rsid w:val="000B3614"/>
    <w:rsid w:val="000B373F"/>
    <w:rsid w:val="000B3A49"/>
    <w:rsid w:val="000B4350"/>
    <w:rsid w:val="000B588C"/>
    <w:rsid w:val="000B638D"/>
    <w:rsid w:val="000B6953"/>
    <w:rsid w:val="000B720E"/>
    <w:rsid w:val="000B7601"/>
    <w:rsid w:val="000B7B4C"/>
    <w:rsid w:val="000C0A15"/>
    <w:rsid w:val="000C1107"/>
    <w:rsid w:val="000C116B"/>
    <w:rsid w:val="000C1ABB"/>
    <w:rsid w:val="000C1BDE"/>
    <w:rsid w:val="000C2379"/>
    <w:rsid w:val="000C4050"/>
    <w:rsid w:val="000C4270"/>
    <w:rsid w:val="000C45C5"/>
    <w:rsid w:val="000C4926"/>
    <w:rsid w:val="000C6C38"/>
    <w:rsid w:val="000C6E3B"/>
    <w:rsid w:val="000C7037"/>
    <w:rsid w:val="000C7412"/>
    <w:rsid w:val="000C75D4"/>
    <w:rsid w:val="000C76D2"/>
    <w:rsid w:val="000C7B2D"/>
    <w:rsid w:val="000C7B5B"/>
    <w:rsid w:val="000D0464"/>
    <w:rsid w:val="000D0A5D"/>
    <w:rsid w:val="000D0F2E"/>
    <w:rsid w:val="000D1188"/>
    <w:rsid w:val="000D1D9F"/>
    <w:rsid w:val="000D2BA0"/>
    <w:rsid w:val="000D49A3"/>
    <w:rsid w:val="000D4ECB"/>
    <w:rsid w:val="000D4FB7"/>
    <w:rsid w:val="000D559E"/>
    <w:rsid w:val="000D57D0"/>
    <w:rsid w:val="000D62D6"/>
    <w:rsid w:val="000D62E5"/>
    <w:rsid w:val="000D69F7"/>
    <w:rsid w:val="000D6DFF"/>
    <w:rsid w:val="000D7021"/>
    <w:rsid w:val="000E0316"/>
    <w:rsid w:val="000E117D"/>
    <w:rsid w:val="000E119A"/>
    <w:rsid w:val="000E21C0"/>
    <w:rsid w:val="000E29DC"/>
    <w:rsid w:val="000E2B12"/>
    <w:rsid w:val="000E2B45"/>
    <w:rsid w:val="000E39E4"/>
    <w:rsid w:val="000E5F3B"/>
    <w:rsid w:val="000E6EFF"/>
    <w:rsid w:val="000E78CE"/>
    <w:rsid w:val="000E7E71"/>
    <w:rsid w:val="000F0E26"/>
    <w:rsid w:val="000F10B8"/>
    <w:rsid w:val="000F19C3"/>
    <w:rsid w:val="000F243D"/>
    <w:rsid w:val="000F2D9F"/>
    <w:rsid w:val="000F46A4"/>
    <w:rsid w:val="000F49D3"/>
    <w:rsid w:val="000F50D7"/>
    <w:rsid w:val="000F6B47"/>
    <w:rsid w:val="000F6ED3"/>
    <w:rsid w:val="000F76AB"/>
    <w:rsid w:val="00100E69"/>
    <w:rsid w:val="001025CB"/>
    <w:rsid w:val="00102B8B"/>
    <w:rsid w:val="00102BA0"/>
    <w:rsid w:val="00103414"/>
    <w:rsid w:val="001035C2"/>
    <w:rsid w:val="0010418E"/>
    <w:rsid w:val="00104D7E"/>
    <w:rsid w:val="00104EF4"/>
    <w:rsid w:val="0010583C"/>
    <w:rsid w:val="00105C0B"/>
    <w:rsid w:val="001069D8"/>
    <w:rsid w:val="00106ABA"/>
    <w:rsid w:val="00106B85"/>
    <w:rsid w:val="00106EB1"/>
    <w:rsid w:val="0010727F"/>
    <w:rsid w:val="00107FB2"/>
    <w:rsid w:val="00110045"/>
    <w:rsid w:val="00110815"/>
    <w:rsid w:val="0011129D"/>
    <w:rsid w:val="00111C4E"/>
    <w:rsid w:val="00112F94"/>
    <w:rsid w:val="00115F44"/>
    <w:rsid w:val="001167EE"/>
    <w:rsid w:val="00116DE9"/>
    <w:rsid w:val="001173AD"/>
    <w:rsid w:val="00117C4D"/>
    <w:rsid w:val="00117E0F"/>
    <w:rsid w:val="00117F21"/>
    <w:rsid w:val="00117F57"/>
    <w:rsid w:val="00120141"/>
    <w:rsid w:val="00121333"/>
    <w:rsid w:val="00122A11"/>
    <w:rsid w:val="00123027"/>
    <w:rsid w:val="00123450"/>
    <w:rsid w:val="00123F47"/>
    <w:rsid w:val="00123FCA"/>
    <w:rsid w:val="00124BDC"/>
    <w:rsid w:val="00126443"/>
    <w:rsid w:val="00126CB2"/>
    <w:rsid w:val="00126CF7"/>
    <w:rsid w:val="00126D48"/>
    <w:rsid w:val="00127AAB"/>
    <w:rsid w:val="00130554"/>
    <w:rsid w:val="00130991"/>
    <w:rsid w:val="00130D0E"/>
    <w:rsid w:val="00132446"/>
    <w:rsid w:val="0013267D"/>
    <w:rsid w:val="00132716"/>
    <w:rsid w:val="0013280F"/>
    <w:rsid w:val="00133947"/>
    <w:rsid w:val="001343C5"/>
    <w:rsid w:val="0013529C"/>
    <w:rsid w:val="001352D0"/>
    <w:rsid w:val="001361E3"/>
    <w:rsid w:val="001363C1"/>
    <w:rsid w:val="001371BB"/>
    <w:rsid w:val="001379AD"/>
    <w:rsid w:val="00137EC9"/>
    <w:rsid w:val="00141686"/>
    <w:rsid w:val="00142168"/>
    <w:rsid w:val="00143F7C"/>
    <w:rsid w:val="00144DF4"/>
    <w:rsid w:val="001450EE"/>
    <w:rsid w:val="0014625D"/>
    <w:rsid w:val="0014631D"/>
    <w:rsid w:val="0014673E"/>
    <w:rsid w:val="00150258"/>
    <w:rsid w:val="00150FA4"/>
    <w:rsid w:val="00151839"/>
    <w:rsid w:val="00152516"/>
    <w:rsid w:val="00153458"/>
    <w:rsid w:val="00153E7B"/>
    <w:rsid w:val="00153E83"/>
    <w:rsid w:val="0015408E"/>
    <w:rsid w:val="00155071"/>
    <w:rsid w:val="001551C4"/>
    <w:rsid w:val="00155839"/>
    <w:rsid w:val="00160362"/>
    <w:rsid w:val="00160CF3"/>
    <w:rsid w:val="00160EA3"/>
    <w:rsid w:val="00163DB4"/>
    <w:rsid w:val="00164126"/>
    <w:rsid w:val="00164BF0"/>
    <w:rsid w:val="001656A2"/>
    <w:rsid w:val="00165BE7"/>
    <w:rsid w:val="00166268"/>
    <w:rsid w:val="00166728"/>
    <w:rsid w:val="0016686E"/>
    <w:rsid w:val="001668AE"/>
    <w:rsid w:val="00166F5E"/>
    <w:rsid w:val="00170F77"/>
    <w:rsid w:val="0017111A"/>
    <w:rsid w:val="00171E99"/>
    <w:rsid w:val="00171F49"/>
    <w:rsid w:val="0017213A"/>
    <w:rsid w:val="00172D08"/>
    <w:rsid w:val="00174041"/>
    <w:rsid w:val="001746E5"/>
    <w:rsid w:val="00177BF2"/>
    <w:rsid w:val="001805C2"/>
    <w:rsid w:val="00181077"/>
    <w:rsid w:val="001829BF"/>
    <w:rsid w:val="00182E57"/>
    <w:rsid w:val="00183569"/>
    <w:rsid w:val="00183835"/>
    <w:rsid w:val="0018388E"/>
    <w:rsid w:val="001843F1"/>
    <w:rsid w:val="001850EA"/>
    <w:rsid w:val="00185CB1"/>
    <w:rsid w:val="00186300"/>
    <w:rsid w:val="00186A43"/>
    <w:rsid w:val="00186E3E"/>
    <w:rsid w:val="00187E4F"/>
    <w:rsid w:val="00187E9A"/>
    <w:rsid w:val="00190DC3"/>
    <w:rsid w:val="00192BFF"/>
    <w:rsid w:val="00193518"/>
    <w:rsid w:val="0019383D"/>
    <w:rsid w:val="00194201"/>
    <w:rsid w:val="001948F0"/>
    <w:rsid w:val="00194C15"/>
    <w:rsid w:val="001966AC"/>
    <w:rsid w:val="0019701E"/>
    <w:rsid w:val="00197250"/>
    <w:rsid w:val="0019735E"/>
    <w:rsid w:val="001A2901"/>
    <w:rsid w:val="001A2DF5"/>
    <w:rsid w:val="001A3B8D"/>
    <w:rsid w:val="001A4516"/>
    <w:rsid w:val="001A60AA"/>
    <w:rsid w:val="001A649A"/>
    <w:rsid w:val="001A738B"/>
    <w:rsid w:val="001A7B5E"/>
    <w:rsid w:val="001B01D5"/>
    <w:rsid w:val="001B03EC"/>
    <w:rsid w:val="001B16F7"/>
    <w:rsid w:val="001B1E96"/>
    <w:rsid w:val="001B2F6E"/>
    <w:rsid w:val="001B3043"/>
    <w:rsid w:val="001B3111"/>
    <w:rsid w:val="001B53EB"/>
    <w:rsid w:val="001B5731"/>
    <w:rsid w:val="001B5782"/>
    <w:rsid w:val="001B6062"/>
    <w:rsid w:val="001B6905"/>
    <w:rsid w:val="001B6FC1"/>
    <w:rsid w:val="001C003D"/>
    <w:rsid w:val="001C04B9"/>
    <w:rsid w:val="001C20F5"/>
    <w:rsid w:val="001C21DF"/>
    <w:rsid w:val="001C2C73"/>
    <w:rsid w:val="001C2D52"/>
    <w:rsid w:val="001C399A"/>
    <w:rsid w:val="001C3BA6"/>
    <w:rsid w:val="001C4001"/>
    <w:rsid w:val="001C425B"/>
    <w:rsid w:val="001C4456"/>
    <w:rsid w:val="001C46BE"/>
    <w:rsid w:val="001C5B30"/>
    <w:rsid w:val="001C5C18"/>
    <w:rsid w:val="001C6C76"/>
    <w:rsid w:val="001D50B5"/>
    <w:rsid w:val="001D603E"/>
    <w:rsid w:val="001D7101"/>
    <w:rsid w:val="001D7556"/>
    <w:rsid w:val="001E002E"/>
    <w:rsid w:val="001E1022"/>
    <w:rsid w:val="001E11B2"/>
    <w:rsid w:val="001E1ADC"/>
    <w:rsid w:val="001E2339"/>
    <w:rsid w:val="001E2ED5"/>
    <w:rsid w:val="001E3393"/>
    <w:rsid w:val="001E3397"/>
    <w:rsid w:val="001E35DC"/>
    <w:rsid w:val="001E3AA8"/>
    <w:rsid w:val="001E3C53"/>
    <w:rsid w:val="001E434F"/>
    <w:rsid w:val="001E4527"/>
    <w:rsid w:val="001E4FD8"/>
    <w:rsid w:val="001E64C3"/>
    <w:rsid w:val="001E6573"/>
    <w:rsid w:val="001E7CBF"/>
    <w:rsid w:val="001F062B"/>
    <w:rsid w:val="001F0948"/>
    <w:rsid w:val="001F14F4"/>
    <w:rsid w:val="001F229E"/>
    <w:rsid w:val="001F470D"/>
    <w:rsid w:val="001F49C5"/>
    <w:rsid w:val="001F58A0"/>
    <w:rsid w:val="001F66B9"/>
    <w:rsid w:val="001F6ED3"/>
    <w:rsid w:val="00200CE1"/>
    <w:rsid w:val="00200E53"/>
    <w:rsid w:val="00201515"/>
    <w:rsid w:val="0020186B"/>
    <w:rsid w:val="00201D28"/>
    <w:rsid w:val="00201F47"/>
    <w:rsid w:val="00201FEE"/>
    <w:rsid w:val="002021AA"/>
    <w:rsid w:val="00203780"/>
    <w:rsid w:val="00203CD9"/>
    <w:rsid w:val="002040BB"/>
    <w:rsid w:val="0020411C"/>
    <w:rsid w:val="00207D12"/>
    <w:rsid w:val="00210306"/>
    <w:rsid w:val="00213615"/>
    <w:rsid w:val="00213901"/>
    <w:rsid w:val="0021474E"/>
    <w:rsid w:val="00214FFE"/>
    <w:rsid w:val="00215A3E"/>
    <w:rsid w:val="00217FA7"/>
    <w:rsid w:val="0022032D"/>
    <w:rsid w:val="0022089B"/>
    <w:rsid w:val="00220997"/>
    <w:rsid w:val="00221725"/>
    <w:rsid w:val="00221F3D"/>
    <w:rsid w:val="00222D56"/>
    <w:rsid w:val="00223312"/>
    <w:rsid w:val="00223B8D"/>
    <w:rsid w:val="00224D61"/>
    <w:rsid w:val="00224D79"/>
    <w:rsid w:val="0022562B"/>
    <w:rsid w:val="00227EAA"/>
    <w:rsid w:val="00227F7D"/>
    <w:rsid w:val="00230660"/>
    <w:rsid w:val="002307CB"/>
    <w:rsid w:val="002309B3"/>
    <w:rsid w:val="00230FB7"/>
    <w:rsid w:val="002318F6"/>
    <w:rsid w:val="00231924"/>
    <w:rsid w:val="002323E1"/>
    <w:rsid w:val="00232EF4"/>
    <w:rsid w:val="00233082"/>
    <w:rsid w:val="002335AC"/>
    <w:rsid w:val="002339AE"/>
    <w:rsid w:val="002339B0"/>
    <w:rsid w:val="00234311"/>
    <w:rsid w:val="002358BA"/>
    <w:rsid w:val="00237C0F"/>
    <w:rsid w:val="00240081"/>
    <w:rsid w:val="00240EC2"/>
    <w:rsid w:val="00241B56"/>
    <w:rsid w:val="00241C76"/>
    <w:rsid w:val="00241E53"/>
    <w:rsid w:val="00241F75"/>
    <w:rsid w:val="002421B7"/>
    <w:rsid w:val="00242257"/>
    <w:rsid w:val="00242535"/>
    <w:rsid w:val="00242660"/>
    <w:rsid w:val="00244554"/>
    <w:rsid w:val="002449BB"/>
    <w:rsid w:val="00245A3D"/>
    <w:rsid w:val="00246251"/>
    <w:rsid w:val="0024678C"/>
    <w:rsid w:val="0024748C"/>
    <w:rsid w:val="0024794F"/>
    <w:rsid w:val="00250006"/>
    <w:rsid w:val="00250C7B"/>
    <w:rsid w:val="002521CC"/>
    <w:rsid w:val="002526AE"/>
    <w:rsid w:val="0025511C"/>
    <w:rsid w:val="00255C8A"/>
    <w:rsid w:val="00256EBA"/>
    <w:rsid w:val="002613F7"/>
    <w:rsid w:val="0026191D"/>
    <w:rsid w:val="00261D3F"/>
    <w:rsid w:val="00262160"/>
    <w:rsid w:val="00262ECC"/>
    <w:rsid w:val="00263FDF"/>
    <w:rsid w:val="002646D3"/>
    <w:rsid w:val="002647F8"/>
    <w:rsid w:val="0026488F"/>
    <w:rsid w:val="00265192"/>
    <w:rsid w:val="00265D67"/>
    <w:rsid w:val="00266651"/>
    <w:rsid w:val="00266668"/>
    <w:rsid w:val="00266F03"/>
    <w:rsid w:val="00267164"/>
    <w:rsid w:val="00267540"/>
    <w:rsid w:val="00267AF7"/>
    <w:rsid w:val="002709DD"/>
    <w:rsid w:val="00270F72"/>
    <w:rsid w:val="0027206F"/>
    <w:rsid w:val="00272E1E"/>
    <w:rsid w:val="0027387E"/>
    <w:rsid w:val="00273E1D"/>
    <w:rsid w:val="00274883"/>
    <w:rsid w:val="002750C0"/>
    <w:rsid w:val="00275FE9"/>
    <w:rsid w:val="002763D3"/>
    <w:rsid w:val="0027663E"/>
    <w:rsid w:val="00276DE3"/>
    <w:rsid w:val="00276E78"/>
    <w:rsid w:val="00276F52"/>
    <w:rsid w:val="00277071"/>
    <w:rsid w:val="00281AC4"/>
    <w:rsid w:val="00281FD0"/>
    <w:rsid w:val="00282769"/>
    <w:rsid w:val="002827B1"/>
    <w:rsid w:val="00285965"/>
    <w:rsid w:val="002863B9"/>
    <w:rsid w:val="00286723"/>
    <w:rsid w:val="002914D6"/>
    <w:rsid w:val="00291689"/>
    <w:rsid w:val="00293FD7"/>
    <w:rsid w:val="00294A3D"/>
    <w:rsid w:val="00294BE6"/>
    <w:rsid w:val="00295053"/>
    <w:rsid w:val="002953EC"/>
    <w:rsid w:val="00295BE9"/>
    <w:rsid w:val="00295DD5"/>
    <w:rsid w:val="00296799"/>
    <w:rsid w:val="002973CC"/>
    <w:rsid w:val="002974BB"/>
    <w:rsid w:val="002979D4"/>
    <w:rsid w:val="00297B3C"/>
    <w:rsid w:val="002A17E1"/>
    <w:rsid w:val="002A1DED"/>
    <w:rsid w:val="002A2031"/>
    <w:rsid w:val="002A24CB"/>
    <w:rsid w:val="002A38FF"/>
    <w:rsid w:val="002A3B39"/>
    <w:rsid w:val="002A3DD0"/>
    <w:rsid w:val="002A4AE9"/>
    <w:rsid w:val="002A5BAD"/>
    <w:rsid w:val="002A6944"/>
    <w:rsid w:val="002A69A1"/>
    <w:rsid w:val="002A75AB"/>
    <w:rsid w:val="002A76E6"/>
    <w:rsid w:val="002B0128"/>
    <w:rsid w:val="002B012F"/>
    <w:rsid w:val="002B43F8"/>
    <w:rsid w:val="002B5C13"/>
    <w:rsid w:val="002B6544"/>
    <w:rsid w:val="002B7B28"/>
    <w:rsid w:val="002B7CEA"/>
    <w:rsid w:val="002C0E90"/>
    <w:rsid w:val="002C1552"/>
    <w:rsid w:val="002C1D84"/>
    <w:rsid w:val="002C215E"/>
    <w:rsid w:val="002C237A"/>
    <w:rsid w:val="002C282D"/>
    <w:rsid w:val="002C30CB"/>
    <w:rsid w:val="002C31D3"/>
    <w:rsid w:val="002C34EC"/>
    <w:rsid w:val="002C4DA1"/>
    <w:rsid w:val="002C4ED6"/>
    <w:rsid w:val="002C4F2A"/>
    <w:rsid w:val="002C578C"/>
    <w:rsid w:val="002C6319"/>
    <w:rsid w:val="002C63A0"/>
    <w:rsid w:val="002C683F"/>
    <w:rsid w:val="002C7104"/>
    <w:rsid w:val="002D0344"/>
    <w:rsid w:val="002D03FE"/>
    <w:rsid w:val="002D0D96"/>
    <w:rsid w:val="002D0EEA"/>
    <w:rsid w:val="002D13B3"/>
    <w:rsid w:val="002D2B4B"/>
    <w:rsid w:val="002D2C15"/>
    <w:rsid w:val="002D43CB"/>
    <w:rsid w:val="002D46DA"/>
    <w:rsid w:val="002D478A"/>
    <w:rsid w:val="002D53E1"/>
    <w:rsid w:val="002D5454"/>
    <w:rsid w:val="002D54FB"/>
    <w:rsid w:val="002D6C39"/>
    <w:rsid w:val="002D78DD"/>
    <w:rsid w:val="002D7C71"/>
    <w:rsid w:val="002D7F8B"/>
    <w:rsid w:val="002E1BE4"/>
    <w:rsid w:val="002E253A"/>
    <w:rsid w:val="002E25D5"/>
    <w:rsid w:val="002E33D1"/>
    <w:rsid w:val="002E4218"/>
    <w:rsid w:val="002E43D0"/>
    <w:rsid w:val="002E4EA2"/>
    <w:rsid w:val="002E4EBA"/>
    <w:rsid w:val="002E500D"/>
    <w:rsid w:val="002E5091"/>
    <w:rsid w:val="002E6C1F"/>
    <w:rsid w:val="002E6C6D"/>
    <w:rsid w:val="002E77F2"/>
    <w:rsid w:val="002E7C61"/>
    <w:rsid w:val="002F002A"/>
    <w:rsid w:val="002F0222"/>
    <w:rsid w:val="002F153E"/>
    <w:rsid w:val="002F19FE"/>
    <w:rsid w:val="002F1F63"/>
    <w:rsid w:val="002F1FD8"/>
    <w:rsid w:val="002F27F8"/>
    <w:rsid w:val="002F2B74"/>
    <w:rsid w:val="002F3B6A"/>
    <w:rsid w:val="002F3D36"/>
    <w:rsid w:val="002F587B"/>
    <w:rsid w:val="002F6341"/>
    <w:rsid w:val="002F69E1"/>
    <w:rsid w:val="002F69EF"/>
    <w:rsid w:val="002F6B6B"/>
    <w:rsid w:val="002F6F78"/>
    <w:rsid w:val="002F7E5D"/>
    <w:rsid w:val="003003CF"/>
    <w:rsid w:val="00300828"/>
    <w:rsid w:val="00300B6A"/>
    <w:rsid w:val="0030183A"/>
    <w:rsid w:val="00301A15"/>
    <w:rsid w:val="00302EB1"/>
    <w:rsid w:val="00304140"/>
    <w:rsid w:val="00304668"/>
    <w:rsid w:val="0030502F"/>
    <w:rsid w:val="00305578"/>
    <w:rsid w:val="00305ABE"/>
    <w:rsid w:val="003060CC"/>
    <w:rsid w:val="00310AAA"/>
    <w:rsid w:val="00310FDB"/>
    <w:rsid w:val="00311635"/>
    <w:rsid w:val="00311D71"/>
    <w:rsid w:val="00311FBE"/>
    <w:rsid w:val="0031216B"/>
    <w:rsid w:val="003135B1"/>
    <w:rsid w:val="00314934"/>
    <w:rsid w:val="00315522"/>
    <w:rsid w:val="003167F9"/>
    <w:rsid w:val="00316FE5"/>
    <w:rsid w:val="00317557"/>
    <w:rsid w:val="003200A7"/>
    <w:rsid w:val="003205F6"/>
    <w:rsid w:val="00321866"/>
    <w:rsid w:val="00322B85"/>
    <w:rsid w:val="00323DF1"/>
    <w:rsid w:val="003252F0"/>
    <w:rsid w:val="00326958"/>
    <w:rsid w:val="00326FBF"/>
    <w:rsid w:val="003270D0"/>
    <w:rsid w:val="003300E5"/>
    <w:rsid w:val="003302DE"/>
    <w:rsid w:val="0033070C"/>
    <w:rsid w:val="00331A21"/>
    <w:rsid w:val="003325FE"/>
    <w:rsid w:val="00332D35"/>
    <w:rsid w:val="00334D69"/>
    <w:rsid w:val="0033666A"/>
    <w:rsid w:val="00336C11"/>
    <w:rsid w:val="00336E27"/>
    <w:rsid w:val="00337947"/>
    <w:rsid w:val="003379CB"/>
    <w:rsid w:val="00337E42"/>
    <w:rsid w:val="00340395"/>
    <w:rsid w:val="00340EF3"/>
    <w:rsid w:val="00341ED7"/>
    <w:rsid w:val="003422C3"/>
    <w:rsid w:val="0034327D"/>
    <w:rsid w:val="00343FCB"/>
    <w:rsid w:val="00344B09"/>
    <w:rsid w:val="003451BF"/>
    <w:rsid w:val="003457F3"/>
    <w:rsid w:val="00345AE4"/>
    <w:rsid w:val="0034666E"/>
    <w:rsid w:val="0034687A"/>
    <w:rsid w:val="00347BA8"/>
    <w:rsid w:val="00347F49"/>
    <w:rsid w:val="00350065"/>
    <w:rsid w:val="003503F6"/>
    <w:rsid w:val="00351C69"/>
    <w:rsid w:val="00352070"/>
    <w:rsid w:val="003526C7"/>
    <w:rsid w:val="0035304F"/>
    <w:rsid w:val="00353F09"/>
    <w:rsid w:val="00354D88"/>
    <w:rsid w:val="00354F5B"/>
    <w:rsid w:val="00355AF0"/>
    <w:rsid w:val="00356932"/>
    <w:rsid w:val="003569AD"/>
    <w:rsid w:val="00356EEF"/>
    <w:rsid w:val="0035717F"/>
    <w:rsid w:val="00357284"/>
    <w:rsid w:val="00357705"/>
    <w:rsid w:val="00357795"/>
    <w:rsid w:val="00357E44"/>
    <w:rsid w:val="00357F02"/>
    <w:rsid w:val="00360273"/>
    <w:rsid w:val="00360977"/>
    <w:rsid w:val="003610DD"/>
    <w:rsid w:val="00362579"/>
    <w:rsid w:val="003625B3"/>
    <w:rsid w:val="00362A69"/>
    <w:rsid w:val="00362B99"/>
    <w:rsid w:val="00363C3C"/>
    <w:rsid w:val="0036449A"/>
    <w:rsid w:val="003649FF"/>
    <w:rsid w:val="00365774"/>
    <w:rsid w:val="003666E3"/>
    <w:rsid w:val="00366F0A"/>
    <w:rsid w:val="00367060"/>
    <w:rsid w:val="00367099"/>
    <w:rsid w:val="00367351"/>
    <w:rsid w:val="00367BB2"/>
    <w:rsid w:val="00367C62"/>
    <w:rsid w:val="00370245"/>
    <w:rsid w:val="003708DF"/>
    <w:rsid w:val="00370E07"/>
    <w:rsid w:val="0037105E"/>
    <w:rsid w:val="003718FC"/>
    <w:rsid w:val="00371D66"/>
    <w:rsid w:val="003722B9"/>
    <w:rsid w:val="0037281F"/>
    <w:rsid w:val="00372FB4"/>
    <w:rsid w:val="003731C9"/>
    <w:rsid w:val="0037372D"/>
    <w:rsid w:val="0037400E"/>
    <w:rsid w:val="003749DE"/>
    <w:rsid w:val="00375C88"/>
    <w:rsid w:val="00376A98"/>
    <w:rsid w:val="003777A4"/>
    <w:rsid w:val="00377FDB"/>
    <w:rsid w:val="00381074"/>
    <w:rsid w:val="0038234E"/>
    <w:rsid w:val="00383A85"/>
    <w:rsid w:val="00383AD1"/>
    <w:rsid w:val="00383C8B"/>
    <w:rsid w:val="00384506"/>
    <w:rsid w:val="00384551"/>
    <w:rsid w:val="00384ABF"/>
    <w:rsid w:val="00384FB8"/>
    <w:rsid w:val="00385963"/>
    <w:rsid w:val="003860FC"/>
    <w:rsid w:val="00386629"/>
    <w:rsid w:val="00386E25"/>
    <w:rsid w:val="00386FD2"/>
    <w:rsid w:val="00387278"/>
    <w:rsid w:val="0038771E"/>
    <w:rsid w:val="00387F2C"/>
    <w:rsid w:val="00390AFF"/>
    <w:rsid w:val="003922DC"/>
    <w:rsid w:val="00392816"/>
    <w:rsid w:val="00393D54"/>
    <w:rsid w:val="00393EAB"/>
    <w:rsid w:val="003943DF"/>
    <w:rsid w:val="003946FD"/>
    <w:rsid w:val="0039518B"/>
    <w:rsid w:val="003966C8"/>
    <w:rsid w:val="00396858"/>
    <w:rsid w:val="003968EF"/>
    <w:rsid w:val="00396EA3"/>
    <w:rsid w:val="00396FD3"/>
    <w:rsid w:val="003A00CB"/>
    <w:rsid w:val="003A052F"/>
    <w:rsid w:val="003A080B"/>
    <w:rsid w:val="003A354D"/>
    <w:rsid w:val="003A355A"/>
    <w:rsid w:val="003A36AC"/>
    <w:rsid w:val="003A480C"/>
    <w:rsid w:val="003A5203"/>
    <w:rsid w:val="003A6753"/>
    <w:rsid w:val="003A7B3E"/>
    <w:rsid w:val="003B07FB"/>
    <w:rsid w:val="003B106A"/>
    <w:rsid w:val="003B1299"/>
    <w:rsid w:val="003B1946"/>
    <w:rsid w:val="003B270A"/>
    <w:rsid w:val="003B2C25"/>
    <w:rsid w:val="003B513A"/>
    <w:rsid w:val="003B54F6"/>
    <w:rsid w:val="003B5828"/>
    <w:rsid w:val="003B5E5A"/>
    <w:rsid w:val="003B5FD9"/>
    <w:rsid w:val="003B6B8A"/>
    <w:rsid w:val="003B7647"/>
    <w:rsid w:val="003C0B3E"/>
    <w:rsid w:val="003C1EE6"/>
    <w:rsid w:val="003C1EF3"/>
    <w:rsid w:val="003C1FD1"/>
    <w:rsid w:val="003C2ED8"/>
    <w:rsid w:val="003C3167"/>
    <w:rsid w:val="003C3296"/>
    <w:rsid w:val="003C3D4B"/>
    <w:rsid w:val="003C4034"/>
    <w:rsid w:val="003C4731"/>
    <w:rsid w:val="003C4987"/>
    <w:rsid w:val="003C4EFE"/>
    <w:rsid w:val="003C6EC9"/>
    <w:rsid w:val="003C700C"/>
    <w:rsid w:val="003C71F4"/>
    <w:rsid w:val="003D047F"/>
    <w:rsid w:val="003D07B8"/>
    <w:rsid w:val="003D08C6"/>
    <w:rsid w:val="003D0934"/>
    <w:rsid w:val="003D0963"/>
    <w:rsid w:val="003D0D40"/>
    <w:rsid w:val="003D0E25"/>
    <w:rsid w:val="003D155F"/>
    <w:rsid w:val="003D16CF"/>
    <w:rsid w:val="003D2236"/>
    <w:rsid w:val="003D2791"/>
    <w:rsid w:val="003D3484"/>
    <w:rsid w:val="003D41E2"/>
    <w:rsid w:val="003D438F"/>
    <w:rsid w:val="003D4DD8"/>
    <w:rsid w:val="003D5640"/>
    <w:rsid w:val="003D5A72"/>
    <w:rsid w:val="003D637B"/>
    <w:rsid w:val="003D6924"/>
    <w:rsid w:val="003D762A"/>
    <w:rsid w:val="003D7791"/>
    <w:rsid w:val="003E0230"/>
    <w:rsid w:val="003E09FD"/>
    <w:rsid w:val="003E198C"/>
    <w:rsid w:val="003E22ED"/>
    <w:rsid w:val="003E2374"/>
    <w:rsid w:val="003E28FA"/>
    <w:rsid w:val="003E29FA"/>
    <w:rsid w:val="003E3A5E"/>
    <w:rsid w:val="003E43A9"/>
    <w:rsid w:val="003E44FC"/>
    <w:rsid w:val="003E564A"/>
    <w:rsid w:val="003E5FC0"/>
    <w:rsid w:val="003E6725"/>
    <w:rsid w:val="003E6F81"/>
    <w:rsid w:val="003F03DB"/>
    <w:rsid w:val="003F0E98"/>
    <w:rsid w:val="003F191E"/>
    <w:rsid w:val="003F1A9E"/>
    <w:rsid w:val="003F2C5E"/>
    <w:rsid w:val="003F3AE9"/>
    <w:rsid w:val="003F4D8D"/>
    <w:rsid w:val="003F4F52"/>
    <w:rsid w:val="003F5753"/>
    <w:rsid w:val="003F6049"/>
    <w:rsid w:val="003F6463"/>
    <w:rsid w:val="003F67E7"/>
    <w:rsid w:val="003F6CD6"/>
    <w:rsid w:val="003F7505"/>
    <w:rsid w:val="00400072"/>
    <w:rsid w:val="0040102A"/>
    <w:rsid w:val="00402D0B"/>
    <w:rsid w:val="004033B5"/>
    <w:rsid w:val="0040346A"/>
    <w:rsid w:val="004036AF"/>
    <w:rsid w:val="004038D9"/>
    <w:rsid w:val="00403CE5"/>
    <w:rsid w:val="00403FBD"/>
    <w:rsid w:val="0040410F"/>
    <w:rsid w:val="00406020"/>
    <w:rsid w:val="004073FC"/>
    <w:rsid w:val="004079DD"/>
    <w:rsid w:val="00407A82"/>
    <w:rsid w:val="004100D5"/>
    <w:rsid w:val="00410D35"/>
    <w:rsid w:val="00410E4A"/>
    <w:rsid w:val="00411089"/>
    <w:rsid w:val="004110E1"/>
    <w:rsid w:val="00411AB4"/>
    <w:rsid w:val="00411CE2"/>
    <w:rsid w:val="004124EE"/>
    <w:rsid w:val="00414AB8"/>
    <w:rsid w:val="00415B2B"/>
    <w:rsid w:val="00415E14"/>
    <w:rsid w:val="00416686"/>
    <w:rsid w:val="00416D09"/>
    <w:rsid w:val="004178FE"/>
    <w:rsid w:val="00417AB3"/>
    <w:rsid w:val="00417D53"/>
    <w:rsid w:val="00417F54"/>
    <w:rsid w:val="00420307"/>
    <w:rsid w:val="00422885"/>
    <w:rsid w:val="00422924"/>
    <w:rsid w:val="00423411"/>
    <w:rsid w:val="004235D6"/>
    <w:rsid w:val="0042435B"/>
    <w:rsid w:val="0042478D"/>
    <w:rsid w:val="00425061"/>
    <w:rsid w:val="00426E1B"/>
    <w:rsid w:val="004276F7"/>
    <w:rsid w:val="00427A83"/>
    <w:rsid w:val="00430252"/>
    <w:rsid w:val="00430579"/>
    <w:rsid w:val="004321E8"/>
    <w:rsid w:val="004326D6"/>
    <w:rsid w:val="00433F90"/>
    <w:rsid w:val="00433FE3"/>
    <w:rsid w:val="0043440F"/>
    <w:rsid w:val="0043688F"/>
    <w:rsid w:val="004403AE"/>
    <w:rsid w:val="004409AB"/>
    <w:rsid w:val="004424FF"/>
    <w:rsid w:val="00442F6A"/>
    <w:rsid w:val="0044395C"/>
    <w:rsid w:val="00443FF4"/>
    <w:rsid w:val="004440F2"/>
    <w:rsid w:val="00444201"/>
    <w:rsid w:val="004443F7"/>
    <w:rsid w:val="004449D6"/>
    <w:rsid w:val="00444FFD"/>
    <w:rsid w:val="004451DE"/>
    <w:rsid w:val="00446555"/>
    <w:rsid w:val="00447F25"/>
    <w:rsid w:val="00450763"/>
    <w:rsid w:val="004507D0"/>
    <w:rsid w:val="00452D7B"/>
    <w:rsid w:val="00453883"/>
    <w:rsid w:val="00453AC6"/>
    <w:rsid w:val="0045461A"/>
    <w:rsid w:val="00454749"/>
    <w:rsid w:val="0045474C"/>
    <w:rsid w:val="00454B6E"/>
    <w:rsid w:val="00455656"/>
    <w:rsid w:val="00455B65"/>
    <w:rsid w:val="00455CB6"/>
    <w:rsid w:val="0045620E"/>
    <w:rsid w:val="00456BEC"/>
    <w:rsid w:val="004578EC"/>
    <w:rsid w:val="00457927"/>
    <w:rsid w:val="0046033C"/>
    <w:rsid w:val="004605A3"/>
    <w:rsid w:val="0046103D"/>
    <w:rsid w:val="00461BA4"/>
    <w:rsid w:val="00461DE2"/>
    <w:rsid w:val="004627FB"/>
    <w:rsid w:val="00463266"/>
    <w:rsid w:val="004637A8"/>
    <w:rsid w:val="00463ABE"/>
    <w:rsid w:val="00463F9D"/>
    <w:rsid w:val="00464614"/>
    <w:rsid w:val="00464AB6"/>
    <w:rsid w:val="00465945"/>
    <w:rsid w:val="00465FF0"/>
    <w:rsid w:val="00466043"/>
    <w:rsid w:val="004662A2"/>
    <w:rsid w:val="00467411"/>
    <w:rsid w:val="00467F6E"/>
    <w:rsid w:val="00467FDD"/>
    <w:rsid w:val="0047062F"/>
    <w:rsid w:val="00470B7E"/>
    <w:rsid w:val="00471320"/>
    <w:rsid w:val="0047206C"/>
    <w:rsid w:val="004724AC"/>
    <w:rsid w:val="00473F9D"/>
    <w:rsid w:val="004743C4"/>
    <w:rsid w:val="00474678"/>
    <w:rsid w:val="00475899"/>
    <w:rsid w:val="00475F43"/>
    <w:rsid w:val="00477661"/>
    <w:rsid w:val="00477859"/>
    <w:rsid w:val="00477B51"/>
    <w:rsid w:val="00480434"/>
    <w:rsid w:val="004819CA"/>
    <w:rsid w:val="00481F69"/>
    <w:rsid w:val="004830C4"/>
    <w:rsid w:val="0048484E"/>
    <w:rsid w:val="00485C1B"/>
    <w:rsid w:val="004901EB"/>
    <w:rsid w:val="004911EE"/>
    <w:rsid w:val="004925DA"/>
    <w:rsid w:val="00492824"/>
    <w:rsid w:val="00494721"/>
    <w:rsid w:val="00495359"/>
    <w:rsid w:val="00495B6D"/>
    <w:rsid w:val="004966F5"/>
    <w:rsid w:val="00496E1F"/>
    <w:rsid w:val="0049722F"/>
    <w:rsid w:val="00497ADB"/>
    <w:rsid w:val="004A09E2"/>
    <w:rsid w:val="004A0D2D"/>
    <w:rsid w:val="004A0EA4"/>
    <w:rsid w:val="004A1411"/>
    <w:rsid w:val="004A2956"/>
    <w:rsid w:val="004A6F40"/>
    <w:rsid w:val="004A7123"/>
    <w:rsid w:val="004A778E"/>
    <w:rsid w:val="004A7FF7"/>
    <w:rsid w:val="004B0884"/>
    <w:rsid w:val="004B1DD0"/>
    <w:rsid w:val="004B2EBC"/>
    <w:rsid w:val="004B3535"/>
    <w:rsid w:val="004B3A22"/>
    <w:rsid w:val="004B3C6F"/>
    <w:rsid w:val="004B3F8B"/>
    <w:rsid w:val="004B40F0"/>
    <w:rsid w:val="004B4E45"/>
    <w:rsid w:val="004B72B9"/>
    <w:rsid w:val="004B737E"/>
    <w:rsid w:val="004B7C3D"/>
    <w:rsid w:val="004B7D8A"/>
    <w:rsid w:val="004C02A7"/>
    <w:rsid w:val="004C0EF1"/>
    <w:rsid w:val="004C142D"/>
    <w:rsid w:val="004C25DD"/>
    <w:rsid w:val="004C2F85"/>
    <w:rsid w:val="004C371E"/>
    <w:rsid w:val="004C3877"/>
    <w:rsid w:val="004C4168"/>
    <w:rsid w:val="004C436E"/>
    <w:rsid w:val="004C4992"/>
    <w:rsid w:val="004C4B7B"/>
    <w:rsid w:val="004C4C9A"/>
    <w:rsid w:val="004C5F95"/>
    <w:rsid w:val="004C6655"/>
    <w:rsid w:val="004C76D5"/>
    <w:rsid w:val="004C7A02"/>
    <w:rsid w:val="004D0146"/>
    <w:rsid w:val="004D1776"/>
    <w:rsid w:val="004D1B87"/>
    <w:rsid w:val="004D25BF"/>
    <w:rsid w:val="004D33AA"/>
    <w:rsid w:val="004D351B"/>
    <w:rsid w:val="004D4100"/>
    <w:rsid w:val="004D43E2"/>
    <w:rsid w:val="004D4C40"/>
    <w:rsid w:val="004D5EE9"/>
    <w:rsid w:val="004D61F2"/>
    <w:rsid w:val="004D7CF8"/>
    <w:rsid w:val="004E0988"/>
    <w:rsid w:val="004E1D18"/>
    <w:rsid w:val="004E37D4"/>
    <w:rsid w:val="004E4033"/>
    <w:rsid w:val="004E4E2E"/>
    <w:rsid w:val="004E4F53"/>
    <w:rsid w:val="004E525A"/>
    <w:rsid w:val="004E52B4"/>
    <w:rsid w:val="004E5F6A"/>
    <w:rsid w:val="004E6245"/>
    <w:rsid w:val="004E75F4"/>
    <w:rsid w:val="004E7C80"/>
    <w:rsid w:val="004F0D02"/>
    <w:rsid w:val="004F0DDD"/>
    <w:rsid w:val="004F1732"/>
    <w:rsid w:val="004F2A46"/>
    <w:rsid w:val="004F2B51"/>
    <w:rsid w:val="004F2C31"/>
    <w:rsid w:val="004F2D08"/>
    <w:rsid w:val="004F3620"/>
    <w:rsid w:val="004F3EC3"/>
    <w:rsid w:val="004F4693"/>
    <w:rsid w:val="004F6F96"/>
    <w:rsid w:val="00500534"/>
    <w:rsid w:val="0050067B"/>
    <w:rsid w:val="005013EC"/>
    <w:rsid w:val="005032D1"/>
    <w:rsid w:val="00503DD9"/>
    <w:rsid w:val="00503E3F"/>
    <w:rsid w:val="00504A4F"/>
    <w:rsid w:val="00505139"/>
    <w:rsid w:val="0050585F"/>
    <w:rsid w:val="005058AF"/>
    <w:rsid w:val="00505A86"/>
    <w:rsid w:val="005061C7"/>
    <w:rsid w:val="00506267"/>
    <w:rsid w:val="00507304"/>
    <w:rsid w:val="00507472"/>
    <w:rsid w:val="00507750"/>
    <w:rsid w:val="005109B2"/>
    <w:rsid w:val="00510C98"/>
    <w:rsid w:val="00511301"/>
    <w:rsid w:val="00511BCE"/>
    <w:rsid w:val="00511C9A"/>
    <w:rsid w:val="00512691"/>
    <w:rsid w:val="00513DB1"/>
    <w:rsid w:val="00514E43"/>
    <w:rsid w:val="00516A87"/>
    <w:rsid w:val="0051756E"/>
    <w:rsid w:val="005179DA"/>
    <w:rsid w:val="0052067A"/>
    <w:rsid w:val="005213EB"/>
    <w:rsid w:val="005220D9"/>
    <w:rsid w:val="005238C8"/>
    <w:rsid w:val="00524553"/>
    <w:rsid w:val="0052518E"/>
    <w:rsid w:val="005251E9"/>
    <w:rsid w:val="00525689"/>
    <w:rsid w:val="00526A46"/>
    <w:rsid w:val="00527E09"/>
    <w:rsid w:val="0053214E"/>
    <w:rsid w:val="00532FA7"/>
    <w:rsid w:val="0053525F"/>
    <w:rsid w:val="00535B10"/>
    <w:rsid w:val="00536B82"/>
    <w:rsid w:val="00537853"/>
    <w:rsid w:val="00540375"/>
    <w:rsid w:val="00540397"/>
    <w:rsid w:val="005404FF"/>
    <w:rsid w:val="0054052E"/>
    <w:rsid w:val="00541051"/>
    <w:rsid w:val="00543891"/>
    <w:rsid w:val="00543918"/>
    <w:rsid w:val="00544471"/>
    <w:rsid w:val="005453B3"/>
    <w:rsid w:val="00546121"/>
    <w:rsid w:val="00547DBE"/>
    <w:rsid w:val="00551EC3"/>
    <w:rsid w:val="00552555"/>
    <w:rsid w:val="00553657"/>
    <w:rsid w:val="00553A80"/>
    <w:rsid w:val="005543BC"/>
    <w:rsid w:val="00554898"/>
    <w:rsid w:val="005566EE"/>
    <w:rsid w:val="00556985"/>
    <w:rsid w:val="00556D4F"/>
    <w:rsid w:val="00560688"/>
    <w:rsid w:val="0056119D"/>
    <w:rsid w:val="0056195C"/>
    <w:rsid w:val="00561E86"/>
    <w:rsid w:val="00562D94"/>
    <w:rsid w:val="00562EE8"/>
    <w:rsid w:val="00562F9D"/>
    <w:rsid w:val="0056395A"/>
    <w:rsid w:val="00563C7F"/>
    <w:rsid w:val="00563E62"/>
    <w:rsid w:val="00564A86"/>
    <w:rsid w:val="00564D20"/>
    <w:rsid w:val="00564F86"/>
    <w:rsid w:val="00565387"/>
    <w:rsid w:val="005664B4"/>
    <w:rsid w:val="005673BB"/>
    <w:rsid w:val="00567B72"/>
    <w:rsid w:val="00570F29"/>
    <w:rsid w:val="00571A7B"/>
    <w:rsid w:val="00571F0A"/>
    <w:rsid w:val="00572324"/>
    <w:rsid w:val="0057288D"/>
    <w:rsid w:val="00572EAF"/>
    <w:rsid w:val="00572F0F"/>
    <w:rsid w:val="00574486"/>
    <w:rsid w:val="0057466C"/>
    <w:rsid w:val="0057602A"/>
    <w:rsid w:val="005763AC"/>
    <w:rsid w:val="00576449"/>
    <w:rsid w:val="005767DD"/>
    <w:rsid w:val="00576874"/>
    <w:rsid w:val="00576B19"/>
    <w:rsid w:val="00577E46"/>
    <w:rsid w:val="005801F3"/>
    <w:rsid w:val="00580AFE"/>
    <w:rsid w:val="00580BE9"/>
    <w:rsid w:val="00580DB9"/>
    <w:rsid w:val="00581787"/>
    <w:rsid w:val="00581857"/>
    <w:rsid w:val="00581A5A"/>
    <w:rsid w:val="00581CF8"/>
    <w:rsid w:val="00582AB1"/>
    <w:rsid w:val="00583901"/>
    <w:rsid w:val="005848DA"/>
    <w:rsid w:val="00585EAF"/>
    <w:rsid w:val="005860FC"/>
    <w:rsid w:val="005863A4"/>
    <w:rsid w:val="0058686E"/>
    <w:rsid w:val="00586A31"/>
    <w:rsid w:val="00586EA3"/>
    <w:rsid w:val="00593C48"/>
    <w:rsid w:val="00594BE6"/>
    <w:rsid w:val="00594FB3"/>
    <w:rsid w:val="00595BCE"/>
    <w:rsid w:val="00595EB1"/>
    <w:rsid w:val="00596105"/>
    <w:rsid w:val="00596270"/>
    <w:rsid w:val="00596F46"/>
    <w:rsid w:val="005971E6"/>
    <w:rsid w:val="005976CD"/>
    <w:rsid w:val="0059781D"/>
    <w:rsid w:val="005A070D"/>
    <w:rsid w:val="005A072A"/>
    <w:rsid w:val="005A0FB4"/>
    <w:rsid w:val="005A14FC"/>
    <w:rsid w:val="005A1712"/>
    <w:rsid w:val="005A24E8"/>
    <w:rsid w:val="005A4065"/>
    <w:rsid w:val="005A4B5C"/>
    <w:rsid w:val="005A4F5A"/>
    <w:rsid w:val="005A6396"/>
    <w:rsid w:val="005A74BD"/>
    <w:rsid w:val="005A7607"/>
    <w:rsid w:val="005B1D2F"/>
    <w:rsid w:val="005B1F78"/>
    <w:rsid w:val="005B2131"/>
    <w:rsid w:val="005B2526"/>
    <w:rsid w:val="005B42EF"/>
    <w:rsid w:val="005B4B0B"/>
    <w:rsid w:val="005B4D1F"/>
    <w:rsid w:val="005B56A6"/>
    <w:rsid w:val="005B6734"/>
    <w:rsid w:val="005B6EC8"/>
    <w:rsid w:val="005B6FCD"/>
    <w:rsid w:val="005B7229"/>
    <w:rsid w:val="005B7649"/>
    <w:rsid w:val="005B7BC7"/>
    <w:rsid w:val="005C2657"/>
    <w:rsid w:val="005C3090"/>
    <w:rsid w:val="005C3565"/>
    <w:rsid w:val="005C3F91"/>
    <w:rsid w:val="005C4A6C"/>
    <w:rsid w:val="005C4E7C"/>
    <w:rsid w:val="005C5571"/>
    <w:rsid w:val="005C627A"/>
    <w:rsid w:val="005C64E8"/>
    <w:rsid w:val="005C76EB"/>
    <w:rsid w:val="005C77BA"/>
    <w:rsid w:val="005C7ACA"/>
    <w:rsid w:val="005D00D9"/>
    <w:rsid w:val="005D17FF"/>
    <w:rsid w:val="005D236C"/>
    <w:rsid w:val="005D2755"/>
    <w:rsid w:val="005D3B9A"/>
    <w:rsid w:val="005D3E0B"/>
    <w:rsid w:val="005D4322"/>
    <w:rsid w:val="005D47E1"/>
    <w:rsid w:val="005D4E59"/>
    <w:rsid w:val="005D520D"/>
    <w:rsid w:val="005D540A"/>
    <w:rsid w:val="005E0787"/>
    <w:rsid w:val="005E08D1"/>
    <w:rsid w:val="005E14E6"/>
    <w:rsid w:val="005E181A"/>
    <w:rsid w:val="005E1D63"/>
    <w:rsid w:val="005E24F5"/>
    <w:rsid w:val="005E3331"/>
    <w:rsid w:val="005E3C36"/>
    <w:rsid w:val="005E48AB"/>
    <w:rsid w:val="005E4A9D"/>
    <w:rsid w:val="005E5A18"/>
    <w:rsid w:val="005E6122"/>
    <w:rsid w:val="005E6307"/>
    <w:rsid w:val="005E76CB"/>
    <w:rsid w:val="005E7AE4"/>
    <w:rsid w:val="005E7E66"/>
    <w:rsid w:val="005E7F83"/>
    <w:rsid w:val="005F0919"/>
    <w:rsid w:val="005F0A41"/>
    <w:rsid w:val="005F0FF4"/>
    <w:rsid w:val="005F1FAA"/>
    <w:rsid w:val="005F2116"/>
    <w:rsid w:val="005F2B44"/>
    <w:rsid w:val="005F3637"/>
    <w:rsid w:val="005F3C5C"/>
    <w:rsid w:val="005F418C"/>
    <w:rsid w:val="005F4CE6"/>
    <w:rsid w:val="005F54C0"/>
    <w:rsid w:val="005F7D8E"/>
    <w:rsid w:val="00600BCB"/>
    <w:rsid w:val="00600F3E"/>
    <w:rsid w:val="006015C3"/>
    <w:rsid w:val="00602DA1"/>
    <w:rsid w:val="006030CF"/>
    <w:rsid w:val="00603F7C"/>
    <w:rsid w:val="0060463D"/>
    <w:rsid w:val="0060471C"/>
    <w:rsid w:val="00604DAB"/>
    <w:rsid w:val="00606051"/>
    <w:rsid w:val="006065A3"/>
    <w:rsid w:val="00606C20"/>
    <w:rsid w:val="0060731E"/>
    <w:rsid w:val="00607343"/>
    <w:rsid w:val="00610748"/>
    <w:rsid w:val="00610CE8"/>
    <w:rsid w:val="00610D4D"/>
    <w:rsid w:val="0061154C"/>
    <w:rsid w:val="00612211"/>
    <w:rsid w:val="00612598"/>
    <w:rsid w:val="00612BEC"/>
    <w:rsid w:val="00615B21"/>
    <w:rsid w:val="006176DB"/>
    <w:rsid w:val="00617B68"/>
    <w:rsid w:val="00617BA3"/>
    <w:rsid w:val="00620246"/>
    <w:rsid w:val="00620349"/>
    <w:rsid w:val="00620924"/>
    <w:rsid w:val="0062234C"/>
    <w:rsid w:val="0062329A"/>
    <w:rsid w:val="0062335D"/>
    <w:rsid w:val="00623E3E"/>
    <w:rsid w:val="006250CE"/>
    <w:rsid w:val="006252BF"/>
    <w:rsid w:val="00626A35"/>
    <w:rsid w:val="00626B61"/>
    <w:rsid w:val="006277DB"/>
    <w:rsid w:val="00627918"/>
    <w:rsid w:val="006308B7"/>
    <w:rsid w:val="00632353"/>
    <w:rsid w:val="00632CA4"/>
    <w:rsid w:val="00633591"/>
    <w:rsid w:val="00633CD7"/>
    <w:rsid w:val="00633EAE"/>
    <w:rsid w:val="006341F5"/>
    <w:rsid w:val="0063495F"/>
    <w:rsid w:val="00634DCC"/>
    <w:rsid w:val="0063618B"/>
    <w:rsid w:val="006379A6"/>
    <w:rsid w:val="00641176"/>
    <w:rsid w:val="00641868"/>
    <w:rsid w:val="006419B7"/>
    <w:rsid w:val="00641C78"/>
    <w:rsid w:val="006421EC"/>
    <w:rsid w:val="00642688"/>
    <w:rsid w:val="00642EF6"/>
    <w:rsid w:val="00643058"/>
    <w:rsid w:val="0064325E"/>
    <w:rsid w:val="0064470A"/>
    <w:rsid w:val="0064500A"/>
    <w:rsid w:val="00646F5D"/>
    <w:rsid w:val="006509F8"/>
    <w:rsid w:val="0065159E"/>
    <w:rsid w:val="00652061"/>
    <w:rsid w:val="00652209"/>
    <w:rsid w:val="006522FD"/>
    <w:rsid w:val="00652ECF"/>
    <w:rsid w:val="00653877"/>
    <w:rsid w:val="00653A5B"/>
    <w:rsid w:val="00653BF3"/>
    <w:rsid w:val="00654464"/>
    <w:rsid w:val="006552DD"/>
    <w:rsid w:val="0065623D"/>
    <w:rsid w:val="00656298"/>
    <w:rsid w:val="006565E5"/>
    <w:rsid w:val="00656D6F"/>
    <w:rsid w:val="0065739D"/>
    <w:rsid w:val="00657657"/>
    <w:rsid w:val="006579BC"/>
    <w:rsid w:val="00657E45"/>
    <w:rsid w:val="00657E6E"/>
    <w:rsid w:val="00662685"/>
    <w:rsid w:val="006626DB"/>
    <w:rsid w:val="00663097"/>
    <w:rsid w:val="0066329B"/>
    <w:rsid w:val="00664783"/>
    <w:rsid w:val="0066594C"/>
    <w:rsid w:val="006664A6"/>
    <w:rsid w:val="0066662B"/>
    <w:rsid w:val="0066695B"/>
    <w:rsid w:val="006669BC"/>
    <w:rsid w:val="00666E63"/>
    <w:rsid w:val="00666FAD"/>
    <w:rsid w:val="00670128"/>
    <w:rsid w:val="00670395"/>
    <w:rsid w:val="0067224C"/>
    <w:rsid w:val="0067263E"/>
    <w:rsid w:val="00673037"/>
    <w:rsid w:val="006730B0"/>
    <w:rsid w:val="0067373C"/>
    <w:rsid w:val="00673740"/>
    <w:rsid w:val="006750AE"/>
    <w:rsid w:val="006765CE"/>
    <w:rsid w:val="00677240"/>
    <w:rsid w:val="006775DC"/>
    <w:rsid w:val="006775EC"/>
    <w:rsid w:val="0067769D"/>
    <w:rsid w:val="00677701"/>
    <w:rsid w:val="006800D7"/>
    <w:rsid w:val="00680468"/>
    <w:rsid w:val="0068143A"/>
    <w:rsid w:val="006819F9"/>
    <w:rsid w:val="00681DFB"/>
    <w:rsid w:val="00681FC0"/>
    <w:rsid w:val="0068221C"/>
    <w:rsid w:val="0068262D"/>
    <w:rsid w:val="00682981"/>
    <w:rsid w:val="006830D7"/>
    <w:rsid w:val="00685306"/>
    <w:rsid w:val="0069152E"/>
    <w:rsid w:val="00692038"/>
    <w:rsid w:val="0069326F"/>
    <w:rsid w:val="00693A44"/>
    <w:rsid w:val="00693E8C"/>
    <w:rsid w:val="00695579"/>
    <w:rsid w:val="006959E8"/>
    <w:rsid w:val="00695A48"/>
    <w:rsid w:val="0069645C"/>
    <w:rsid w:val="00696EE6"/>
    <w:rsid w:val="006977D2"/>
    <w:rsid w:val="00697D3F"/>
    <w:rsid w:val="006A15A1"/>
    <w:rsid w:val="006A1A58"/>
    <w:rsid w:val="006A27CB"/>
    <w:rsid w:val="006A27D6"/>
    <w:rsid w:val="006A2B0A"/>
    <w:rsid w:val="006A3D79"/>
    <w:rsid w:val="006A4135"/>
    <w:rsid w:val="006A53AC"/>
    <w:rsid w:val="006A72FB"/>
    <w:rsid w:val="006A76DE"/>
    <w:rsid w:val="006A7C07"/>
    <w:rsid w:val="006B11B6"/>
    <w:rsid w:val="006B1382"/>
    <w:rsid w:val="006B1524"/>
    <w:rsid w:val="006B16EC"/>
    <w:rsid w:val="006B1779"/>
    <w:rsid w:val="006B1999"/>
    <w:rsid w:val="006B1E3C"/>
    <w:rsid w:val="006B22BB"/>
    <w:rsid w:val="006B2F8E"/>
    <w:rsid w:val="006B316B"/>
    <w:rsid w:val="006B4743"/>
    <w:rsid w:val="006B53A8"/>
    <w:rsid w:val="006B5E14"/>
    <w:rsid w:val="006B63A2"/>
    <w:rsid w:val="006B6C84"/>
    <w:rsid w:val="006C074F"/>
    <w:rsid w:val="006C1840"/>
    <w:rsid w:val="006C1B40"/>
    <w:rsid w:val="006C2A43"/>
    <w:rsid w:val="006C2D96"/>
    <w:rsid w:val="006C3289"/>
    <w:rsid w:val="006C4E12"/>
    <w:rsid w:val="006C509C"/>
    <w:rsid w:val="006C5149"/>
    <w:rsid w:val="006C73EA"/>
    <w:rsid w:val="006C76A3"/>
    <w:rsid w:val="006D0778"/>
    <w:rsid w:val="006D0AFB"/>
    <w:rsid w:val="006D0D15"/>
    <w:rsid w:val="006D1CAF"/>
    <w:rsid w:val="006D339C"/>
    <w:rsid w:val="006D4358"/>
    <w:rsid w:val="006D5915"/>
    <w:rsid w:val="006D5C13"/>
    <w:rsid w:val="006D63CC"/>
    <w:rsid w:val="006D679B"/>
    <w:rsid w:val="006D6838"/>
    <w:rsid w:val="006D7DCC"/>
    <w:rsid w:val="006E0AF5"/>
    <w:rsid w:val="006E1E92"/>
    <w:rsid w:val="006E2111"/>
    <w:rsid w:val="006E285B"/>
    <w:rsid w:val="006E2A32"/>
    <w:rsid w:val="006E2A63"/>
    <w:rsid w:val="006E3313"/>
    <w:rsid w:val="006E3FCC"/>
    <w:rsid w:val="006E4701"/>
    <w:rsid w:val="006E4966"/>
    <w:rsid w:val="006E61FE"/>
    <w:rsid w:val="006E6375"/>
    <w:rsid w:val="006E6FFD"/>
    <w:rsid w:val="006E72E7"/>
    <w:rsid w:val="006E7550"/>
    <w:rsid w:val="006E7BFD"/>
    <w:rsid w:val="006F0F7F"/>
    <w:rsid w:val="006F208B"/>
    <w:rsid w:val="006F2531"/>
    <w:rsid w:val="006F2F94"/>
    <w:rsid w:val="006F385C"/>
    <w:rsid w:val="006F3ED9"/>
    <w:rsid w:val="006F46D1"/>
    <w:rsid w:val="006F4D29"/>
    <w:rsid w:val="006F7413"/>
    <w:rsid w:val="006F748E"/>
    <w:rsid w:val="006F74DF"/>
    <w:rsid w:val="0070087F"/>
    <w:rsid w:val="00700DFE"/>
    <w:rsid w:val="00700E1C"/>
    <w:rsid w:val="00702719"/>
    <w:rsid w:val="0070338B"/>
    <w:rsid w:val="00703746"/>
    <w:rsid w:val="007073FF"/>
    <w:rsid w:val="00707930"/>
    <w:rsid w:val="00711225"/>
    <w:rsid w:val="007125F0"/>
    <w:rsid w:val="00712F80"/>
    <w:rsid w:val="007131A9"/>
    <w:rsid w:val="0071340E"/>
    <w:rsid w:val="0071357A"/>
    <w:rsid w:val="00713698"/>
    <w:rsid w:val="00713AA8"/>
    <w:rsid w:val="00714842"/>
    <w:rsid w:val="00715C3E"/>
    <w:rsid w:val="00715DC0"/>
    <w:rsid w:val="0072041D"/>
    <w:rsid w:val="00720EC9"/>
    <w:rsid w:val="007218D0"/>
    <w:rsid w:val="00721E6B"/>
    <w:rsid w:val="00722B74"/>
    <w:rsid w:val="00723968"/>
    <w:rsid w:val="0072498A"/>
    <w:rsid w:val="00724CC8"/>
    <w:rsid w:val="00725FD6"/>
    <w:rsid w:val="00726196"/>
    <w:rsid w:val="00727075"/>
    <w:rsid w:val="0072716E"/>
    <w:rsid w:val="00727984"/>
    <w:rsid w:val="00727CAD"/>
    <w:rsid w:val="00727CE9"/>
    <w:rsid w:val="007302AB"/>
    <w:rsid w:val="00730932"/>
    <w:rsid w:val="0073234D"/>
    <w:rsid w:val="00733603"/>
    <w:rsid w:val="00733743"/>
    <w:rsid w:val="007339A3"/>
    <w:rsid w:val="00734763"/>
    <w:rsid w:val="00735152"/>
    <w:rsid w:val="00735758"/>
    <w:rsid w:val="00735C85"/>
    <w:rsid w:val="007371DD"/>
    <w:rsid w:val="007376BB"/>
    <w:rsid w:val="00737897"/>
    <w:rsid w:val="0073799F"/>
    <w:rsid w:val="00737AB0"/>
    <w:rsid w:val="007404B8"/>
    <w:rsid w:val="0074094D"/>
    <w:rsid w:val="00740FA8"/>
    <w:rsid w:val="00741759"/>
    <w:rsid w:val="007419F8"/>
    <w:rsid w:val="007431AC"/>
    <w:rsid w:val="00744787"/>
    <w:rsid w:val="00744934"/>
    <w:rsid w:val="00745775"/>
    <w:rsid w:val="0074638F"/>
    <w:rsid w:val="0074670B"/>
    <w:rsid w:val="007469B1"/>
    <w:rsid w:val="007469F9"/>
    <w:rsid w:val="00746D48"/>
    <w:rsid w:val="00746E06"/>
    <w:rsid w:val="00751286"/>
    <w:rsid w:val="00752114"/>
    <w:rsid w:val="00752663"/>
    <w:rsid w:val="0075288C"/>
    <w:rsid w:val="0075388B"/>
    <w:rsid w:val="00753A2E"/>
    <w:rsid w:val="00753C20"/>
    <w:rsid w:val="00754D6F"/>
    <w:rsid w:val="00755146"/>
    <w:rsid w:val="00755641"/>
    <w:rsid w:val="00756FD8"/>
    <w:rsid w:val="007576B6"/>
    <w:rsid w:val="00757D19"/>
    <w:rsid w:val="00760605"/>
    <w:rsid w:val="007625E7"/>
    <w:rsid w:val="007630C1"/>
    <w:rsid w:val="007636A1"/>
    <w:rsid w:val="00764633"/>
    <w:rsid w:val="00764D63"/>
    <w:rsid w:val="00764F03"/>
    <w:rsid w:val="00765072"/>
    <w:rsid w:val="00765242"/>
    <w:rsid w:val="007658A6"/>
    <w:rsid w:val="00765ED9"/>
    <w:rsid w:val="00765F57"/>
    <w:rsid w:val="007702BE"/>
    <w:rsid w:val="00771265"/>
    <w:rsid w:val="0077141A"/>
    <w:rsid w:val="007718B2"/>
    <w:rsid w:val="00771921"/>
    <w:rsid w:val="00772579"/>
    <w:rsid w:val="007729D6"/>
    <w:rsid w:val="00773D15"/>
    <w:rsid w:val="00774156"/>
    <w:rsid w:val="00774339"/>
    <w:rsid w:val="00774BAB"/>
    <w:rsid w:val="00774C16"/>
    <w:rsid w:val="00775D67"/>
    <w:rsid w:val="00775D86"/>
    <w:rsid w:val="00775F4D"/>
    <w:rsid w:val="00775F81"/>
    <w:rsid w:val="0077623D"/>
    <w:rsid w:val="007764D0"/>
    <w:rsid w:val="00780A47"/>
    <w:rsid w:val="007814FF"/>
    <w:rsid w:val="00781996"/>
    <w:rsid w:val="00781E9E"/>
    <w:rsid w:val="00781F43"/>
    <w:rsid w:val="007820EA"/>
    <w:rsid w:val="00782783"/>
    <w:rsid w:val="00783315"/>
    <w:rsid w:val="007836B0"/>
    <w:rsid w:val="00783DEE"/>
    <w:rsid w:val="00784285"/>
    <w:rsid w:val="007848B0"/>
    <w:rsid w:val="007848CC"/>
    <w:rsid w:val="007856A5"/>
    <w:rsid w:val="0078596C"/>
    <w:rsid w:val="007916FA"/>
    <w:rsid w:val="00791D80"/>
    <w:rsid w:val="00792C22"/>
    <w:rsid w:val="0079377E"/>
    <w:rsid w:val="0079419E"/>
    <w:rsid w:val="0079524C"/>
    <w:rsid w:val="0079534E"/>
    <w:rsid w:val="007960A3"/>
    <w:rsid w:val="00797542"/>
    <w:rsid w:val="00797C14"/>
    <w:rsid w:val="007A0844"/>
    <w:rsid w:val="007A20CB"/>
    <w:rsid w:val="007A2117"/>
    <w:rsid w:val="007A3F9D"/>
    <w:rsid w:val="007A4D2A"/>
    <w:rsid w:val="007A4DC6"/>
    <w:rsid w:val="007A549E"/>
    <w:rsid w:val="007A6302"/>
    <w:rsid w:val="007A65A6"/>
    <w:rsid w:val="007A762E"/>
    <w:rsid w:val="007B07FC"/>
    <w:rsid w:val="007B0ADC"/>
    <w:rsid w:val="007B1501"/>
    <w:rsid w:val="007B297D"/>
    <w:rsid w:val="007B33BC"/>
    <w:rsid w:val="007B381D"/>
    <w:rsid w:val="007B3A16"/>
    <w:rsid w:val="007B46EA"/>
    <w:rsid w:val="007B4FCB"/>
    <w:rsid w:val="007B584B"/>
    <w:rsid w:val="007B5F6B"/>
    <w:rsid w:val="007B7680"/>
    <w:rsid w:val="007C0477"/>
    <w:rsid w:val="007C094A"/>
    <w:rsid w:val="007C1160"/>
    <w:rsid w:val="007C1890"/>
    <w:rsid w:val="007C3142"/>
    <w:rsid w:val="007C385A"/>
    <w:rsid w:val="007C3E5B"/>
    <w:rsid w:val="007C4716"/>
    <w:rsid w:val="007C61E4"/>
    <w:rsid w:val="007C67E3"/>
    <w:rsid w:val="007C7CE2"/>
    <w:rsid w:val="007D02B8"/>
    <w:rsid w:val="007D2343"/>
    <w:rsid w:val="007D26D9"/>
    <w:rsid w:val="007D2DB6"/>
    <w:rsid w:val="007D3861"/>
    <w:rsid w:val="007D3B0B"/>
    <w:rsid w:val="007D3D52"/>
    <w:rsid w:val="007D4EE2"/>
    <w:rsid w:val="007D51DB"/>
    <w:rsid w:val="007D5824"/>
    <w:rsid w:val="007D5C32"/>
    <w:rsid w:val="007D5DEB"/>
    <w:rsid w:val="007D5E9F"/>
    <w:rsid w:val="007D600A"/>
    <w:rsid w:val="007D64DD"/>
    <w:rsid w:val="007D732A"/>
    <w:rsid w:val="007D7746"/>
    <w:rsid w:val="007E01B4"/>
    <w:rsid w:val="007E1EC5"/>
    <w:rsid w:val="007E2395"/>
    <w:rsid w:val="007E2A3A"/>
    <w:rsid w:val="007E4D3E"/>
    <w:rsid w:val="007E4DCE"/>
    <w:rsid w:val="007E5051"/>
    <w:rsid w:val="007E5B95"/>
    <w:rsid w:val="007E603A"/>
    <w:rsid w:val="007E6166"/>
    <w:rsid w:val="007E6B53"/>
    <w:rsid w:val="007E6CB3"/>
    <w:rsid w:val="007E6FBD"/>
    <w:rsid w:val="007E7AFD"/>
    <w:rsid w:val="007F014B"/>
    <w:rsid w:val="007F027A"/>
    <w:rsid w:val="007F1082"/>
    <w:rsid w:val="007F320A"/>
    <w:rsid w:val="007F369D"/>
    <w:rsid w:val="007F441E"/>
    <w:rsid w:val="007F48B0"/>
    <w:rsid w:val="007F4A0D"/>
    <w:rsid w:val="007F56A9"/>
    <w:rsid w:val="007F5E58"/>
    <w:rsid w:val="007F64B5"/>
    <w:rsid w:val="007F6887"/>
    <w:rsid w:val="007F6E7B"/>
    <w:rsid w:val="007F6F9C"/>
    <w:rsid w:val="008002D1"/>
    <w:rsid w:val="008005AD"/>
    <w:rsid w:val="00800628"/>
    <w:rsid w:val="00800E37"/>
    <w:rsid w:val="008015F4"/>
    <w:rsid w:val="00801CCB"/>
    <w:rsid w:val="0080253E"/>
    <w:rsid w:val="00802611"/>
    <w:rsid w:val="00802695"/>
    <w:rsid w:val="00802BCC"/>
    <w:rsid w:val="00803441"/>
    <w:rsid w:val="00803822"/>
    <w:rsid w:val="00804221"/>
    <w:rsid w:val="00804F1A"/>
    <w:rsid w:val="00805114"/>
    <w:rsid w:val="0080547A"/>
    <w:rsid w:val="00806536"/>
    <w:rsid w:val="00806C84"/>
    <w:rsid w:val="0080712B"/>
    <w:rsid w:val="00807872"/>
    <w:rsid w:val="0080790C"/>
    <w:rsid w:val="00811F67"/>
    <w:rsid w:val="00812B85"/>
    <w:rsid w:val="00812EC6"/>
    <w:rsid w:val="00813231"/>
    <w:rsid w:val="008136CA"/>
    <w:rsid w:val="00813C96"/>
    <w:rsid w:val="00815168"/>
    <w:rsid w:val="00815B11"/>
    <w:rsid w:val="00815B74"/>
    <w:rsid w:val="00820138"/>
    <w:rsid w:val="00820DE1"/>
    <w:rsid w:val="0082145E"/>
    <w:rsid w:val="00821A04"/>
    <w:rsid w:val="00821F4B"/>
    <w:rsid w:val="008227E1"/>
    <w:rsid w:val="00822FDE"/>
    <w:rsid w:val="00822FEC"/>
    <w:rsid w:val="00823867"/>
    <w:rsid w:val="00824373"/>
    <w:rsid w:val="008244A4"/>
    <w:rsid w:val="00825A5D"/>
    <w:rsid w:val="00830A3C"/>
    <w:rsid w:val="0083121E"/>
    <w:rsid w:val="00831F9B"/>
    <w:rsid w:val="0083205F"/>
    <w:rsid w:val="008321E7"/>
    <w:rsid w:val="00832720"/>
    <w:rsid w:val="0083276C"/>
    <w:rsid w:val="00832D00"/>
    <w:rsid w:val="008354BD"/>
    <w:rsid w:val="008356F9"/>
    <w:rsid w:val="008374D6"/>
    <w:rsid w:val="0084000E"/>
    <w:rsid w:val="00843548"/>
    <w:rsid w:val="00843862"/>
    <w:rsid w:val="0084392C"/>
    <w:rsid w:val="0084459E"/>
    <w:rsid w:val="00844AFC"/>
    <w:rsid w:val="00844D74"/>
    <w:rsid w:val="00845B83"/>
    <w:rsid w:val="00846B1D"/>
    <w:rsid w:val="00847471"/>
    <w:rsid w:val="00847C1E"/>
    <w:rsid w:val="00847E65"/>
    <w:rsid w:val="00850288"/>
    <w:rsid w:val="0085151B"/>
    <w:rsid w:val="00852B25"/>
    <w:rsid w:val="00852D10"/>
    <w:rsid w:val="0085311C"/>
    <w:rsid w:val="00853272"/>
    <w:rsid w:val="008540C3"/>
    <w:rsid w:val="008540EE"/>
    <w:rsid w:val="008549B8"/>
    <w:rsid w:val="00854B9F"/>
    <w:rsid w:val="00855DB2"/>
    <w:rsid w:val="00856851"/>
    <w:rsid w:val="008575C2"/>
    <w:rsid w:val="00860552"/>
    <w:rsid w:val="00860AB9"/>
    <w:rsid w:val="00861937"/>
    <w:rsid w:val="00862BDC"/>
    <w:rsid w:val="008632B4"/>
    <w:rsid w:val="0086338E"/>
    <w:rsid w:val="00863CE7"/>
    <w:rsid w:val="008644CF"/>
    <w:rsid w:val="00864CA3"/>
    <w:rsid w:val="00865AD0"/>
    <w:rsid w:val="00865B3C"/>
    <w:rsid w:val="00865DED"/>
    <w:rsid w:val="00866C5E"/>
    <w:rsid w:val="00867122"/>
    <w:rsid w:val="00870DA9"/>
    <w:rsid w:val="00870EF0"/>
    <w:rsid w:val="0087108F"/>
    <w:rsid w:val="008718A6"/>
    <w:rsid w:val="00872291"/>
    <w:rsid w:val="008725C8"/>
    <w:rsid w:val="008728DB"/>
    <w:rsid w:val="008729CC"/>
    <w:rsid w:val="00872C93"/>
    <w:rsid w:val="00872DCB"/>
    <w:rsid w:val="0087323C"/>
    <w:rsid w:val="00874948"/>
    <w:rsid w:val="008749D9"/>
    <w:rsid w:val="00874E6A"/>
    <w:rsid w:val="00875402"/>
    <w:rsid w:val="00875433"/>
    <w:rsid w:val="008759DF"/>
    <w:rsid w:val="00875AFA"/>
    <w:rsid w:val="008766AF"/>
    <w:rsid w:val="00877253"/>
    <w:rsid w:val="00880564"/>
    <w:rsid w:val="00881697"/>
    <w:rsid w:val="00881C8A"/>
    <w:rsid w:val="008823B2"/>
    <w:rsid w:val="0088245F"/>
    <w:rsid w:val="008826CA"/>
    <w:rsid w:val="008840A1"/>
    <w:rsid w:val="008840FD"/>
    <w:rsid w:val="008841ED"/>
    <w:rsid w:val="008843D9"/>
    <w:rsid w:val="00885F78"/>
    <w:rsid w:val="00886884"/>
    <w:rsid w:val="00886FD8"/>
    <w:rsid w:val="00887AE7"/>
    <w:rsid w:val="00887E4C"/>
    <w:rsid w:val="0089011F"/>
    <w:rsid w:val="00890A83"/>
    <w:rsid w:val="0089156F"/>
    <w:rsid w:val="00891D4A"/>
    <w:rsid w:val="008929F1"/>
    <w:rsid w:val="00892BB8"/>
    <w:rsid w:val="00893BBA"/>
    <w:rsid w:val="00893C01"/>
    <w:rsid w:val="00894EA0"/>
    <w:rsid w:val="008979D8"/>
    <w:rsid w:val="008A0C56"/>
    <w:rsid w:val="008A0C97"/>
    <w:rsid w:val="008A100B"/>
    <w:rsid w:val="008A107B"/>
    <w:rsid w:val="008A2CAE"/>
    <w:rsid w:val="008A3010"/>
    <w:rsid w:val="008A4DD7"/>
    <w:rsid w:val="008A4E84"/>
    <w:rsid w:val="008A58FE"/>
    <w:rsid w:val="008A5D83"/>
    <w:rsid w:val="008A702A"/>
    <w:rsid w:val="008A7B42"/>
    <w:rsid w:val="008B0857"/>
    <w:rsid w:val="008B0A4B"/>
    <w:rsid w:val="008B1A4E"/>
    <w:rsid w:val="008B1C92"/>
    <w:rsid w:val="008B25C0"/>
    <w:rsid w:val="008B26B0"/>
    <w:rsid w:val="008B3C6D"/>
    <w:rsid w:val="008B5CF0"/>
    <w:rsid w:val="008B5E3B"/>
    <w:rsid w:val="008B6764"/>
    <w:rsid w:val="008B6A21"/>
    <w:rsid w:val="008B6FEF"/>
    <w:rsid w:val="008B7689"/>
    <w:rsid w:val="008B7B60"/>
    <w:rsid w:val="008C0560"/>
    <w:rsid w:val="008C0860"/>
    <w:rsid w:val="008C093F"/>
    <w:rsid w:val="008C1394"/>
    <w:rsid w:val="008C1F51"/>
    <w:rsid w:val="008C3AFA"/>
    <w:rsid w:val="008C4B5F"/>
    <w:rsid w:val="008C4F16"/>
    <w:rsid w:val="008C50F3"/>
    <w:rsid w:val="008C51A2"/>
    <w:rsid w:val="008C6C90"/>
    <w:rsid w:val="008C7AF5"/>
    <w:rsid w:val="008D0EF6"/>
    <w:rsid w:val="008D152D"/>
    <w:rsid w:val="008D228F"/>
    <w:rsid w:val="008D2782"/>
    <w:rsid w:val="008D2ED7"/>
    <w:rsid w:val="008D3B83"/>
    <w:rsid w:val="008D4BAD"/>
    <w:rsid w:val="008D55BE"/>
    <w:rsid w:val="008D5890"/>
    <w:rsid w:val="008D6B2A"/>
    <w:rsid w:val="008D6D39"/>
    <w:rsid w:val="008D6FFB"/>
    <w:rsid w:val="008D7D9F"/>
    <w:rsid w:val="008E020E"/>
    <w:rsid w:val="008E0ED8"/>
    <w:rsid w:val="008E1027"/>
    <w:rsid w:val="008E1EA7"/>
    <w:rsid w:val="008E23BA"/>
    <w:rsid w:val="008E2749"/>
    <w:rsid w:val="008E28AC"/>
    <w:rsid w:val="008E2C2C"/>
    <w:rsid w:val="008E3039"/>
    <w:rsid w:val="008E53AA"/>
    <w:rsid w:val="008E5BCC"/>
    <w:rsid w:val="008E5D9C"/>
    <w:rsid w:val="008E6B2A"/>
    <w:rsid w:val="008E71CF"/>
    <w:rsid w:val="008E7632"/>
    <w:rsid w:val="008E7802"/>
    <w:rsid w:val="008F02AC"/>
    <w:rsid w:val="008F0496"/>
    <w:rsid w:val="008F0511"/>
    <w:rsid w:val="008F05E9"/>
    <w:rsid w:val="008F34EA"/>
    <w:rsid w:val="008F4160"/>
    <w:rsid w:val="008F54AF"/>
    <w:rsid w:val="008F5C5C"/>
    <w:rsid w:val="008F6DC3"/>
    <w:rsid w:val="008F7027"/>
    <w:rsid w:val="00901D39"/>
    <w:rsid w:val="00901E3D"/>
    <w:rsid w:val="009039F8"/>
    <w:rsid w:val="00904817"/>
    <w:rsid w:val="00904E97"/>
    <w:rsid w:val="0090573B"/>
    <w:rsid w:val="009064D0"/>
    <w:rsid w:val="00907AD5"/>
    <w:rsid w:val="00907B20"/>
    <w:rsid w:val="00907F53"/>
    <w:rsid w:val="00910390"/>
    <w:rsid w:val="00910466"/>
    <w:rsid w:val="00912457"/>
    <w:rsid w:val="009126A2"/>
    <w:rsid w:val="00912AFD"/>
    <w:rsid w:val="00912B0B"/>
    <w:rsid w:val="009141D9"/>
    <w:rsid w:val="00914E01"/>
    <w:rsid w:val="00915F27"/>
    <w:rsid w:val="0091682C"/>
    <w:rsid w:val="00917EFB"/>
    <w:rsid w:val="0092020D"/>
    <w:rsid w:val="009203E2"/>
    <w:rsid w:val="00920E0E"/>
    <w:rsid w:val="009219A2"/>
    <w:rsid w:val="00922E4E"/>
    <w:rsid w:val="0092314E"/>
    <w:rsid w:val="00924E3D"/>
    <w:rsid w:val="0092586C"/>
    <w:rsid w:val="00927165"/>
    <w:rsid w:val="009276F0"/>
    <w:rsid w:val="00930512"/>
    <w:rsid w:val="00931D2E"/>
    <w:rsid w:val="009331CC"/>
    <w:rsid w:val="0093394C"/>
    <w:rsid w:val="00933F98"/>
    <w:rsid w:val="00936796"/>
    <w:rsid w:val="009369F6"/>
    <w:rsid w:val="00937BAD"/>
    <w:rsid w:val="009421C8"/>
    <w:rsid w:val="0094237F"/>
    <w:rsid w:val="00942F02"/>
    <w:rsid w:val="0094348F"/>
    <w:rsid w:val="00945F14"/>
    <w:rsid w:val="00947504"/>
    <w:rsid w:val="009476F6"/>
    <w:rsid w:val="00947E55"/>
    <w:rsid w:val="00950E5D"/>
    <w:rsid w:val="00952B6A"/>
    <w:rsid w:val="00952C9B"/>
    <w:rsid w:val="00953974"/>
    <w:rsid w:val="009541DF"/>
    <w:rsid w:val="00955FD6"/>
    <w:rsid w:val="00956150"/>
    <w:rsid w:val="0095677F"/>
    <w:rsid w:val="009569C5"/>
    <w:rsid w:val="009573FF"/>
    <w:rsid w:val="00957E66"/>
    <w:rsid w:val="00960E55"/>
    <w:rsid w:val="009620E1"/>
    <w:rsid w:val="00962AB8"/>
    <w:rsid w:val="0096331A"/>
    <w:rsid w:val="00963630"/>
    <w:rsid w:val="0096395B"/>
    <w:rsid w:val="009651BB"/>
    <w:rsid w:val="00965247"/>
    <w:rsid w:val="00965730"/>
    <w:rsid w:val="00965F40"/>
    <w:rsid w:val="009673B3"/>
    <w:rsid w:val="00967F9A"/>
    <w:rsid w:val="00970A87"/>
    <w:rsid w:val="00971013"/>
    <w:rsid w:val="009716BB"/>
    <w:rsid w:val="00971DC2"/>
    <w:rsid w:val="00971EA4"/>
    <w:rsid w:val="0097260C"/>
    <w:rsid w:val="00973680"/>
    <w:rsid w:val="009739FA"/>
    <w:rsid w:val="00974F09"/>
    <w:rsid w:val="00976BE2"/>
    <w:rsid w:val="00981C87"/>
    <w:rsid w:val="0098396F"/>
    <w:rsid w:val="00985540"/>
    <w:rsid w:val="009858B4"/>
    <w:rsid w:val="0098593A"/>
    <w:rsid w:val="00985DBE"/>
    <w:rsid w:val="0098653C"/>
    <w:rsid w:val="00986B59"/>
    <w:rsid w:val="00986E94"/>
    <w:rsid w:val="0098713F"/>
    <w:rsid w:val="00990645"/>
    <w:rsid w:val="00990BAF"/>
    <w:rsid w:val="009911D2"/>
    <w:rsid w:val="00991911"/>
    <w:rsid w:val="00991DE0"/>
    <w:rsid w:val="00991F85"/>
    <w:rsid w:val="00992B04"/>
    <w:rsid w:val="00993363"/>
    <w:rsid w:val="00993383"/>
    <w:rsid w:val="00994E27"/>
    <w:rsid w:val="00994EC7"/>
    <w:rsid w:val="00995177"/>
    <w:rsid w:val="00995527"/>
    <w:rsid w:val="009955D3"/>
    <w:rsid w:val="009963F4"/>
    <w:rsid w:val="00996986"/>
    <w:rsid w:val="00997D0B"/>
    <w:rsid w:val="009A03BC"/>
    <w:rsid w:val="009A2280"/>
    <w:rsid w:val="009A2343"/>
    <w:rsid w:val="009A2D9C"/>
    <w:rsid w:val="009A2EC6"/>
    <w:rsid w:val="009A2F6C"/>
    <w:rsid w:val="009A3D7E"/>
    <w:rsid w:val="009A41D8"/>
    <w:rsid w:val="009A43FA"/>
    <w:rsid w:val="009A4C15"/>
    <w:rsid w:val="009A6A79"/>
    <w:rsid w:val="009A6AE2"/>
    <w:rsid w:val="009A7ADC"/>
    <w:rsid w:val="009B0745"/>
    <w:rsid w:val="009B0925"/>
    <w:rsid w:val="009B0E9B"/>
    <w:rsid w:val="009B0F53"/>
    <w:rsid w:val="009B159E"/>
    <w:rsid w:val="009B3C2A"/>
    <w:rsid w:val="009B423C"/>
    <w:rsid w:val="009B42B0"/>
    <w:rsid w:val="009B445D"/>
    <w:rsid w:val="009B5E53"/>
    <w:rsid w:val="009B66F4"/>
    <w:rsid w:val="009B6E82"/>
    <w:rsid w:val="009B6EE3"/>
    <w:rsid w:val="009B7565"/>
    <w:rsid w:val="009C1A9F"/>
    <w:rsid w:val="009C215F"/>
    <w:rsid w:val="009C2912"/>
    <w:rsid w:val="009C2D18"/>
    <w:rsid w:val="009C3FF5"/>
    <w:rsid w:val="009C4F40"/>
    <w:rsid w:val="009C5D86"/>
    <w:rsid w:val="009C6475"/>
    <w:rsid w:val="009C66A7"/>
    <w:rsid w:val="009C6F73"/>
    <w:rsid w:val="009C72C8"/>
    <w:rsid w:val="009C7449"/>
    <w:rsid w:val="009C7D91"/>
    <w:rsid w:val="009C7FC7"/>
    <w:rsid w:val="009D0433"/>
    <w:rsid w:val="009D09B9"/>
    <w:rsid w:val="009D0A02"/>
    <w:rsid w:val="009D10EE"/>
    <w:rsid w:val="009D1609"/>
    <w:rsid w:val="009D1EBB"/>
    <w:rsid w:val="009D31DD"/>
    <w:rsid w:val="009D3B5B"/>
    <w:rsid w:val="009D441A"/>
    <w:rsid w:val="009D4A22"/>
    <w:rsid w:val="009D5097"/>
    <w:rsid w:val="009D5CF4"/>
    <w:rsid w:val="009D7030"/>
    <w:rsid w:val="009D7871"/>
    <w:rsid w:val="009D7E49"/>
    <w:rsid w:val="009E21DD"/>
    <w:rsid w:val="009E2B6F"/>
    <w:rsid w:val="009E37E9"/>
    <w:rsid w:val="009E41BE"/>
    <w:rsid w:val="009E546F"/>
    <w:rsid w:val="009E6CFA"/>
    <w:rsid w:val="009E73EB"/>
    <w:rsid w:val="009E7EF7"/>
    <w:rsid w:val="009F00A3"/>
    <w:rsid w:val="009F0704"/>
    <w:rsid w:val="009F10BC"/>
    <w:rsid w:val="009F17ED"/>
    <w:rsid w:val="009F1854"/>
    <w:rsid w:val="009F209A"/>
    <w:rsid w:val="009F2A7D"/>
    <w:rsid w:val="009F35E8"/>
    <w:rsid w:val="009F4F8F"/>
    <w:rsid w:val="009F513A"/>
    <w:rsid w:val="009F5199"/>
    <w:rsid w:val="009F56EE"/>
    <w:rsid w:val="009F6212"/>
    <w:rsid w:val="009F68DE"/>
    <w:rsid w:val="009F6C63"/>
    <w:rsid w:val="009F6E74"/>
    <w:rsid w:val="009F7004"/>
    <w:rsid w:val="009F77BF"/>
    <w:rsid w:val="009F7B63"/>
    <w:rsid w:val="00A005C2"/>
    <w:rsid w:val="00A02999"/>
    <w:rsid w:val="00A02F0B"/>
    <w:rsid w:val="00A0303F"/>
    <w:rsid w:val="00A03217"/>
    <w:rsid w:val="00A036F7"/>
    <w:rsid w:val="00A03986"/>
    <w:rsid w:val="00A03E9C"/>
    <w:rsid w:val="00A045D3"/>
    <w:rsid w:val="00A0483F"/>
    <w:rsid w:val="00A04B38"/>
    <w:rsid w:val="00A053CF"/>
    <w:rsid w:val="00A06143"/>
    <w:rsid w:val="00A061EA"/>
    <w:rsid w:val="00A06412"/>
    <w:rsid w:val="00A06DDF"/>
    <w:rsid w:val="00A07BD8"/>
    <w:rsid w:val="00A108DD"/>
    <w:rsid w:val="00A11294"/>
    <w:rsid w:val="00A1147B"/>
    <w:rsid w:val="00A116C8"/>
    <w:rsid w:val="00A116FC"/>
    <w:rsid w:val="00A11D60"/>
    <w:rsid w:val="00A11F00"/>
    <w:rsid w:val="00A12527"/>
    <w:rsid w:val="00A12F34"/>
    <w:rsid w:val="00A1364E"/>
    <w:rsid w:val="00A15B3D"/>
    <w:rsid w:val="00A16BCF"/>
    <w:rsid w:val="00A16D5A"/>
    <w:rsid w:val="00A174AC"/>
    <w:rsid w:val="00A20298"/>
    <w:rsid w:val="00A20723"/>
    <w:rsid w:val="00A211AB"/>
    <w:rsid w:val="00A219AD"/>
    <w:rsid w:val="00A21E8E"/>
    <w:rsid w:val="00A22027"/>
    <w:rsid w:val="00A22413"/>
    <w:rsid w:val="00A2245B"/>
    <w:rsid w:val="00A2285C"/>
    <w:rsid w:val="00A22B1E"/>
    <w:rsid w:val="00A237F8"/>
    <w:rsid w:val="00A23D1F"/>
    <w:rsid w:val="00A246CF"/>
    <w:rsid w:val="00A25307"/>
    <w:rsid w:val="00A2654E"/>
    <w:rsid w:val="00A26628"/>
    <w:rsid w:val="00A272A4"/>
    <w:rsid w:val="00A275CB"/>
    <w:rsid w:val="00A27FF7"/>
    <w:rsid w:val="00A304B9"/>
    <w:rsid w:val="00A30BE1"/>
    <w:rsid w:val="00A312FF"/>
    <w:rsid w:val="00A315E0"/>
    <w:rsid w:val="00A3180B"/>
    <w:rsid w:val="00A31B5B"/>
    <w:rsid w:val="00A329A9"/>
    <w:rsid w:val="00A35B61"/>
    <w:rsid w:val="00A35BAC"/>
    <w:rsid w:val="00A35FAE"/>
    <w:rsid w:val="00A35FD1"/>
    <w:rsid w:val="00A3659D"/>
    <w:rsid w:val="00A3693D"/>
    <w:rsid w:val="00A36D36"/>
    <w:rsid w:val="00A402DE"/>
    <w:rsid w:val="00A419DF"/>
    <w:rsid w:val="00A42320"/>
    <w:rsid w:val="00A440C2"/>
    <w:rsid w:val="00A444CD"/>
    <w:rsid w:val="00A448C1"/>
    <w:rsid w:val="00A44E72"/>
    <w:rsid w:val="00A46F48"/>
    <w:rsid w:val="00A4799F"/>
    <w:rsid w:val="00A50134"/>
    <w:rsid w:val="00A50563"/>
    <w:rsid w:val="00A518D0"/>
    <w:rsid w:val="00A51EBB"/>
    <w:rsid w:val="00A5256E"/>
    <w:rsid w:val="00A53270"/>
    <w:rsid w:val="00A5451C"/>
    <w:rsid w:val="00A545AB"/>
    <w:rsid w:val="00A54CC6"/>
    <w:rsid w:val="00A55721"/>
    <w:rsid w:val="00A55B82"/>
    <w:rsid w:val="00A56764"/>
    <w:rsid w:val="00A568C0"/>
    <w:rsid w:val="00A56E8F"/>
    <w:rsid w:val="00A5716E"/>
    <w:rsid w:val="00A60353"/>
    <w:rsid w:val="00A60895"/>
    <w:rsid w:val="00A613F1"/>
    <w:rsid w:val="00A638C6"/>
    <w:rsid w:val="00A65687"/>
    <w:rsid w:val="00A664C1"/>
    <w:rsid w:val="00A677A5"/>
    <w:rsid w:val="00A67859"/>
    <w:rsid w:val="00A67864"/>
    <w:rsid w:val="00A70745"/>
    <w:rsid w:val="00A70A2B"/>
    <w:rsid w:val="00A71221"/>
    <w:rsid w:val="00A718B1"/>
    <w:rsid w:val="00A7311A"/>
    <w:rsid w:val="00A73187"/>
    <w:rsid w:val="00A73310"/>
    <w:rsid w:val="00A73613"/>
    <w:rsid w:val="00A7445D"/>
    <w:rsid w:val="00A74C78"/>
    <w:rsid w:val="00A75493"/>
    <w:rsid w:val="00A75F10"/>
    <w:rsid w:val="00A76074"/>
    <w:rsid w:val="00A76AB5"/>
    <w:rsid w:val="00A7715B"/>
    <w:rsid w:val="00A80269"/>
    <w:rsid w:val="00A820BB"/>
    <w:rsid w:val="00A82666"/>
    <w:rsid w:val="00A8276F"/>
    <w:rsid w:val="00A82B38"/>
    <w:rsid w:val="00A838B4"/>
    <w:rsid w:val="00A84648"/>
    <w:rsid w:val="00A84EBB"/>
    <w:rsid w:val="00A850A8"/>
    <w:rsid w:val="00A85241"/>
    <w:rsid w:val="00A85970"/>
    <w:rsid w:val="00A86943"/>
    <w:rsid w:val="00A8768B"/>
    <w:rsid w:val="00A87C2A"/>
    <w:rsid w:val="00A918F3"/>
    <w:rsid w:val="00A91A8B"/>
    <w:rsid w:val="00A91DD7"/>
    <w:rsid w:val="00A92096"/>
    <w:rsid w:val="00A93DB4"/>
    <w:rsid w:val="00A94E7A"/>
    <w:rsid w:val="00A956A4"/>
    <w:rsid w:val="00A95AB9"/>
    <w:rsid w:val="00A95CD2"/>
    <w:rsid w:val="00A9693F"/>
    <w:rsid w:val="00AA0552"/>
    <w:rsid w:val="00AA11D0"/>
    <w:rsid w:val="00AA1381"/>
    <w:rsid w:val="00AA15BD"/>
    <w:rsid w:val="00AA1732"/>
    <w:rsid w:val="00AA1F7B"/>
    <w:rsid w:val="00AA21F8"/>
    <w:rsid w:val="00AA25F6"/>
    <w:rsid w:val="00AA307A"/>
    <w:rsid w:val="00AA308C"/>
    <w:rsid w:val="00AA3524"/>
    <w:rsid w:val="00AA42C5"/>
    <w:rsid w:val="00AA437B"/>
    <w:rsid w:val="00AA450A"/>
    <w:rsid w:val="00AA4DCC"/>
    <w:rsid w:val="00AA5709"/>
    <w:rsid w:val="00AA5B6E"/>
    <w:rsid w:val="00AA6572"/>
    <w:rsid w:val="00AA7C84"/>
    <w:rsid w:val="00AA7E33"/>
    <w:rsid w:val="00AB035A"/>
    <w:rsid w:val="00AB1D4C"/>
    <w:rsid w:val="00AB1DE5"/>
    <w:rsid w:val="00AB2B28"/>
    <w:rsid w:val="00AB3A19"/>
    <w:rsid w:val="00AB3BC9"/>
    <w:rsid w:val="00AB3DA0"/>
    <w:rsid w:val="00AB45EF"/>
    <w:rsid w:val="00AB4992"/>
    <w:rsid w:val="00AB4AA7"/>
    <w:rsid w:val="00AB5841"/>
    <w:rsid w:val="00AB71BC"/>
    <w:rsid w:val="00AB7E66"/>
    <w:rsid w:val="00AC02DB"/>
    <w:rsid w:val="00AC0767"/>
    <w:rsid w:val="00AC07E3"/>
    <w:rsid w:val="00AC14DD"/>
    <w:rsid w:val="00AC1E25"/>
    <w:rsid w:val="00AC1F8D"/>
    <w:rsid w:val="00AC271A"/>
    <w:rsid w:val="00AC3E4A"/>
    <w:rsid w:val="00AC5069"/>
    <w:rsid w:val="00AC53C9"/>
    <w:rsid w:val="00AC77DE"/>
    <w:rsid w:val="00AC7885"/>
    <w:rsid w:val="00AC7FCD"/>
    <w:rsid w:val="00AD0159"/>
    <w:rsid w:val="00AD032A"/>
    <w:rsid w:val="00AD0596"/>
    <w:rsid w:val="00AD11FE"/>
    <w:rsid w:val="00AD1305"/>
    <w:rsid w:val="00AD1351"/>
    <w:rsid w:val="00AD1A5C"/>
    <w:rsid w:val="00AD1B23"/>
    <w:rsid w:val="00AD1BFC"/>
    <w:rsid w:val="00AD313A"/>
    <w:rsid w:val="00AD365A"/>
    <w:rsid w:val="00AD48D3"/>
    <w:rsid w:val="00AD62F3"/>
    <w:rsid w:val="00AD76C9"/>
    <w:rsid w:val="00AE0625"/>
    <w:rsid w:val="00AE152F"/>
    <w:rsid w:val="00AE1BC7"/>
    <w:rsid w:val="00AE1C97"/>
    <w:rsid w:val="00AE225F"/>
    <w:rsid w:val="00AE23D9"/>
    <w:rsid w:val="00AE2470"/>
    <w:rsid w:val="00AE25F4"/>
    <w:rsid w:val="00AE264B"/>
    <w:rsid w:val="00AE3FCA"/>
    <w:rsid w:val="00AE5066"/>
    <w:rsid w:val="00AE554C"/>
    <w:rsid w:val="00AE633D"/>
    <w:rsid w:val="00AE797B"/>
    <w:rsid w:val="00AF0625"/>
    <w:rsid w:val="00AF0DE0"/>
    <w:rsid w:val="00AF1A84"/>
    <w:rsid w:val="00AF1AA1"/>
    <w:rsid w:val="00AF2610"/>
    <w:rsid w:val="00AF45C9"/>
    <w:rsid w:val="00AF4715"/>
    <w:rsid w:val="00AF4ABA"/>
    <w:rsid w:val="00AF4E27"/>
    <w:rsid w:val="00AF5556"/>
    <w:rsid w:val="00AF731B"/>
    <w:rsid w:val="00AF743C"/>
    <w:rsid w:val="00AF7A2F"/>
    <w:rsid w:val="00AF7B51"/>
    <w:rsid w:val="00AF7CAA"/>
    <w:rsid w:val="00B00AF0"/>
    <w:rsid w:val="00B01439"/>
    <w:rsid w:val="00B017AC"/>
    <w:rsid w:val="00B01A6C"/>
    <w:rsid w:val="00B03213"/>
    <w:rsid w:val="00B04FF9"/>
    <w:rsid w:val="00B05FB9"/>
    <w:rsid w:val="00B06D91"/>
    <w:rsid w:val="00B078C0"/>
    <w:rsid w:val="00B10872"/>
    <w:rsid w:val="00B10E0A"/>
    <w:rsid w:val="00B111BC"/>
    <w:rsid w:val="00B11613"/>
    <w:rsid w:val="00B1187F"/>
    <w:rsid w:val="00B139C1"/>
    <w:rsid w:val="00B13FB9"/>
    <w:rsid w:val="00B144CC"/>
    <w:rsid w:val="00B1485B"/>
    <w:rsid w:val="00B15F05"/>
    <w:rsid w:val="00B1617D"/>
    <w:rsid w:val="00B163B7"/>
    <w:rsid w:val="00B16A08"/>
    <w:rsid w:val="00B175AA"/>
    <w:rsid w:val="00B177FF"/>
    <w:rsid w:val="00B2046F"/>
    <w:rsid w:val="00B2375E"/>
    <w:rsid w:val="00B23BD0"/>
    <w:rsid w:val="00B25832"/>
    <w:rsid w:val="00B26F68"/>
    <w:rsid w:val="00B27127"/>
    <w:rsid w:val="00B27D4C"/>
    <w:rsid w:val="00B30241"/>
    <w:rsid w:val="00B31781"/>
    <w:rsid w:val="00B317CA"/>
    <w:rsid w:val="00B31BAF"/>
    <w:rsid w:val="00B32889"/>
    <w:rsid w:val="00B34143"/>
    <w:rsid w:val="00B349A0"/>
    <w:rsid w:val="00B3593D"/>
    <w:rsid w:val="00B36116"/>
    <w:rsid w:val="00B36FA5"/>
    <w:rsid w:val="00B3744E"/>
    <w:rsid w:val="00B374AB"/>
    <w:rsid w:val="00B37C32"/>
    <w:rsid w:val="00B37DF4"/>
    <w:rsid w:val="00B41105"/>
    <w:rsid w:val="00B4226A"/>
    <w:rsid w:val="00B42B81"/>
    <w:rsid w:val="00B43A3D"/>
    <w:rsid w:val="00B4410E"/>
    <w:rsid w:val="00B4445E"/>
    <w:rsid w:val="00B44506"/>
    <w:rsid w:val="00B448EE"/>
    <w:rsid w:val="00B454DB"/>
    <w:rsid w:val="00B45B26"/>
    <w:rsid w:val="00B45C36"/>
    <w:rsid w:val="00B46CDE"/>
    <w:rsid w:val="00B4730B"/>
    <w:rsid w:val="00B47591"/>
    <w:rsid w:val="00B47E88"/>
    <w:rsid w:val="00B50CA1"/>
    <w:rsid w:val="00B50F5A"/>
    <w:rsid w:val="00B513DB"/>
    <w:rsid w:val="00B54364"/>
    <w:rsid w:val="00B55FB7"/>
    <w:rsid w:val="00B5656C"/>
    <w:rsid w:val="00B57F63"/>
    <w:rsid w:val="00B60268"/>
    <w:rsid w:val="00B60F92"/>
    <w:rsid w:val="00B61D64"/>
    <w:rsid w:val="00B61F41"/>
    <w:rsid w:val="00B63149"/>
    <w:rsid w:val="00B63A3F"/>
    <w:rsid w:val="00B6486D"/>
    <w:rsid w:val="00B64D64"/>
    <w:rsid w:val="00B65B76"/>
    <w:rsid w:val="00B65D2E"/>
    <w:rsid w:val="00B65D32"/>
    <w:rsid w:val="00B660B5"/>
    <w:rsid w:val="00B66D3B"/>
    <w:rsid w:val="00B67423"/>
    <w:rsid w:val="00B67711"/>
    <w:rsid w:val="00B70603"/>
    <w:rsid w:val="00B711EF"/>
    <w:rsid w:val="00B71BEA"/>
    <w:rsid w:val="00B722C0"/>
    <w:rsid w:val="00B728A1"/>
    <w:rsid w:val="00B73674"/>
    <w:rsid w:val="00B74773"/>
    <w:rsid w:val="00B755A6"/>
    <w:rsid w:val="00B776BE"/>
    <w:rsid w:val="00B77E77"/>
    <w:rsid w:val="00B8027D"/>
    <w:rsid w:val="00B805A3"/>
    <w:rsid w:val="00B80CDE"/>
    <w:rsid w:val="00B812B7"/>
    <w:rsid w:val="00B824FB"/>
    <w:rsid w:val="00B82599"/>
    <w:rsid w:val="00B825BB"/>
    <w:rsid w:val="00B82A34"/>
    <w:rsid w:val="00B8378F"/>
    <w:rsid w:val="00B84DC8"/>
    <w:rsid w:val="00B850A0"/>
    <w:rsid w:val="00B86AB6"/>
    <w:rsid w:val="00B87738"/>
    <w:rsid w:val="00B87944"/>
    <w:rsid w:val="00B90E9F"/>
    <w:rsid w:val="00B90EAA"/>
    <w:rsid w:val="00B918F7"/>
    <w:rsid w:val="00B92E2A"/>
    <w:rsid w:val="00B95834"/>
    <w:rsid w:val="00B958E7"/>
    <w:rsid w:val="00B96ADA"/>
    <w:rsid w:val="00B975A2"/>
    <w:rsid w:val="00BA0A5F"/>
    <w:rsid w:val="00BA12F6"/>
    <w:rsid w:val="00BA169E"/>
    <w:rsid w:val="00BA19A7"/>
    <w:rsid w:val="00BA2B83"/>
    <w:rsid w:val="00BA2E09"/>
    <w:rsid w:val="00BA3047"/>
    <w:rsid w:val="00BA37C8"/>
    <w:rsid w:val="00BA415B"/>
    <w:rsid w:val="00BA4F68"/>
    <w:rsid w:val="00BA59FF"/>
    <w:rsid w:val="00BA611B"/>
    <w:rsid w:val="00BA6FCD"/>
    <w:rsid w:val="00BA715C"/>
    <w:rsid w:val="00BA7455"/>
    <w:rsid w:val="00BA782E"/>
    <w:rsid w:val="00BA7CD4"/>
    <w:rsid w:val="00BB12DF"/>
    <w:rsid w:val="00BB1A9E"/>
    <w:rsid w:val="00BB24BE"/>
    <w:rsid w:val="00BB3185"/>
    <w:rsid w:val="00BB4008"/>
    <w:rsid w:val="00BB4342"/>
    <w:rsid w:val="00BB4403"/>
    <w:rsid w:val="00BB4B02"/>
    <w:rsid w:val="00BB5335"/>
    <w:rsid w:val="00BB53E2"/>
    <w:rsid w:val="00BB5D51"/>
    <w:rsid w:val="00BB699D"/>
    <w:rsid w:val="00BB6B60"/>
    <w:rsid w:val="00BB6F7C"/>
    <w:rsid w:val="00BB71DC"/>
    <w:rsid w:val="00BB7925"/>
    <w:rsid w:val="00BC066C"/>
    <w:rsid w:val="00BC1186"/>
    <w:rsid w:val="00BC14AA"/>
    <w:rsid w:val="00BC1643"/>
    <w:rsid w:val="00BC1774"/>
    <w:rsid w:val="00BC2505"/>
    <w:rsid w:val="00BC4052"/>
    <w:rsid w:val="00BC45C0"/>
    <w:rsid w:val="00BC4803"/>
    <w:rsid w:val="00BC4F25"/>
    <w:rsid w:val="00BC5171"/>
    <w:rsid w:val="00BC5AAF"/>
    <w:rsid w:val="00BC63EC"/>
    <w:rsid w:val="00BC65D1"/>
    <w:rsid w:val="00BC6FD2"/>
    <w:rsid w:val="00BC7418"/>
    <w:rsid w:val="00BD0D86"/>
    <w:rsid w:val="00BD155B"/>
    <w:rsid w:val="00BD1985"/>
    <w:rsid w:val="00BD2232"/>
    <w:rsid w:val="00BD22DA"/>
    <w:rsid w:val="00BD2308"/>
    <w:rsid w:val="00BD2471"/>
    <w:rsid w:val="00BD26EC"/>
    <w:rsid w:val="00BD333E"/>
    <w:rsid w:val="00BD35E5"/>
    <w:rsid w:val="00BD3B42"/>
    <w:rsid w:val="00BD3D5B"/>
    <w:rsid w:val="00BD5BE7"/>
    <w:rsid w:val="00BD6125"/>
    <w:rsid w:val="00BD63C7"/>
    <w:rsid w:val="00BD6EC6"/>
    <w:rsid w:val="00BD7F0C"/>
    <w:rsid w:val="00BD7FCB"/>
    <w:rsid w:val="00BE004E"/>
    <w:rsid w:val="00BE0256"/>
    <w:rsid w:val="00BE0899"/>
    <w:rsid w:val="00BE0924"/>
    <w:rsid w:val="00BE129D"/>
    <w:rsid w:val="00BE1B3D"/>
    <w:rsid w:val="00BE2C5C"/>
    <w:rsid w:val="00BE3A92"/>
    <w:rsid w:val="00BE46CC"/>
    <w:rsid w:val="00BE4B43"/>
    <w:rsid w:val="00BE4B66"/>
    <w:rsid w:val="00BE5B7D"/>
    <w:rsid w:val="00BE6143"/>
    <w:rsid w:val="00BE745E"/>
    <w:rsid w:val="00BE7A34"/>
    <w:rsid w:val="00BE7B1E"/>
    <w:rsid w:val="00BE7F73"/>
    <w:rsid w:val="00BF0CD3"/>
    <w:rsid w:val="00BF1432"/>
    <w:rsid w:val="00BF1A29"/>
    <w:rsid w:val="00BF303E"/>
    <w:rsid w:val="00BF3114"/>
    <w:rsid w:val="00BF34C1"/>
    <w:rsid w:val="00BF3B30"/>
    <w:rsid w:val="00BF584D"/>
    <w:rsid w:val="00BF5FA8"/>
    <w:rsid w:val="00BF70B6"/>
    <w:rsid w:val="00BF7B7B"/>
    <w:rsid w:val="00C0311A"/>
    <w:rsid w:val="00C0440B"/>
    <w:rsid w:val="00C0453D"/>
    <w:rsid w:val="00C04B5E"/>
    <w:rsid w:val="00C04C5A"/>
    <w:rsid w:val="00C05591"/>
    <w:rsid w:val="00C05E10"/>
    <w:rsid w:val="00C0614F"/>
    <w:rsid w:val="00C064BF"/>
    <w:rsid w:val="00C07185"/>
    <w:rsid w:val="00C079A3"/>
    <w:rsid w:val="00C07A8F"/>
    <w:rsid w:val="00C07B26"/>
    <w:rsid w:val="00C10555"/>
    <w:rsid w:val="00C1244B"/>
    <w:rsid w:val="00C126A1"/>
    <w:rsid w:val="00C12A81"/>
    <w:rsid w:val="00C14094"/>
    <w:rsid w:val="00C14BA3"/>
    <w:rsid w:val="00C14DE9"/>
    <w:rsid w:val="00C14FFD"/>
    <w:rsid w:val="00C15173"/>
    <w:rsid w:val="00C15A07"/>
    <w:rsid w:val="00C15B42"/>
    <w:rsid w:val="00C1613E"/>
    <w:rsid w:val="00C161D3"/>
    <w:rsid w:val="00C165F1"/>
    <w:rsid w:val="00C1750A"/>
    <w:rsid w:val="00C20354"/>
    <w:rsid w:val="00C20762"/>
    <w:rsid w:val="00C20A03"/>
    <w:rsid w:val="00C21DBB"/>
    <w:rsid w:val="00C230D2"/>
    <w:rsid w:val="00C23E03"/>
    <w:rsid w:val="00C24562"/>
    <w:rsid w:val="00C24857"/>
    <w:rsid w:val="00C24DE7"/>
    <w:rsid w:val="00C251BA"/>
    <w:rsid w:val="00C25302"/>
    <w:rsid w:val="00C25405"/>
    <w:rsid w:val="00C26029"/>
    <w:rsid w:val="00C2658F"/>
    <w:rsid w:val="00C267DC"/>
    <w:rsid w:val="00C2759C"/>
    <w:rsid w:val="00C27D9C"/>
    <w:rsid w:val="00C27F01"/>
    <w:rsid w:val="00C27F61"/>
    <w:rsid w:val="00C3005F"/>
    <w:rsid w:val="00C30335"/>
    <w:rsid w:val="00C3069F"/>
    <w:rsid w:val="00C307FB"/>
    <w:rsid w:val="00C31EE3"/>
    <w:rsid w:val="00C34097"/>
    <w:rsid w:val="00C343E6"/>
    <w:rsid w:val="00C34663"/>
    <w:rsid w:val="00C361C2"/>
    <w:rsid w:val="00C36A1F"/>
    <w:rsid w:val="00C36A38"/>
    <w:rsid w:val="00C3731A"/>
    <w:rsid w:val="00C37860"/>
    <w:rsid w:val="00C4022C"/>
    <w:rsid w:val="00C40FB9"/>
    <w:rsid w:val="00C414D6"/>
    <w:rsid w:val="00C4183C"/>
    <w:rsid w:val="00C41CBC"/>
    <w:rsid w:val="00C42BDB"/>
    <w:rsid w:val="00C431C7"/>
    <w:rsid w:val="00C43847"/>
    <w:rsid w:val="00C43ACE"/>
    <w:rsid w:val="00C449B8"/>
    <w:rsid w:val="00C44F67"/>
    <w:rsid w:val="00C45707"/>
    <w:rsid w:val="00C4644A"/>
    <w:rsid w:val="00C465D6"/>
    <w:rsid w:val="00C47070"/>
    <w:rsid w:val="00C47D17"/>
    <w:rsid w:val="00C504CD"/>
    <w:rsid w:val="00C50A92"/>
    <w:rsid w:val="00C50D6F"/>
    <w:rsid w:val="00C51069"/>
    <w:rsid w:val="00C51283"/>
    <w:rsid w:val="00C51B90"/>
    <w:rsid w:val="00C53664"/>
    <w:rsid w:val="00C53EFF"/>
    <w:rsid w:val="00C540CD"/>
    <w:rsid w:val="00C54703"/>
    <w:rsid w:val="00C5512D"/>
    <w:rsid w:val="00C55A33"/>
    <w:rsid w:val="00C55D4D"/>
    <w:rsid w:val="00C569D9"/>
    <w:rsid w:val="00C570C2"/>
    <w:rsid w:val="00C57A9B"/>
    <w:rsid w:val="00C60987"/>
    <w:rsid w:val="00C62827"/>
    <w:rsid w:val="00C62F1E"/>
    <w:rsid w:val="00C63219"/>
    <w:rsid w:val="00C6423E"/>
    <w:rsid w:val="00C6424E"/>
    <w:rsid w:val="00C65312"/>
    <w:rsid w:val="00C659D8"/>
    <w:rsid w:val="00C65B5F"/>
    <w:rsid w:val="00C65DCF"/>
    <w:rsid w:val="00C65E0E"/>
    <w:rsid w:val="00C65F6A"/>
    <w:rsid w:val="00C67812"/>
    <w:rsid w:val="00C67F51"/>
    <w:rsid w:val="00C70D07"/>
    <w:rsid w:val="00C70EF3"/>
    <w:rsid w:val="00C71363"/>
    <w:rsid w:val="00C718B1"/>
    <w:rsid w:val="00C71B0D"/>
    <w:rsid w:val="00C71C48"/>
    <w:rsid w:val="00C72326"/>
    <w:rsid w:val="00C72564"/>
    <w:rsid w:val="00C75760"/>
    <w:rsid w:val="00C757F0"/>
    <w:rsid w:val="00C76D2A"/>
    <w:rsid w:val="00C76D35"/>
    <w:rsid w:val="00C77DEB"/>
    <w:rsid w:val="00C80247"/>
    <w:rsid w:val="00C80E13"/>
    <w:rsid w:val="00C824AA"/>
    <w:rsid w:val="00C82959"/>
    <w:rsid w:val="00C83762"/>
    <w:rsid w:val="00C83FB8"/>
    <w:rsid w:val="00C8441D"/>
    <w:rsid w:val="00C84736"/>
    <w:rsid w:val="00C8610D"/>
    <w:rsid w:val="00C86D73"/>
    <w:rsid w:val="00C90A99"/>
    <w:rsid w:val="00C91F64"/>
    <w:rsid w:val="00C91FCA"/>
    <w:rsid w:val="00C92361"/>
    <w:rsid w:val="00C925A7"/>
    <w:rsid w:val="00C94471"/>
    <w:rsid w:val="00C95102"/>
    <w:rsid w:val="00C95498"/>
    <w:rsid w:val="00C957EC"/>
    <w:rsid w:val="00C974D5"/>
    <w:rsid w:val="00CA0334"/>
    <w:rsid w:val="00CA0376"/>
    <w:rsid w:val="00CA0A0B"/>
    <w:rsid w:val="00CA1E3C"/>
    <w:rsid w:val="00CA32AD"/>
    <w:rsid w:val="00CA32F2"/>
    <w:rsid w:val="00CA3C88"/>
    <w:rsid w:val="00CA3D88"/>
    <w:rsid w:val="00CA40EB"/>
    <w:rsid w:val="00CA433F"/>
    <w:rsid w:val="00CA4952"/>
    <w:rsid w:val="00CA4DA5"/>
    <w:rsid w:val="00CA4FA4"/>
    <w:rsid w:val="00CA4FC5"/>
    <w:rsid w:val="00CA69CB"/>
    <w:rsid w:val="00CA7221"/>
    <w:rsid w:val="00CA7B59"/>
    <w:rsid w:val="00CA7DA8"/>
    <w:rsid w:val="00CB0E33"/>
    <w:rsid w:val="00CB15E4"/>
    <w:rsid w:val="00CB226F"/>
    <w:rsid w:val="00CB41D0"/>
    <w:rsid w:val="00CB4354"/>
    <w:rsid w:val="00CB4A86"/>
    <w:rsid w:val="00CB510E"/>
    <w:rsid w:val="00CB511B"/>
    <w:rsid w:val="00CB55FF"/>
    <w:rsid w:val="00CB67EB"/>
    <w:rsid w:val="00CB6EC8"/>
    <w:rsid w:val="00CB6FBD"/>
    <w:rsid w:val="00CB713A"/>
    <w:rsid w:val="00CC0B5E"/>
    <w:rsid w:val="00CC1C86"/>
    <w:rsid w:val="00CC1D11"/>
    <w:rsid w:val="00CC2A25"/>
    <w:rsid w:val="00CC30CF"/>
    <w:rsid w:val="00CC329C"/>
    <w:rsid w:val="00CC3B71"/>
    <w:rsid w:val="00CC3D06"/>
    <w:rsid w:val="00CC4171"/>
    <w:rsid w:val="00CC4200"/>
    <w:rsid w:val="00CC4297"/>
    <w:rsid w:val="00CC4F6D"/>
    <w:rsid w:val="00CC5071"/>
    <w:rsid w:val="00CC56C8"/>
    <w:rsid w:val="00CC627E"/>
    <w:rsid w:val="00CC6286"/>
    <w:rsid w:val="00CD1263"/>
    <w:rsid w:val="00CD15A7"/>
    <w:rsid w:val="00CD1AC3"/>
    <w:rsid w:val="00CD23E9"/>
    <w:rsid w:val="00CD2681"/>
    <w:rsid w:val="00CD299E"/>
    <w:rsid w:val="00CD5F9F"/>
    <w:rsid w:val="00CD68DD"/>
    <w:rsid w:val="00CD6EB8"/>
    <w:rsid w:val="00CD7167"/>
    <w:rsid w:val="00CD7D39"/>
    <w:rsid w:val="00CE0125"/>
    <w:rsid w:val="00CE07B0"/>
    <w:rsid w:val="00CE07FB"/>
    <w:rsid w:val="00CE0A21"/>
    <w:rsid w:val="00CE0EA4"/>
    <w:rsid w:val="00CE103F"/>
    <w:rsid w:val="00CE13ED"/>
    <w:rsid w:val="00CE1811"/>
    <w:rsid w:val="00CE25D1"/>
    <w:rsid w:val="00CE262A"/>
    <w:rsid w:val="00CE2985"/>
    <w:rsid w:val="00CE30BB"/>
    <w:rsid w:val="00CE3241"/>
    <w:rsid w:val="00CE4B61"/>
    <w:rsid w:val="00CE52B1"/>
    <w:rsid w:val="00CE6052"/>
    <w:rsid w:val="00CE75CB"/>
    <w:rsid w:val="00CF0095"/>
    <w:rsid w:val="00CF1864"/>
    <w:rsid w:val="00CF3A45"/>
    <w:rsid w:val="00CF558D"/>
    <w:rsid w:val="00CF7146"/>
    <w:rsid w:val="00CF74D9"/>
    <w:rsid w:val="00CF761E"/>
    <w:rsid w:val="00CF7ECE"/>
    <w:rsid w:val="00D008EF"/>
    <w:rsid w:val="00D00B7E"/>
    <w:rsid w:val="00D02EA6"/>
    <w:rsid w:val="00D0320E"/>
    <w:rsid w:val="00D03BB3"/>
    <w:rsid w:val="00D04108"/>
    <w:rsid w:val="00D0442F"/>
    <w:rsid w:val="00D04758"/>
    <w:rsid w:val="00D04A8D"/>
    <w:rsid w:val="00D05B0B"/>
    <w:rsid w:val="00D06049"/>
    <w:rsid w:val="00D06274"/>
    <w:rsid w:val="00D141BA"/>
    <w:rsid w:val="00D1546E"/>
    <w:rsid w:val="00D15745"/>
    <w:rsid w:val="00D16371"/>
    <w:rsid w:val="00D16A28"/>
    <w:rsid w:val="00D1772B"/>
    <w:rsid w:val="00D17D06"/>
    <w:rsid w:val="00D17EDC"/>
    <w:rsid w:val="00D21062"/>
    <w:rsid w:val="00D2133A"/>
    <w:rsid w:val="00D2142A"/>
    <w:rsid w:val="00D21753"/>
    <w:rsid w:val="00D21AB8"/>
    <w:rsid w:val="00D22234"/>
    <w:rsid w:val="00D23966"/>
    <w:rsid w:val="00D25005"/>
    <w:rsid w:val="00D26BAF"/>
    <w:rsid w:val="00D30BE3"/>
    <w:rsid w:val="00D31F1B"/>
    <w:rsid w:val="00D3373D"/>
    <w:rsid w:val="00D33874"/>
    <w:rsid w:val="00D3388A"/>
    <w:rsid w:val="00D34179"/>
    <w:rsid w:val="00D347B6"/>
    <w:rsid w:val="00D3485A"/>
    <w:rsid w:val="00D34A02"/>
    <w:rsid w:val="00D34F29"/>
    <w:rsid w:val="00D35045"/>
    <w:rsid w:val="00D359D5"/>
    <w:rsid w:val="00D35F83"/>
    <w:rsid w:val="00D3608B"/>
    <w:rsid w:val="00D36801"/>
    <w:rsid w:val="00D368C6"/>
    <w:rsid w:val="00D4007C"/>
    <w:rsid w:val="00D408A4"/>
    <w:rsid w:val="00D40B98"/>
    <w:rsid w:val="00D40D8D"/>
    <w:rsid w:val="00D422BF"/>
    <w:rsid w:val="00D42A86"/>
    <w:rsid w:val="00D43B6A"/>
    <w:rsid w:val="00D44934"/>
    <w:rsid w:val="00D45275"/>
    <w:rsid w:val="00D469B1"/>
    <w:rsid w:val="00D47E3E"/>
    <w:rsid w:val="00D50538"/>
    <w:rsid w:val="00D53245"/>
    <w:rsid w:val="00D53E72"/>
    <w:rsid w:val="00D54088"/>
    <w:rsid w:val="00D543F3"/>
    <w:rsid w:val="00D54594"/>
    <w:rsid w:val="00D55602"/>
    <w:rsid w:val="00D570D5"/>
    <w:rsid w:val="00D60260"/>
    <w:rsid w:val="00D60F3F"/>
    <w:rsid w:val="00D617CF"/>
    <w:rsid w:val="00D618B1"/>
    <w:rsid w:val="00D63058"/>
    <w:rsid w:val="00D641AC"/>
    <w:rsid w:val="00D6442B"/>
    <w:rsid w:val="00D64AB9"/>
    <w:rsid w:val="00D650CD"/>
    <w:rsid w:val="00D65D16"/>
    <w:rsid w:val="00D70508"/>
    <w:rsid w:val="00D7050A"/>
    <w:rsid w:val="00D7074C"/>
    <w:rsid w:val="00D70A90"/>
    <w:rsid w:val="00D72DF9"/>
    <w:rsid w:val="00D744B1"/>
    <w:rsid w:val="00D7477A"/>
    <w:rsid w:val="00D74E98"/>
    <w:rsid w:val="00D759BB"/>
    <w:rsid w:val="00D75C78"/>
    <w:rsid w:val="00D764A1"/>
    <w:rsid w:val="00D76B01"/>
    <w:rsid w:val="00D77FB3"/>
    <w:rsid w:val="00D81E8B"/>
    <w:rsid w:val="00D822D0"/>
    <w:rsid w:val="00D82348"/>
    <w:rsid w:val="00D82A7A"/>
    <w:rsid w:val="00D833FF"/>
    <w:rsid w:val="00D83A4F"/>
    <w:rsid w:val="00D84D54"/>
    <w:rsid w:val="00D8607C"/>
    <w:rsid w:val="00D8722A"/>
    <w:rsid w:val="00D87929"/>
    <w:rsid w:val="00D87D1A"/>
    <w:rsid w:val="00D902DD"/>
    <w:rsid w:val="00D93233"/>
    <w:rsid w:val="00D932A2"/>
    <w:rsid w:val="00D938C5"/>
    <w:rsid w:val="00D942F3"/>
    <w:rsid w:val="00D9433C"/>
    <w:rsid w:val="00D94C30"/>
    <w:rsid w:val="00D94DAB"/>
    <w:rsid w:val="00D95B4E"/>
    <w:rsid w:val="00D95C70"/>
    <w:rsid w:val="00D96071"/>
    <w:rsid w:val="00D96C6E"/>
    <w:rsid w:val="00D97EC6"/>
    <w:rsid w:val="00DA1342"/>
    <w:rsid w:val="00DA159C"/>
    <w:rsid w:val="00DA1BD7"/>
    <w:rsid w:val="00DA2C07"/>
    <w:rsid w:val="00DA2D6F"/>
    <w:rsid w:val="00DA3CE3"/>
    <w:rsid w:val="00DA5D14"/>
    <w:rsid w:val="00DA6114"/>
    <w:rsid w:val="00DA6EA6"/>
    <w:rsid w:val="00DB059E"/>
    <w:rsid w:val="00DB0BCC"/>
    <w:rsid w:val="00DB0D10"/>
    <w:rsid w:val="00DB1399"/>
    <w:rsid w:val="00DB1488"/>
    <w:rsid w:val="00DB1663"/>
    <w:rsid w:val="00DB1CD5"/>
    <w:rsid w:val="00DB2D80"/>
    <w:rsid w:val="00DB379B"/>
    <w:rsid w:val="00DB37A4"/>
    <w:rsid w:val="00DB3A46"/>
    <w:rsid w:val="00DB4AA6"/>
    <w:rsid w:val="00DB5806"/>
    <w:rsid w:val="00DB5938"/>
    <w:rsid w:val="00DB5BB3"/>
    <w:rsid w:val="00DB6992"/>
    <w:rsid w:val="00DB6E44"/>
    <w:rsid w:val="00DC048C"/>
    <w:rsid w:val="00DC141D"/>
    <w:rsid w:val="00DC2C09"/>
    <w:rsid w:val="00DC30E2"/>
    <w:rsid w:val="00DC33EE"/>
    <w:rsid w:val="00DC3791"/>
    <w:rsid w:val="00DC3B97"/>
    <w:rsid w:val="00DC4055"/>
    <w:rsid w:val="00DC492F"/>
    <w:rsid w:val="00DC5590"/>
    <w:rsid w:val="00DC64C8"/>
    <w:rsid w:val="00DC7139"/>
    <w:rsid w:val="00DC74D1"/>
    <w:rsid w:val="00DC77D8"/>
    <w:rsid w:val="00DD4A15"/>
    <w:rsid w:val="00DD4EA1"/>
    <w:rsid w:val="00DD5573"/>
    <w:rsid w:val="00DD5E7F"/>
    <w:rsid w:val="00DD6426"/>
    <w:rsid w:val="00DD6B35"/>
    <w:rsid w:val="00DD6E3C"/>
    <w:rsid w:val="00DD7BF2"/>
    <w:rsid w:val="00DE04FB"/>
    <w:rsid w:val="00DE05C9"/>
    <w:rsid w:val="00DE13C4"/>
    <w:rsid w:val="00DE15DA"/>
    <w:rsid w:val="00DE1A10"/>
    <w:rsid w:val="00DE3140"/>
    <w:rsid w:val="00DE34F7"/>
    <w:rsid w:val="00DE4C18"/>
    <w:rsid w:val="00DE4EE3"/>
    <w:rsid w:val="00DE5C6F"/>
    <w:rsid w:val="00DE65F0"/>
    <w:rsid w:val="00DE7EAF"/>
    <w:rsid w:val="00DF0694"/>
    <w:rsid w:val="00DF0C2F"/>
    <w:rsid w:val="00DF147A"/>
    <w:rsid w:val="00DF1789"/>
    <w:rsid w:val="00DF3359"/>
    <w:rsid w:val="00DF37CC"/>
    <w:rsid w:val="00DF4B92"/>
    <w:rsid w:val="00DF501C"/>
    <w:rsid w:val="00DF5041"/>
    <w:rsid w:val="00DF60C9"/>
    <w:rsid w:val="00DF7744"/>
    <w:rsid w:val="00E00161"/>
    <w:rsid w:val="00E01681"/>
    <w:rsid w:val="00E02264"/>
    <w:rsid w:val="00E02871"/>
    <w:rsid w:val="00E03566"/>
    <w:rsid w:val="00E040CF"/>
    <w:rsid w:val="00E04B6B"/>
    <w:rsid w:val="00E04F0E"/>
    <w:rsid w:val="00E06F2F"/>
    <w:rsid w:val="00E07884"/>
    <w:rsid w:val="00E07B31"/>
    <w:rsid w:val="00E1035C"/>
    <w:rsid w:val="00E10947"/>
    <w:rsid w:val="00E10D61"/>
    <w:rsid w:val="00E136F7"/>
    <w:rsid w:val="00E153D6"/>
    <w:rsid w:val="00E1608F"/>
    <w:rsid w:val="00E171AC"/>
    <w:rsid w:val="00E17967"/>
    <w:rsid w:val="00E203F5"/>
    <w:rsid w:val="00E205E1"/>
    <w:rsid w:val="00E20B56"/>
    <w:rsid w:val="00E20D58"/>
    <w:rsid w:val="00E21188"/>
    <w:rsid w:val="00E216A8"/>
    <w:rsid w:val="00E22BB3"/>
    <w:rsid w:val="00E22C82"/>
    <w:rsid w:val="00E24879"/>
    <w:rsid w:val="00E25A7F"/>
    <w:rsid w:val="00E25FAF"/>
    <w:rsid w:val="00E261B0"/>
    <w:rsid w:val="00E26634"/>
    <w:rsid w:val="00E26722"/>
    <w:rsid w:val="00E2704E"/>
    <w:rsid w:val="00E27ACA"/>
    <w:rsid w:val="00E306E3"/>
    <w:rsid w:val="00E32B73"/>
    <w:rsid w:val="00E35914"/>
    <w:rsid w:val="00E366C0"/>
    <w:rsid w:val="00E367F0"/>
    <w:rsid w:val="00E3794A"/>
    <w:rsid w:val="00E40259"/>
    <w:rsid w:val="00E40FA9"/>
    <w:rsid w:val="00E41D06"/>
    <w:rsid w:val="00E42A7E"/>
    <w:rsid w:val="00E42CE2"/>
    <w:rsid w:val="00E440F6"/>
    <w:rsid w:val="00E4575F"/>
    <w:rsid w:val="00E45C32"/>
    <w:rsid w:val="00E46B44"/>
    <w:rsid w:val="00E471FC"/>
    <w:rsid w:val="00E47219"/>
    <w:rsid w:val="00E4729D"/>
    <w:rsid w:val="00E505CC"/>
    <w:rsid w:val="00E505CF"/>
    <w:rsid w:val="00E50AB3"/>
    <w:rsid w:val="00E50C4F"/>
    <w:rsid w:val="00E511CE"/>
    <w:rsid w:val="00E515F1"/>
    <w:rsid w:val="00E51E58"/>
    <w:rsid w:val="00E52057"/>
    <w:rsid w:val="00E52210"/>
    <w:rsid w:val="00E53687"/>
    <w:rsid w:val="00E536BD"/>
    <w:rsid w:val="00E5370E"/>
    <w:rsid w:val="00E54C9C"/>
    <w:rsid w:val="00E54DF0"/>
    <w:rsid w:val="00E55577"/>
    <w:rsid w:val="00E55C55"/>
    <w:rsid w:val="00E55D49"/>
    <w:rsid w:val="00E56BF8"/>
    <w:rsid w:val="00E56CC4"/>
    <w:rsid w:val="00E57D1F"/>
    <w:rsid w:val="00E57E0D"/>
    <w:rsid w:val="00E6006F"/>
    <w:rsid w:val="00E6033E"/>
    <w:rsid w:val="00E6187B"/>
    <w:rsid w:val="00E6280B"/>
    <w:rsid w:val="00E628D1"/>
    <w:rsid w:val="00E64F6F"/>
    <w:rsid w:val="00E654E9"/>
    <w:rsid w:val="00E6577D"/>
    <w:rsid w:val="00E65DE5"/>
    <w:rsid w:val="00E65FDD"/>
    <w:rsid w:val="00E666DA"/>
    <w:rsid w:val="00E70975"/>
    <w:rsid w:val="00E70E06"/>
    <w:rsid w:val="00E712A0"/>
    <w:rsid w:val="00E71D11"/>
    <w:rsid w:val="00E7227D"/>
    <w:rsid w:val="00E731B7"/>
    <w:rsid w:val="00E738A6"/>
    <w:rsid w:val="00E73902"/>
    <w:rsid w:val="00E73C28"/>
    <w:rsid w:val="00E76F30"/>
    <w:rsid w:val="00E7738A"/>
    <w:rsid w:val="00E779FD"/>
    <w:rsid w:val="00E77AE4"/>
    <w:rsid w:val="00E77E85"/>
    <w:rsid w:val="00E826B4"/>
    <w:rsid w:val="00E82AAF"/>
    <w:rsid w:val="00E82C1D"/>
    <w:rsid w:val="00E8552D"/>
    <w:rsid w:val="00E85B27"/>
    <w:rsid w:val="00E85F7A"/>
    <w:rsid w:val="00E87AB0"/>
    <w:rsid w:val="00E90F4D"/>
    <w:rsid w:val="00E91852"/>
    <w:rsid w:val="00E91C4F"/>
    <w:rsid w:val="00E91F6D"/>
    <w:rsid w:val="00E92459"/>
    <w:rsid w:val="00E92672"/>
    <w:rsid w:val="00E93ABE"/>
    <w:rsid w:val="00E93F5A"/>
    <w:rsid w:val="00E95A2E"/>
    <w:rsid w:val="00E966B6"/>
    <w:rsid w:val="00E967E1"/>
    <w:rsid w:val="00E97171"/>
    <w:rsid w:val="00E97F31"/>
    <w:rsid w:val="00EA0AF9"/>
    <w:rsid w:val="00EA32B0"/>
    <w:rsid w:val="00EA4A8F"/>
    <w:rsid w:val="00EA4AAE"/>
    <w:rsid w:val="00EA5C32"/>
    <w:rsid w:val="00EB00F2"/>
    <w:rsid w:val="00EB0471"/>
    <w:rsid w:val="00EB11D2"/>
    <w:rsid w:val="00EB1207"/>
    <w:rsid w:val="00EB1D76"/>
    <w:rsid w:val="00EB2180"/>
    <w:rsid w:val="00EB2315"/>
    <w:rsid w:val="00EB3199"/>
    <w:rsid w:val="00EB4368"/>
    <w:rsid w:val="00EB591F"/>
    <w:rsid w:val="00EB5D57"/>
    <w:rsid w:val="00EB5DE3"/>
    <w:rsid w:val="00EB6C6B"/>
    <w:rsid w:val="00EB70C6"/>
    <w:rsid w:val="00EB7B7F"/>
    <w:rsid w:val="00EC14FD"/>
    <w:rsid w:val="00EC203A"/>
    <w:rsid w:val="00EC2338"/>
    <w:rsid w:val="00EC24F0"/>
    <w:rsid w:val="00EC40CB"/>
    <w:rsid w:val="00EC40F1"/>
    <w:rsid w:val="00EC446E"/>
    <w:rsid w:val="00EC5203"/>
    <w:rsid w:val="00EC55A7"/>
    <w:rsid w:val="00EC57F0"/>
    <w:rsid w:val="00EC6310"/>
    <w:rsid w:val="00EC6AE0"/>
    <w:rsid w:val="00EC709E"/>
    <w:rsid w:val="00EC75BD"/>
    <w:rsid w:val="00EC7EE8"/>
    <w:rsid w:val="00ED0248"/>
    <w:rsid w:val="00ED0DD4"/>
    <w:rsid w:val="00ED0EED"/>
    <w:rsid w:val="00ED178E"/>
    <w:rsid w:val="00ED1883"/>
    <w:rsid w:val="00ED1CD4"/>
    <w:rsid w:val="00ED48C5"/>
    <w:rsid w:val="00ED5142"/>
    <w:rsid w:val="00ED591F"/>
    <w:rsid w:val="00ED63AE"/>
    <w:rsid w:val="00ED69CC"/>
    <w:rsid w:val="00ED74A4"/>
    <w:rsid w:val="00EE03DF"/>
    <w:rsid w:val="00EE101A"/>
    <w:rsid w:val="00EE241C"/>
    <w:rsid w:val="00EE2733"/>
    <w:rsid w:val="00EE39B8"/>
    <w:rsid w:val="00EE7127"/>
    <w:rsid w:val="00EE79A5"/>
    <w:rsid w:val="00EF22BC"/>
    <w:rsid w:val="00EF337C"/>
    <w:rsid w:val="00EF358C"/>
    <w:rsid w:val="00EF39AA"/>
    <w:rsid w:val="00EF4F23"/>
    <w:rsid w:val="00EF68D5"/>
    <w:rsid w:val="00EF6B7A"/>
    <w:rsid w:val="00EF6E8B"/>
    <w:rsid w:val="00EF7746"/>
    <w:rsid w:val="00F013F0"/>
    <w:rsid w:val="00F027FE"/>
    <w:rsid w:val="00F03D66"/>
    <w:rsid w:val="00F04264"/>
    <w:rsid w:val="00F04368"/>
    <w:rsid w:val="00F04C58"/>
    <w:rsid w:val="00F04F2D"/>
    <w:rsid w:val="00F05282"/>
    <w:rsid w:val="00F05F9F"/>
    <w:rsid w:val="00F06F6B"/>
    <w:rsid w:val="00F0780F"/>
    <w:rsid w:val="00F07B49"/>
    <w:rsid w:val="00F11148"/>
    <w:rsid w:val="00F11408"/>
    <w:rsid w:val="00F11A61"/>
    <w:rsid w:val="00F12A60"/>
    <w:rsid w:val="00F12FB3"/>
    <w:rsid w:val="00F133EA"/>
    <w:rsid w:val="00F16094"/>
    <w:rsid w:val="00F160EE"/>
    <w:rsid w:val="00F16676"/>
    <w:rsid w:val="00F17750"/>
    <w:rsid w:val="00F17EE8"/>
    <w:rsid w:val="00F2045E"/>
    <w:rsid w:val="00F2152E"/>
    <w:rsid w:val="00F21863"/>
    <w:rsid w:val="00F21DE4"/>
    <w:rsid w:val="00F22224"/>
    <w:rsid w:val="00F225D7"/>
    <w:rsid w:val="00F229EF"/>
    <w:rsid w:val="00F231A2"/>
    <w:rsid w:val="00F256EF"/>
    <w:rsid w:val="00F269CA"/>
    <w:rsid w:val="00F26DD0"/>
    <w:rsid w:val="00F31DBF"/>
    <w:rsid w:val="00F31DCC"/>
    <w:rsid w:val="00F31E1D"/>
    <w:rsid w:val="00F31E71"/>
    <w:rsid w:val="00F33A63"/>
    <w:rsid w:val="00F34176"/>
    <w:rsid w:val="00F3616C"/>
    <w:rsid w:val="00F3638C"/>
    <w:rsid w:val="00F36AA7"/>
    <w:rsid w:val="00F3703B"/>
    <w:rsid w:val="00F37143"/>
    <w:rsid w:val="00F37E21"/>
    <w:rsid w:val="00F40108"/>
    <w:rsid w:val="00F41490"/>
    <w:rsid w:val="00F414B5"/>
    <w:rsid w:val="00F42450"/>
    <w:rsid w:val="00F425EB"/>
    <w:rsid w:val="00F43614"/>
    <w:rsid w:val="00F43C16"/>
    <w:rsid w:val="00F43F8E"/>
    <w:rsid w:val="00F441B9"/>
    <w:rsid w:val="00F4579E"/>
    <w:rsid w:val="00F45E9A"/>
    <w:rsid w:val="00F4639E"/>
    <w:rsid w:val="00F46573"/>
    <w:rsid w:val="00F46913"/>
    <w:rsid w:val="00F473B2"/>
    <w:rsid w:val="00F50564"/>
    <w:rsid w:val="00F50A06"/>
    <w:rsid w:val="00F50C34"/>
    <w:rsid w:val="00F50C38"/>
    <w:rsid w:val="00F51AD5"/>
    <w:rsid w:val="00F53186"/>
    <w:rsid w:val="00F53452"/>
    <w:rsid w:val="00F53E8E"/>
    <w:rsid w:val="00F5417C"/>
    <w:rsid w:val="00F5511B"/>
    <w:rsid w:val="00F555D8"/>
    <w:rsid w:val="00F566BC"/>
    <w:rsid w:val="00F60F4B"/>
    <w:rsid w:val="00F61E76"/>
    <w:rsid w:val="00F628CA"/>
    <w:rsid w:val="00F62F22"/>
    <w:rsid w:val="00F63A25"/>
    <w:rsid w:val="00F63A96"/>
    <w:rsid w:val="00F6498D"/>
    <w:rsid w:val="00F65799"/>
    <w:rsid w:val="00F66DB1"/>
    <w:rsid w:val="00F672A5"/>
    <w:rsid w:val="00F67664"/>
    <w:rsid w:val="00F677E7"/>
    <w:rsid w:val="00F67C9B"/>
    <w:rsid w:val="00F7018A"/>
    <w:rsid w:val="00F70B31"/>
    <w:rsid w:val="00F71032"/>
    <w:rsid w:val="00F711B7"/>
    <w:rsid w:val="00F71C4E"/>
    <w:rsid w:val="00F71C6B"/>
    <w:rsid w:val="00F727E4"/>
    <w:rsid w:val="00F73934"/>
    <w:rsid w:val="00F74170"/>
    <w:rsid w:val="00F74D82"/>
    <w:rsid w:val="00F7525F"/>
    <w:rsid w:val="00F76066"/>
    <w:rsid w:val="00F76881"/>
    <w:rsid w:val="00F77747"/>
    <w:rsid w:val="00F77940"/>
    <w:rsid w:val="00F77A97"/>
    <w:rsid w:val="00F77F4B"/>
    <w:rsid w:val="00F8047D"/>
    <w:rsid w:val="00F8087C"/>
    <w:rsid w:val="00F808A9"/>
    <w:rsid w:val="00F80B7B"/>
    <w:rsid w:val="00F80DAC"/>
    <w:rsid w:val="00F80F31"/>
    <w:rsid w:val="00F81738"/>
    <w:rsid w:val="00F82B74"/>
    <w:rsid w:val="00F82D1C"/>
    <w:rsid w:val="00F831BD"/>
    <w:rsid w:val="00F84766"/>
    <w:rsid w:val="00F85776"/>
    <w:rsid w:val="00F85EF9"/>
    <w:rsid w:val="00F869B4"/>
    <w:rsid w:val="00F87F22"/>
    <w:rsid w:val="00F912EC"/>
    <w:rsid w:val="00F919AB"/>
    <w:rsid w:val="00F91D61"/>
    <w:rsid w:val="00F91E94"/>
    <w:rsid w:val="00F9204A"/>
    <w:rsid w:val="00F92396"/>
    <w:rsid w:val="00F923E6"/>
    <w:rsid w:val="00F92E34"/>
    <w:rsid w:val="00F938B9"/>
    <w:rsid w:val="00F93DF0"/>
    <w:rsid w:val="00F941D9"/>
    <w:rsid w:val="00F941DB"/>
    <w:rsid w:val="00F96A3A"/>
    <w:rsid w:val="00F97EE1"/>
    <w:rsid w:val="00FA0B58"/>
    <w:rsid w:val="00FA0BDA"/>
    <w:rsid w:val="00FA1246"/>
    <w:rsid w:val="00FA1841"/>
    <w:rsid w:val="00FA2439"/>
    <w:rsid w:val="00FA2FF8"/>
    <w:rsid w:val="00FA53FF"/>
    <w:rsid w:val="00FA5B01"/>
    <w:rsid w:val="00FA5CA7"/>
    <w:rsid w:val="00FA5FD8"/>
    <w:rsid w:val="00FA6362"/>
    <w:rsid w:val="00FA6711"/>
    <w:rsid w:val="00FA70CD"/>
    <w:rsid w:val="00FA711D"/>
    <w:rsid w:val="00FA7E30"/>
    <w:rsid w:val="00FA7FA3"/>
    <w:rsid w:val="00FB0B2F"/>
    <w:rsid w:val="00FB1908"/>
    <w:rsid w:val="00FB27D7"/>
    <w:rsid w:val="00FB2ED2"/>
    <w:rsid w:val="00FB34DD"/>
    <w:rsid w:val="00FB3956"/>
    <w:rsid w:val="00FB45F9"/>
    <w:rsid w:val="00FB466B"/>
    <w:rsid w:val="00FB68A3"/>
    <w:rsid w:val="00FB784B"/>
    <w:rsid w:val="00FC0133"/>
    <w:rsid w:val="00FC1AA9"/>
    <w:rsid w:val="00FC1D41"/>
    <w:rsid w:val="00FC3BBB"/>
    <w:rsid w:val="00FC3C82"/>
    <w:rsid w:val="00FC592C"/>
    <w:rsid w:val="00FC66F7"/>
    <w:rsid w:val="00FC6C6F"/>
    <w:rsid w:val="00FC750C"/>
    <w:rsid w:val="00FD13E1"/>
    <w:rsid w:val="00FD16BC"/>
    <w:rsid w:val="00FD1C6F"/>
    <w:rsid w:val="00FD22BC"/>
    <w:rsid w:val="00FD273F"/>
    <w:rsid w:val="00FD29F3"/>
    <w:rsid w:val="00FD2D98"/>
    <w:rsid w:val="00FD31FB"/>
    <w:rsid w:val="00FD3326"/>
    <w:rsid w:val="00FD44A1"/>
    <w:rsid w:val="00FD44A4"/>
    <w:rsid w:val="00FD45D3"/>
    <w:rsid w:val="00FD5171"/>
    <w:rsid w:val="00FD59B5"/>
    <w:rsid w:val="00FD5BB3"/>
    <w:rsid w:val="00FD630C"/>
    <w:rsid w:val="00FD6ED2"/>
    <w:rsid w:val="00FE1B3B"/>
    <w:rsid w:val="00FE2719"/>
    <w:rsid w:val="00FE2E3F"/>
    <w:rsid w:val="00FE5F1E"/>
    <w:rsid w:val="00FE608D"/>
    <w:rsid w:val="00FE69D6"/>
    <w:rsid w:val="00FF02EC"/>
    <w:rsid w:val="00FF138D"/>
    <w:rsid w:val="00FF19D7"/>
    <w:rsid w:val="00FF2894"/>
    <w:rsid w:val="00FF28EA"/>
    <w:rsid w:val="00FF3379"/>
    <w:rsid w:val="00FF5401"/>
    <w:rsid w:val="00FF561A"/>
    <w:rsid w:val="00FF5BDD"/>
    <w:rsid w:val="00FF5DA3"/>
    <w:rsid w:val="00FF5DC4"/>
    <w:rsid w:val="00FF6AAA"/>
    <w:rsid w:val="00FF6E34"/>
    <w:rsid w:val="00FF769C"/>
    <w:rsid w:val="00FF77F8"/>
    <w:rsid w:val="00FF79A6"/>
    <w:rsid w:val="00FF7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53D"/>
    <w:rPr>
      <w:rFonts w:ascii="Arial" w:hAnsi="Arial" w:cs="Arial"/>
      <w:sz w:val="22"/>
      <w:szCs w:val="22"/>
      <w:lang w:eastAsia="en-US"/>
    </w:rPr>
  </w:style>
  <w:style w:type="paragraph" w:styleId="Heading1">
    <w:name w:val="heading 1"/>
    <w:basedOn w:val="Normal"/>
    <w:next w:val="Normal"/>
    <w:link w:val="Heading1Char"/>
    <w:qFormat/>
    <w:rsid w:val="007E4DCE"/>
    <w:pPr>
      <w:keepNext/>
      <w:numPr>
        <w:numId w:val="5"/>
      </w:numPr>
      <w:spacing w:before="60" w:after="240"/>
      <w:outlineLvl w:val="0"/>
    </w:pPr>
    <w:rPr>
      <w:rFonts w:eastAsia="Batang"/>
      <w:b/>
      <w:bCs/>
      <w:sz w:val="28"/>
      <w:szCs w:val="28"/>
    </w:rPr>
  </w:style>
  <w:style w:type="paragraph" w:styleId="Heading2">
    <w:name w:val="heading 2"/>
    <w:basedOn w:val="Normal"/>
    <w:next w:val="Normal"/>
    <w:link w:val="Heading2Char"/>
    <w:qFormat/>
    <w:rsid w:val="00AF743C"/>
    <w:pPr>
      <w:keepNext/>
      <w:numPr>
        <w:ilvl w:val="1"/>
        <w:numId w:val="7"/>
      </w:numPr>
      <w:spacing w:before="60" w:after="240"/>
      <w:outlineLvl w:val="1"/>
    </w:pPr>
    <w:rPr>
      <w:b/>
      <w:bCs/>
      <w:sz w:val="26"/>
      <w:szCs w:val="26"/>
    </w:rPr>
  </w:style>
  <w:style w:type="paragraph" w:styleId="Heading3">
    <w:name w:val="heading 3"/>
    <w:basedOn w:val="Normal"/>
    <w:next w:val="Normal"/>
    <w:link w:val="Heading3Char"/>
    <w:qFormat/>
    <w:rsid w:val="00765F57"/>
    <w:pPr>
      <w:keepNext/>
      <w:numPr>
        <w:ilvl w:val="2"/>
        <w:numId w:val="5"/>
      </w:numPr>
      <w:tabs>
        <w:tab w:val="clear" w:pos="1645"/>
        <w:tab w:val="num" w:pos="1504"/>
      </w:tabs>
      <w:spacing w:before="120" w:after="120"/>
      <w:ind w:left="1504"/>
      <w:outlineLvl w:val="2"/>
    </w:pPr>
    <w:rPr>
      <w:rFonts w:ascii="Arial Bold" w:hAnsi="Arial Bold"/>
      <w:b/>
      <w:bCs/>
    </w:rPr>
  </w:style>
  <w:style w:type="paragraph" w:styleId="Heading4">
    <w:name w:val="heading 4"/>
    <w:basedOn w:val="BodyText1"/>
    <w:next w:val="Normal"/>
    <w:link w:val="Heading4Char"/>
    <w:qFormat/>
    <w:rsid w:val="00A70A2B"/>
    <w:pPr>
      <w:outlineLvl w:val="3"/>
    </w:pPr>
    <w:rPr>
      <w:b/>
    </w:rPr>
  </w:style>
  <w:style w:type="paragraph" w:styleId="Heading5">
    <w:name w:val="heading 5"/>
    <w:basedOn w:val="Normal"/>
    <w:next w:val="Normal"/>
    <w:qFormat/>
    <w:rsid w:val="00085B0F"/>
    <w:pPr>
      <w:keepNext/>
      <w:tabs>
        <w:tab w:val="num" w:pos="360"/>
        <w:tab w:val="num" w:pos="2803"/>
      </w:tabs>
      <w:spacing w:before="60" w:after="240"/>
      <w:ind w:left="794" w:hanging="794"/>
      <w:outlineLvl w:val="4"/>
    </w:pPr>
    <w:rPr>
      <w:b/>
      <w:bCs/>
      <w:sz w:val="28"/>
    </w:rPr>
  </w:style>
  <w:style w:type="paragraph" w:styleId="Heading6">
    <w:name w:val="heading 6"/>
    <w:basedOn w:val="Heading4"/>
    <w:next w:val="Normal"/>
    <w:qFormat/>
    <w:rsid w:val="009D3B5B"/>
    <w:pPr>
      <w:tabs>
        <w:tab w:val="num" w:pos="1152"/>
        <w:tab w:val="num" w:pos="1209"/>
        <w:tab w:val="num" w:pos="3523"/>
      </w:tabs>
      <w:ind w:left="1151" w:hanging="1151"/>
      <w:outlineLvl w:val="5"/>
    </w:pPr>
  </w:style>
  <w:style w:type="paragraph" w:styleId="Heading7">
    <w:name w:val="heading 7"/>
    <w:basedOn w:val="Heading6"/>
    <w:next w:val="Normal"/>
    <w:qFormat/>
    <w:rsid w:val="008979D8"/>
    <w:pPr>
      <w:keepLines/>
      <w:tabs>
        <w:tab w:val="clear" w:pos="1152"/>
        <w:tab w:val="clear" w:pos="1209"/>
        <w:tab w:val="clear" w:pos="3523"/>
      </w:tabs>
      <w:ind w:left="624" w:firstLine="0"/>
      <w:outlineLvl w:val="6"/>
    </w:pPr>
  </w:style>
  <w:style w:type="paragraph" w:styleId="Heading8">
    <w:name w:val="heading 8"/>
    <w:basedOn w:val="Normal"/>
    <w:next w:val="Normal"/>
    <w:qFormat/>
    <w:rsid w:val="00864CA3"/>
    <w:pPr>
      <w:keepNext/>
      <w:tabs>
        <w:tab w:val="num" w:pos="1209"/>
        <w:tab w:val="num" w:pos="1440"/>
        <w:tab w:val="num" w:pos="4603"/>
      </w:tabs>
      <w:ind w:left="1440" w:hanging="1440"/>
      <w:outlineLvl w:val="7"/>
    </w:pPr>
    <w:rPr>
      <w:b/>
      <w:bCs/>
      <w:sz w:val="28"/>
      <w:szCs w:val="28"/>
    </w:rPr>
  </w:style>
  <w:style w:type="paragraph" w:styleId="Heading9">
    <w:name w:val="heading 9"/>
    <w:basedOn w:val="Normal"/>
    <w:next w:val="Normal"/>
    <w:qFormat/>
    <w:rsid w:val="00864CA3"/>
    <w:pPr>
      <w:keepNext/>
      <w:tabs>
        <w:tab w:val="num" w:pos="1209"/>
        <w:tab w:val="num" w:pos="1584"/>
        <w:tab w:val="num" w:pos="4963"/>
      </w:tabs>
      <w:ind w:left="1584" w:hanging="1584"/>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38B4"/>
    <w:rPr>
      <w:rFonts w:ascii="Tahoma" w:hAnsi="Tahoma" w:cs="Tahoma"/>
      <w:sz w:val="16"/>
      <w:szCs w:val="16"/>
    </w:rPr>
  </w:style>
  <w:style w:type="character" w:styleId="Hyperlink">
    <w:name w:val="Hyperlink"/>
    <w:uiPriority w:val="99"/>
    <w:rsid w:val="00A838B4"/>
    <w:rPr>
      <w:rFonts w:cs="Times New Roman"/>
      <w:color w:val="0000FF"/>
      <w:u w:val="single"/>
    </w:rPr>
  </w:style>
  <w:style w:type="paragraph" w:styleId="Index1">
    <w:name w:val="index 1"/>
    <w:basedOn w:val="Normal"/>
    <w:next w:val="Normal"/>
    <w:autoRedefine/>
    <w:semiHidden/>
    <w:rsid w:val="001B6905"/>
    <w:pPr>
      <w:ind w:left="700"/>
    </w:pPr>
  </w:style>
  <w:style w:type="character" w:styleId="PageNumber">
    <w:name w:val="page number"/>
    <w:rsid w:val="00A838B4"/>
    <w:rPr>
      <w:rFonts w:cs="Times New Roman"/>
    </w:rPr>
  </w:style>
  <w:style w:type="paragraph" w:styleId="TOC2">
    <w:name w:val="toc 2"/>
    <w:basedOn w:val="Normal"/>
    <w:next w:val="Normal"/>
    <w:autoRedefine/>
    <w:uiPriority w:val="39"/>
    <w:qFormat/>
    <w:rsid w:val="00A312FF"/>
    <w:pPr>
      <w:tabs>
        <w:tab w:val="right" w:leader="dot" w:pos="9090"/>
      </w:tabs>
      <w:ind w:left="851" w:hanging="567"/>
    </w:pPr>
    <w:rPr>
      <w:bCs/>
      <w:noProof/>
      <w:szCs w:val="28"/>
      <w:lang w:eastAsia="en-AU"/>
    </w:rPr>
  </w:style>
  <w:style w:type="paragraph" w:styleId="TOC1">
    <w:name w:val="toc 1"/>
    <w:basedOn w:val="Normal"/>
    <w:next w:val="Normal"/>
    <w:autoRedefine/>
    <w:uiPriority w:val="39"/>
    <w:qFormat/>
    <w:rsid w:val="00FD22BC"/>
    <w:pPr>
      <w:tabs>
        <w:tab w:val="left" w:pos="400"/>
        <w:tab w:val="right" w:leader="dot" w:pos="9100"/>
      </w:tabs>
      <w:spacing w:before="120"/>
      <w:ind w:left="284" w:hanging="284"/>
    </w:pPr>
    <w:rPr>
      <w:rFonts w:ascii="Arial Bold" w:hAnsi="Arial Bold"/>
      <w:b/>
      <w:bCs/>
      <w:caps/>
      <w:noProof/>
      <w:szCs w:val="20"/>
    </w:rPr>
  </w:style>
  <w:style w:type="paragraph" w:styleId="TOC3">
    <w:name w:val="toc 3"/>
    <w:basedOn w:val="Normal"/>
    <w:next w:val="Normal"/>
    <w:autoRedefine/>
    <w:uiPriority w:val="39"/>
    <w:qFormat/>
    <w:rsid w:val="00A312FF"/>
    <w:pPr>
      <w:tabs>
        <w:tab w:val="left" w:pos="1000"/>
        <w:tab w:val="right" w:leader="dot" w:pos="9090"/>
      </w:tabs>
      <w:ind w:left="227" w:firstLine="397"/>
    </w:pPr>
    <w:rPr>
      <w:sz w:val="20"/>
      <w:szCs w:val="20"/>
    </w:rPr>
  </w:style>
  <w:style w:type="paragraph" w:styleId="TOC4">
    <w:name w:val="toc 4"/>
    <w:basedOn w:val="Normal"/>
    <w:next w:val="Normal"/>
    <w:autoRedefine/>
    <w:semiHidden/>
    <w:rsid w:val="00A838B4"/>
    <w:pPr>
      <w:ind w:left="440"/>
    </w:pPr>
    <w:rPr>
      <w:sz w:val="20"/>
      <w:szCs w:val="20"/>
    </w:rPr>
  </w:style>
  <w:style w:type="paragraph" w:styleId="TOC5">
    <w:name w:val="toc 5"/>
    <w:basedOn w:val="Normal"/>
    <w:next w:val="Normal"/>
    <w:autoRedefine/>
    <w:semiHidden/>
    <w:rsid w:val="00A838B4"/>
    <w:pPr>
      <w:ind w:left="660"/>
    </w:pPr>
    <w:rPr>
      <w:sz w:val="20"/>
      <w:szCs w:val="20"/>
    </w:rPr>
  </w:style>
  <w:style w:type="paragraph" w:styleId="TOC6">
    <w:name w:val="toc 6"/>
    <w:basedOn w:val="Normal"/>
    <w:next w:val="Normal"/>
    <w:autoRedefine/>
    <w:semiHidden/>
    <w:rsid w:val="00A838B4"/>
    <w:pPr>
      <w:ind w:left="880"/>
    </w:pPr>
    <w:rPr>
      <w:sz w:val="20"/>
      <w:szCs w:val="20"/>
    </w:rPr>
  </w:style>
  <w:style w:type="paragraph" w:styleId="TOC7">
    <w:name w:val="toc 7"/>
    <w:basedOn w:val="Normal"/>
    <w:next w:val="Normal"/>
    <w:autoRedefine/>
    <w:semiHidden/>
    <w:rsid w:val="00A838B4"/>
    <w:pPr>
      <w:ind w:left="1100"/>
    </w:pPr>
    <w:rPr>
      <w:sz w:val="20"/>
      <w:szCs w:val="20"/>
    </w:rPr>
  </w:style>
  <w:style w:type="paragraph" w:styleId="TOC8">
    <w:name w:val="toc 8"/>
    <w:basedOn w:val="Normal"/>
    <w:next w:val="Normal"/>
    <w:autoRedefine/>
    <w:semiHidden/>
    <w:rsid w:val="00A838B4"/>
    <w:pPr>
      <w:ind w:left="1320"/>
    </w:pPr>
    <w:rPr>
      <w:sz w:val="20"/>
      <w:szCs w:val="20"/>
    </w:rPr>
  </w:style>
  <w:style w:type="paragraph" w:styleId="TOC9">
    <w:name w:val="toc 9"/>
    <w:basedOn w:val="Normal"/>
    <w:next w:val="Normal"/>
    <w:autoRedefine/>
    <w:semiHidden/>
    <w:rsid w:val="00A838B4"/>
    <w:pPr>
      <w:ind w:left="1540"/>
    </w:pPr>
    <w:rPr>
      <w:sz w:val="20"/>
      <w:szCs w:val="20"/>
    </w:rPr>
  </w:style>
  <w:style w:type="character" w:styleId="CommentReference">
    <w:name w:val="annotation reference"/>
    <w:semiHidden/>
    <w:rsid w:val="00A838B4"/>
    <w:rPr>
      <w:rFonts w:cs="Times New Roman"/>
      <w:sz w:val="16"/>
      <w:szCs w:val="16"/>
    </w:rPr>
  </w:style>
  <w:style w:type="paragraph" w:styleId="CommentText">
    <w:name w:val="annotation text"/>
    <w:basedOn w:val="Normal"/>
    <w:link w:val="CommentTextChar"/>
    <w:uiPriority w:val="99"/>
    <w:semiHidden/>
    <w:rsid w:val="00A838B4"/>
    <w:rPr>
      <w:sz w:val="20"/>
      <w:szCs w:val="20"/>
    </w:rPr>
  </w:style>
  <w:style w:type="paragraph" w:styleId="CommentSubject">
    <w:name w:val="annotation subject"/>
    <w:basedOn w:val="CommentText"/>
    <w:next w:val="CommentText"/>
    <w:semiHidden/>
    <w:rsid w:val="00A838B4"/>
    <w:rPr>
      <w:b/>
      <w:bCs/>
    </w:rPr>
  </w:style>
  <w:style w:type="paragraph" w:customStyle="1" w:styleId="ListBullet1">
    <w:name w:val="List Bullet 1"/>
    <w:basedOn w:val="ListBullet2"/>
    <w:autoRedefine/>
    <w:rsid w:val="00AC1E25"/>
    <w:pPr>
      <w:tabs>
        <w:tab w:val="clear" w:pos="720"/>
        <w:tab w:val="clear" w:pos="926"/>
        <w:tab w:val="num" w:pos="360"/>
      </w:tabs>
      <w:spacing w:after="240"/>
      <w:ind w:left="357" w:hanging="357"/>
      <w:contextualSpacing/>
    </w:pPr>
    <w:rPr>
      <w:lang w:eastAsia="en-AU"/>
    </w:rPr>
  </w:style>
  <w:style w:type="paragraph" w:styleId="ListBullet2">
    <w:name w:val="List Bullet 2"/>
    <w:basedOn w:val="Normal"/>
    <w:autoRedefine/>
    <w:rsid w:val="00612BEC"/>
    <w:pPr>
      <w:tabs>
        <w:tab w:val="num" w:pos="720"/>
        <w:tab w:val="num" w:pos="926"/>
      </w:tabs>
    </w:pPr>
  </w:style>
  <w:style w:type="paragraph" w:styleId="ListBullet3">
    <w:name w:val="List Bullet 3"/>
    <w:basedOn w:val="Normal"/>
    <w:rsid w:val="00357284"/>
    <w:pPr>
      <w:numPr>
        <w:numId w:val="3"/>
      </w:numPr>
      <w:tabs>
        <w:tab w:val="left" w:pos="4536"/>
      </w:tabs>
      <w:spacing w:after="60"/>
      <w:contextualSpacing/>
    </w:pPr>
  </w:style>
  <w:style w:type="paragraph" w:styleId="ListBullet4">
    <w:name w:val="List Bullet 4"/>
    <w:basedOn w:val="Normal"/>
    <w:link w:val="ListBullet4Char"/>
    <w:rsid w:val="00223B8D"/>
    <w:pPr>
      <w:numPr>
        <w:numId w:val="4"/>
      </w:numPr>
      <w:spacing w:before="60" w:after="60"/>
    </w:pPr>
  </w:style>
  <w:style w:type="paragraph" w:customStyle="1" w:styleId="ListBullet31">
    <w:name w:val="List Bullet 31"/>
    <w:basedOn w:val="Normal"/>
    <w:rsid w:val="00EB3199"/>
    <w:pPr>
      <w:numPr>
        <w:numId w:val="2"/>
      </w:numPr>
    </w:pPr>
  </w:style>
  <w:style w:type="paragraph" w:styleId="FootnoteText">
    <w:name w:val="footnote text"/>
    <w:basedOn w:val="Normal"/>
    <w:semiHidden/>
    <w:rsid w:val="00A838B4"/>
    <w:rPr>
      <w:sz w:val="20"/>
      <w:szCs w:val="20"/>
    </w:rPr>
  </w:style>
  <w:style w:type="character" w:styleId="FootnoteReference">
    <w:name w:val="footnote reference"/>
    <w:semiHidden/>
    <w:rsid w:val="00A838B4"/>
    <w:rPr>
      <w:rFonts w:cs="Times New Roman"/>
      <w:vertAlign w:val="superscript"/>
    </w:rPr>
  </w:style>
  <w:style w:type="paragraph" w:customStyle="1" w:styleId="StrongUnderline">
    <w:name w:val="Strong Underline"/>
    <w:basedOn w:val="Heading4"/>
    <w:qFormat/>
    <w:rsid w:val="00A74C78"/>
  </w:style>
  <w:style w:type="paragraph" w:styleId="DocumentMap">
    <w:name w:val="Document Map"/>
    <w:basedOn w:val="Normal"/>
    <w:semiHidden/>
    <w:rsid w:val="00A838B4"/>
    <w:pPr>
      <w:shd w:val="clear" w:color="auto" w:fill="000080"/>
    </w:pPr>
    <w:rPr>
      <w:rFonts w:ascii="Tahoma" w:hAnsi="Tahoma" w:cs="Tahoma"/>
    </w:rPr>
  </w:style>
  <w:style w:type="character" w:customStyle="1" w:styleId="Heading2Char">
    <w:name w:val="Heading 2 Char"/>
    <w:link w:val="Heading2"/>
    <w:locked/>
    <w:rsid w:val="00AF743C"/>
    <w:rPr>
      <w:rFonts w:ascii="Arial" w:hAnsi="Arial" w:cs="Arial"/>
      <w:b/>
      <w:bCs/>
      <w:sz w:val="26"/>
      <w:szCs w:val="26"/>
      <w:lang w:eastAsia="en-US"/>
    </w:rPr>
  </w:style>
  <w:style w:type="paragraph" w:customStyle="1" w:styleId="HeadingSection">
    <w:name w:val="Heading Section"/>
    <w:basedOn w:val="Heading5"/>
    <w:qFormat/>
    <w:rsid w:val="00A74C78"/>
    <w:pPr>
      <w:ind w:left="0" w:firstLine="0"/>
    </w:pPr>
  </w:style>
  <w:style w:type="paragraph" w:customStyle="1" w:styleId="Bodytext4">
    <w:name w:val="Body text 4"/>
    <w:basedOn w:val="BodyText"/>
    <w:rsid w:val="00765F57"/>
    <w:pPr>
      <w:spacing w:before="120" w:after="120"/>
      <w:ind w:left="567"/>
    </w:pPr>
  </w:style>
  <w:style w:type="character" w:customStyle="1" w:styleId="ListBullet4Char">
    <w:name w:val="List Bullet 4 Char"/>
    <w:link w:val="ListBullet4"/>
    <w:locked/>
    <w:rsid w:val="00223B8D"/>
    <w:rPr>
      <w:rFonts w:ascii="Arial" w:hAnsi="Arial" w:cs="Arial"/>
      <w:sz w:val="22"/>
      <w:szCs w:val="22"/>
      <w:lang w:eastAsia="en-US"/>
    </w:rPr>
  </w:style>
  <w:style w:type="character" w:customStyle="1" w:styleId="Heading4Char">
    <w:name w:val="Heading 4 Char"/>
    <w:link w:val="Heading4"/>
    <w:locked/>
    <w:rsid w:val="00A70A2B"/>
    <w:rPr>
      <w:rFonts w:ascii="Arial" w:hAnsi="Arial" w:cs="Arial"/>
      <w:b/>
      <w:sz w:val="22"/>
      <w:szCs w:val="22"/>
      <w:lang w:val="en-AU" w:eastAsia="en-US" w:bidi="ar-SA"/>
    </w:rPr>
  </w:style>
  <w:style w:type="character" w:styleId="FollowedHyperlink">
    <w:name w:val="FollowedHyperlink"/>
    <w:rsid w:val="000E0316"/>
    <w:rPr>
      <w:rFonts w:cs="Times New Roman"/>
      <w:color w:val="800080"/>
      <w:u w:val="single"/>
    </w:rPr>
  </w:style>
  <w:style w:type="paragraph" w:styleId="Footer">
    <w:name w:val="footer"/>
    <w:basedOn w:val="Normal"/>
    <w:link w:val="FooterChar"/>
    <w:uiPriority w:val="99"/>
    <w:rsid w:val="004C4B7B"/>
    <w:pPr>
      <w:tabs>
        <w:tab w:val="center" w:pos="4153"/>
        <w:tab w:val="right" w:pos="8306"/>
      </w:tabs>
    </w:pPr>
  </w:style>
  <w:style w:type="paragraph" w:styleId="Header">
    <w:name w:val="header"/>
    <w:basedOn w:val="Normal"/>
    <w:rsid w:val="009369F6"/>
    <w:pPr>
      <w:tabs>
        <w:tab w:val="center" w:pos="4153"/>
        <w:tab w:val="right" w:pos="8306"/>
      </w:tabs>
    </w:pPr>
  </w:style>
  <w:style w:type="paragraph" w:styleId="TOCHeading">
    <w:name w:val="TOC Heading"/>
    <w:basedOn w:val="Heading1"/>
    <w:next w:val="Normal"/>
    <w:uiPriority w:val="39"/>
    <w:unhideWhenUsed/>
    <w:qFormat/>
    <w:rsid w:val="00C41CBC"/>
    <w:pPr>
      <w:keepLines/>
      <w:numPr>
        <w:numId w:val="0"/>
      </w:numPr>
      <w:spacing w:before="480" w:after="0" w:line="276" w:lineRule="auto"/>
      <w:outlineLvl w:val="9"/>
    </w:pPr>
    <w:rPr>
      <w:rFonts w:ascii="Cambria" w:eastAsia="MS Gothic" w:hAnsi="Cambria" w:cs="Times New Roman"/>
      <w:color w:val="365F91"/>
      <w:lang w:val="en-US" w:eastAsia="ja-JP"/>
    </w:rPr>
  </w:style>
  <w:style w:type="paragraph" w:customStyle="1" w:styleId="Default">
    <w:name w:val="Default"/>
    <w:rsid w:val="00F67664"/>
    <w:pPr>
      <w:autoSpaceDE w:val="0"/>
      <w:autoSpaceDN w:val="0"/>
      <w:adjustRightInd w:val="0"/>
    </w:pPr>
    <w:rPr>
      <w:rFonts w:ascii="Arial" w:hAnsi="Arial" w:cs="Arial"/>
      <w:color w:val="000000"/>
      <w:sz w:val="24"/>
      <w:szCs w:val="24"/>
    </w:rPr>
  </w:style>
  <w:style w:type="character" w:customStyle="1" w:styleId="Heading3Char">
    <w:name w:val="Heading 3 Char"/>
    <w:link w:val="Heading3"/>
    <w:locked/>
    <w:rsid w:val="00765F57"/>
    <w:rPr>
      <w:rFonts w:ascii="Arial Bold" w:hAnsi="Arial Bold" w:cs="Arial"/>
      <w:b/>
      <w:bCs/>
      <w:sz w:val="22"/>
      <w:szCs w:val="22"/>
      <w:lang w:eastAsia="en-US"/>
    </w:rPr>
  </w:style>
  <w:style w:type="numbering" w:styleId="111111">
    <w:name w:val="Outline List 2"/>
    <w:basedOn w:val="NoList"/>
    <w:rsid w:val="000C1ABB"/>
    <w:pPr>
      <w:numPr>
        <w:numId w:val="1"/>
      </w:numPr>
    </w:pPr>
  </w:style>
  <w:style w:type="paragraph" w:styleId="Revision">
    <w:name w:val="Revision"/>
    <w:hidden/>
    <w:uiPriority w:val="99"/>
    <w:semiHidden/>
    <w:rsid w:val="00272E1E"/>
    <w:rPr>
      <w:rFonts w:ascii="Arial" w:hAnsi="Arial" w:cs="Arial"/>
      <w:sz w:val="22"/>
      <w:szCs w:val="22"/>
      <w:lang w:eastAsia="en-US"/>
    </w:rPr>
  </w:style>
  <w:style w:type="paragraph" w:styleId="Title">
    <w:name w:val="Title"/>
    <w:basedOn w:val="Normal"/>
    <w:next w:val="Normal"/>
    <w:link w:val="TitleChar"/>
    <w:uiPriority w:val="10"/>
    <w:qFormat/>
    <w:rsid w:val="000A4E15"/>
    <w:pPr>
      <w:jc w:val="center"/>
      <w:outlineLvl w:val="0"/>
    </w:pPr>
    <w:rPr>
      <w:rFonts w:ascii="Arial Bold" w:hAnsi="Arial Bold" w:cs="Times New Roman"/>
      <w:b/>
      <w:bCs/>
      <w:sz w:val="40"/>
      <w:szCs w:val="32"/>
    </w:rPr>
  </w:style>
  <w:style w:type="character" w:customStyle="1" w:styleId="TitleChar">
    <w:name w:val="Title Char"/>
    <w:link w:val="Title"/>
    <w:uiPriority w:val="10"/>
    <w:rsid w:val="000A4E15"/>
    <w:rPr>
      <w:rFonts w:ascii="Arial Bold" w:hAnsi="Arial Bold"/>
      <w:b/>
      <w:bCs/>
      <w:sz w:val="40"/>
      <w:szCs w:val="32"/>
      <w:lang w:eastAsia="en-US"/>
    </w:rPr>
  </w:style>
  <w:style w:type="paragraph" w:customStyle="1" w:styleId="Title2">
    <w:name w:val="Title 2"/>
    <w:basedOn w:val="Heading2"/>
    <w:qFormat/>
    <w:rsid w:val="00ED591F"/>
    <w:pPr>
      <w:numPr>
        <w:ilvl w:val="0"/>
        <w:numId w:val="0"/>
      </w:numPr>
      <w:jc w:val="center"/>
    </w:pPr>
    <w:rPr>
      <w:rFonts w:ascii="Arial Bold" w:hAnsi="Arial Bold"/>
      <w:caps/>
      <w:sz w:val="28"/>
    </w:rPr>
  </w:style>
  <w:style w:type="paragraph" w:customStyle="1" w:styleId="Title3">
    <w:name w:val="Title 3"/>
    <w:basedOn w:val="Title2"/>
    <w:qFormat/>
    <w:rsid w:val="00F256EF"/>
    <w:pPr>
      <w:spacing w:before="0" w:after="0"/>
    </w:pPr>
  </w:style>
  <w:style w:type="character" w:styleId="Strong">
    <w:name w:val="Strong"/>
    <w:qFormat/>
    <w:rsid w:val="00AC1E25"/>
    <w:rPr>
      <w:b/>
      <w:bCs/>
    </w:rPr>
  </w:style>
  <w:style w:type="paragraph" w:styleId="ListBullet">
    <w:name w:val="List Bullet"/>
    <w:basedOn w:val="Normal"/>
    <w:rsid w:val="00AC1E25"/>
    <w:pPr>
      <w:numPr>
        <w:numId w:val="6"/>
      </w:numPr>
      <w:tabs>
        <w:tab w:val="clear" w:pos="1070"/>
        <w:tab w:val="num" w:pos="360"/>
      </w:tabs>
      <w:spacing w:after="240"/>
      <w:ind w:left="360"/>
      <w:contextualSpacing/>
    </w:pPr>
  </w:style>
  <w:style w:type="paragraph" w:styleId="BodyText">
    <w:name w:val="Body Text"/>
    <w:basedOn w:val="Normal"/>
    <w:link w:val="BodyTextChar"/>
    <w:rsid w:val="00AC1E25"/>
    <w:pPr>
      <w:spacing w:before="60" w:after="180"/>
    </w:pPr>
  </w:style>
  <w:style w:type="character" w:customStyle="1" w:styleId="BodyTextChar">
    <w:name w:val="Body Text Char"/>
    <w:link w:val="BodyText"/>
    <w:rsid w:val="00AC1E25"/>
    <w:rPr>
      <w:rFonts w:ascii="Arial" w:hAnsi="Arial" w:cs="Arial"/>
      <w:sz w:val="22"/>
      <w:szCs w:val="22"/>
      <w:lang w:eastAsia="en-US"/>
    </w:rPr>
  </w:style>
  <w:style w:type="paragraph" w:customStyle="1" w:styleId="BodyText21">
    <w:name w:val="Body Text 21"/>
    <w:basedOn w:val="Normal"/>
    <w:next w:val="StrongUnderline"/>
    <w:qFormat/>
    <w:rsid w:val="00DD5E7F"/>
    <w:pPr>
      <w:spacing w:after="240"/>
      <w:ind w:left="601"/>
    </w:pPr>
  </w:style>
  <w:style w:type="paragraph" w:customStyle="1" w:styleId="ListBullet10">
    <w:name w:val="List Bullet1"/>
    <w:basedOn w:val="ListBullet"/>
    <w:qFormat/>
    <w:rsid w:val="00A74C78"/>
  </w:style>
  <w:style w:type="paragraph" w:customStyle="1" w:styleId="Title4">
    <w:name w:val="Title 4"/>
    <w:basedOn w:val="Title3"/>
    <w:qFormat/>
    <w:rsid w:val="00552555"/>
    <w:rPr>
      <w:caps w:val="0"/>
      <w:sz w:val="24"/>
    </w:rPr>
  </w:style>
  <w:style w:type="paragraph" w:customStyle="1" w:styleId="Boxed1">
    <w:name w:val="Boxed 1"/>
    <w:basedOn w:val="Normal"/>
    <w:qFormat/>
    <w:rsid w:val="00A402DE"/>
    <w:pPr>
      <w:widowControl w:val="0"/>
      <w:pBdr>
        <w:top w:val="single" w:sz="4" w:space="1" w:color="auto"/>
        <w:left w:val="single" w:sz="4" w:space="4" w:color="auto"/>
        <w:bottom w:val="single" w:sz="4" w:space="1" w:color="auto"/>
        <w:right w:val="single" w:sz="4" w:space="4" w:color="auto"/>
      </w:pBdr>
    </w:pPr>
  </w:style>
  <w:style w:type="paragraph" w:customStyle="1" w:styleId="Table1">
    <w:name w:val="Table 1"/>
    <w:basedOn w:val="Normal"/>
    <w:qFormat/>
    <w:rsid w:val="005E6307"/>
  </w:style>
  <w:style w:type="paragraph" w:customStyle="1" w:styleId="Boxed2">
    <w:name w:val="Boxed 2"/>
    <w:basedOn w:val="Boxed1"/>
    <w:qFormat/>
    <w:rsid w:val="00C80E13"/>
    <w:pPr>
      <w:ind w:left="567"/>
    </w:pPr>
  </w:style>
  <w:style w:type="paragraph" w:customStyle="1" w:styleId="Address">
    <w:name w:val="Address"/>
    <w:basedOn w:val="Normal"/>
    <w:qFormat/>
    <w:rsid w:val="00AC7FCD"/>
    <w:pPr>
      <w:ind w:left="737"/>
    </w:pPr>
    <w:rPr>
      <w:b/>
    </w:rPr>
  </w:style>
  <w:style w:type="paragraph" w:styleId="List">
    <w:name w:val="List"/>
    <w:basedOn w:val="Normal"/>
    <w:rsid w:val="008840A1"/>
    <w:pPr>
      <w:numPr>
        <w:numId w:val="8"/>
      </w:numPr>
      <w:tabs>
        <w:tab w:val="left" w:pos="454"/>
      </w:tabs>
      <w:ind w:left="1588" w:hanging="454"/>
      <w:contextualSpacing/>
    </w:pPr>
  </w:style>
  <w:style w:type="paragraph" w:styleId="List2">
    <w:name w:val="List 2"/>
    <w:basedOn w:val="Normal"/>
    <w:rsid w:val="00D81E8B"/>
    <w:pPr>
      <w:tabs>
        <w:tab w:val="left" w:pos="2835"/>
      </w:tabs>
      <w:spacing w:after="240"/>
      <w:ind w:left="2835" w:hanging="2835"/>
    </w:pPr>
  </w:style>
  <w:style w:type="paragraph" w:customStyle="1" w:styleId="TOCTitle">
    <w:name w:val="TOC Title"/>
    <w:basedOn w:val="Normal"/>
    <w:qFormat/>
    <w:rsid w:val="002D478A"/>
    <w:pPr>
      <w:pBdr>
        <w:bottom w:val="single" w:sz="12" w:space="1" w:color="auto"/>
      </w:pBdr>
    </w:pPr>
    <w:rPr>
      <w:b/>
      <w:smallCaps/>
      <w:sz w:val="28"/>
      <w:szCs w:val="28"/>
    </w:rPr>
  </w:style>
  <w:style w:type="paragraph" w:customStyle="1" w:styleId="Underline">
    <w:name w:val="Underline"/>
    <w:basedOn w:val="Normal"/>
    <w:qFormat/>
    <w:rsid w:val="00E6187B"/>
    <w:pPr>
      <w:ind w:left="601"/>
    </w:pPr>
    <w:rPr>
      <w:u w:val="single"/>
    </w:rPr>
  </w:style>
  <w:style w:type="paragraph" w:customStyle="1" w:styleId="BodyText1">
    <w:name w:val="Body Text1"/>
    <w:basedOn w:val="Normal"/>
    <w:next w:val="BodyText21"/>
    <w:link w:val="BodytextChar0"/>
    <w:qFormat/>
    <w:rsid w:val="00A11F00"/>
    <w:pPr>
      <w:spacing w:after="240"/>
    </w:pPr>
  </w:style>
  <w:style w:type="paragraph" w:customStyle="1" w:styleId="ListBullet21">
    <w:name w:val="List Bullet 21"/>
    <w:basedOn w:val="ListBullet3"/>
    <w:qFormat/>
    <w:rsid w:val="00A74C78"/>
  </w:style>
  <w:style w:type="paragraph" w:customStyle="1" w:styleId="ListBullet41">
    <w:name w:val="List Bullet 41"/>
    <w:basedOn w:val="ListBullet4"/>
    <w:qFormat/>
    <w:rsid w:val="00F256EF"/>
  </w:style>
  <w:style w:type="paragraph" w:customStyle="1" w:styleId="Logo">
    <w:name w:val="Logo"/>
    <w:basedOn w:val="Normal"/>
    <w:rsid w:val="00581CF8"/>
    <w:pPr>
      <w:jc w:val="center"/>
    </w:pPr>
  </w:style>
  <w:style w:type="paragraph" w:customStyle="1" w:styleId="Highlightitalictext">
    <w:name w:val="Highlight italic text"/>
    <w:basedOn w:val="BodyText1"/>
    <w:link w:val="HighlightitalictextChar"/>
    <w:rsid w:val="00581CF8"/>
    <w:rPr>
      <w:i/>
    </w:rPr>
  </w:style>
  <w:style w:type="character" w:customStyle="1" w:styleId="BodytextChar0">
    <w:name w:val="Body text Char"/>
    <w:link w:val="BodyText1"/>
    <w:rsid w:val="00A11F00"/>
    <w:rPr>
      <w:rFonts w:ascii="Arial" w:hAnsi="Arial" w:cs="Arial"/>
      <w:sz w:val="22"/>
      <w:szCs w:val="22"/>
      <w:lang w:eastAsia="en-US"/>
    </w:rPr>
  </w:style>
  <w:style w:type="character" w:customStyle="1" w:styleId="HighlightitalictextChar">
    <w:name w:val="Highlight italic text Char"/>
    <w:link w:val="Highlightitalictext"/>
    <w:rsid w:val="00581CF8"/>
    <w:rPr>
      <w:rFonts w:ascii="Arial" w:hAnsi="Arial" w:cs="Arial"/>
      <w:i/>
      <w:sz w:val="22"/>
      <w:szCs w:val="22"/>
      <w:lang w:val="en-AU" w:eastAsia="en-US" w:bidi="ar-SA"/>
    </w:rPr>
  </w:style>
  <w:style w:type="character" w:customStyle="1" w:styleId="CommentTextChar">
    <w:name w:val="Comment Text Char"/>
    <w:basedOn w:val="DefaultParagraphFont"/>
    <w:link w:val="CommentText"/>
    <w:uiPriority w:val="99"/>
    <w:semiHidden/>
    <w:rsid w:val="00BA59FF"/>
    <w:rPr>
      <w:rFonts w:ascii="Arial" w:hAnsi="Arial" w:cs="Arial"/>
      <w:lang w:eastAsia="en-US"/>
    </w:rPr>
  </w:style>
  <w:style w:type="paragraph" w:styleId="ListParagraph">
    <w:name w:val="List Paragraph"/>
    <w:basedOn w:val="Normal"/>
    <w:uiPriority w:val="34"/>
    <w:qFormat/>
    <w:rsid w:val="008C3AFA"/>
    <w:pPr>
      <w:ind w:left="720"/>
      <w:contextualSpacing/>
    </w:pPr>
  </w:style>
  <w:style w:type="character" w:customStyle="1" w:styleId="Heading1Char">
    <w:name w:val="Heading 1 Char"/>
    <w:basedOn w:val="DefaultParagraphFont"/>
    <w:link w:val="Heading1"/>
    <w:rsid w:val="00A84648"/>
    <w:rPr>
      <w:rFonts w:ascii="Arial" w:eastAsia="Batang" w:hAnsi="Arial" w:cs="Arial"/>
      <w:b/>
      <w:bCs/>
      <w:sz w:val="28"/>
      <w:szCs w:val="28"/>
      <w:lang w:eastAsia="en-US"/>
    </w:rPr>
  </w:style>
  <w:style w:type="character" w:customStyle="1" w:styleId="FooterChar">
    <w:name w:val="Footer Char"/>
    <w:basedOn w:val="DefaultParagraphFont"/>
    <w:link w:val="Footer"/>
    <w:uiPriority w:val="99"/>
    <w:rsid w:val="00D87929"/>
    <w:rPr>
      <w:rFonts w:ascii="Arial" w:hAnsi="Arial" w:cs="Arial"/>
      <w:sz w:val="22"/>
      <w:szCs w:val="22"/>
      <w:lang w:eastAsia="en-US"/>
    </w:rPr>
  </w:style>
  <w:style w:type="paragraph" w:styleId="EndnoteText">
    <w:name w:val="endnote text"/>
    <w:basedOn w:val="Normal"/>
    <w:link w:val="EndnoteTextChar"/>
    <w:rsid w:val="0007139C"/>
    <w:rPr>
      <w:sz w:val="20"/>
      <w:szCs w:val="20"/>
    </w:rPr>
  </w:style>
  <w:style w:type="character" w:customStyle="1" w:styleId="EndnoteTextChar">
    <w:name w:val="Endnote Text Char"/>
    <w:basedOn w:val="DefaultParagraphFont"/>
    <w:link w:val="EndnoteText"/>
    <w:rsid w:val="0007139C"/>
    <w:rPr>
      <w:rFonts w:ascii="Arial" w:hAnsi="Arial" w:cs="Arial"/>
      <w:lang w:eastAsia="en-US"/>
    </w:rPr>
  </w:style>
  <w:style w:type="character" w:styleId="EndnoteReference">
    <w:name w:val="endnote reference"/>
    <w:basedOn w:val="DefaultParagraphFont"/>
    <w:rsid w:val="0007139C"/>
    <w:rPr>
      <w:vertAlign w:val="superscript"/>
    </w:rPr>
  </w:style>
  <w:style w:type="paragraph" w:customStyle="1" w:styleId="Style1">
    <w:name w:val="Style1"/>
    <w:basedOn w:val="Title"/>
    <w:link w:val="Style1Char"/>
    <w:qFormat/>
    <w:rsid w:val="00345AE4"/>
    <w:pPr>
      <w:spacing w:before="480"/>
    </w:pPr>
    <w:rPr>
      <w:noProof/>
      <w:lang w:eastAsia="en-AU"/>
    </w:rPr>
  </w:style>
  <w:style w:type="character" w:customStyle="1" w:styleId="Style1Char">
    <w:name w:val="Style1 Char"/>
    <w:basedOn w:val="TitleChar"/>
    <w:link w:val="Style1"/>
    <w:rsid w:val="00345AE4"/>
    <w:rPr>
      <w:rFonts w:ascii="Arial Bold" w:hAnsi="Arial Bold"/>
      <w:b/>
      <w:bCs/>
      <w:noProof/>
      <w:sz w:val="40"/>
      <w:szCs w:val="32"/>
      <w:lang w:eastAsia="en-US"/>
    </w:rPr>
  </w:style>
  <w:style w:type="character" w:styleId="Emphasis">
    <w:name w:val="Emphasis"/>
    <w:basedOn w:val="DefaultParagraphFont"/>
    <w:uiPriority w:val="20"/>
    <w:qFormat/>
    <w:rsid w:val="00480434"/>
    <w:rPr>
      <w:i/>
      <w:iCs/>
    </w:rPr>
  </w:style>
  <w:style w:type="paragraph" w:styleId="Subtitle">
    <w:name w:val="Subtitle"/>
    <w:basedOn w:val="Normal"/>
    <w:next w:val="Normal"/>
    <w:link w:val="SubtitleChar"/>
    <w:uiPriority w:val="11"/>
    <w:qFormat/>
    <w:rsid w:val="008E71CF"/>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8E71CF"/>
    <w:rPr>
      <w:rFonts w:ascii="Calibri" w:eastAsiaTheme="majorEastAsia" w:hAnsi="Calibri" w:cstheme="majorBidi"/>
      <w:b/>
      <w:iCs/>
      <w:color w:val="522761"/>
      <w:spacing w:val="13"/>
      <w:sz w:val="40"/>
      <w:szCs w:val="24"/>
      <w:lang w:eastAsia="en-US"/>
    </w:rPr>
  </w:style>
  <w:style w:type="character" w:styleId="PlaceholderText">
    <w:name w:val="Placeholder Text"/>
    <w:basedOn w:val="DefaultParagraphFont"/>
    <w:uiPriority w:val="99"/>
    <w:semiHidden/>
    <w:rsid w:val="002D03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53D"/>
    <w:rPr>
      <w:rFonts w:ascii="Arial" w:hAnsi="Arial" w:cs="Arial"/>
      <w:sz w:val="22"/>
      <w:szCs w:val="22"/>
      <w:lang w:eastAsia="en-US"/>
    </w:rPr>
  </w:style>
  <w:style w:type="paragraph" w:styleId="Heading1">
    <w:name w:val="heading 1"/>
    <w:basedOn w:val="Normal"/>
    <w:next w:val="Normal"/>
    <w:link w:val="Heading1Char"/>
    <w:qFormat/>
    <w:rsid w:val="007E4DCE"/>
    <w:pPr>
      <w:keepNext/>
      <w:numPr>
        <w:numId w:val="5"/>
      </w:numPr>
      <w:spacing w:before="60" w:after="240"/>
      <w:outlineLvl w:val="0"/>
    </w:pPr>
    <w:rPr>
      <w:rFonts w:eastAsia="Batang"/>
      <w:b/>
      <w:bCs/>
      <w:sz w:val="28"/>
      <w:szCs w:val="28"/>
    </w:rPr>
  </w:style>
  <w:style w:type="paragraph" w:styleId="Heading2">
    <w:name w:val="heading 2"/>
    <w:basedOn w:val="Normal"/>
    <w:next w:val="Normal"/>
    <w:link w:val="Heading2Char"/>
    <w:qFormat/>
    <w:rsid w:val="00AF743C"/>
    <w:pPr>
      <w:keepNext/>
      <w:numPr>
        <w:ilvl w:val="1"/>
        <w:numId w:val="7"/>
      </w:numPr>
      <w:spacing w:before="60" w:after="240"/>
      <w:outlineLvl w:val="1"/>
    </w:pPr>
    <w:rPr>
      <w:b/>
      <w:bCs/>
      <w:sz w:val="26"/>
      <w:szCs w:val="26"/>
    </w:rPr>
  </w:style>
  <w:style w:type="paragraph" w:styleId="Heading3">
    <w:name w:val="heading 3"/>
    <w:basedOn w:val="Normal"/>
    <w:next w:val="Normal"/>
    <w:link w:val="Heading3Char"/>
    <w:qFormat/>
    <w:rsid w:val="00765F57"/>
    <w:pPr>
      <w:keepNext/>
      <w:numPr>
        <w:ilvl w:val="2"/>
        <w:numId w:val="5"/>
      </w:numPr>
      <w:tabs>
        <w:tab w:val="clear" w:pos="1645"/>
        <w:tab w:val="num" w:pos="1504"/>
      </w:tabs>
      <w:spacing w:before="120" w:after="120"/>
      <w:ind w:left="1504"/>
      <w:outlineLvl w:val="2"/>
    </w:pPr>
    <w:rPr>
      <w:rFonts w:ascii="Arial Bold" w:hAnsi="Arial Bold"/>
      <w:b/>
      <w:bCs/>
    </w:rPr>
  </w:style>
  <w:style w:type="paragraph" w:styleId="Heading4">
    <w:name w:val="heading 4"/>
    <w:basedOn w:val="BodyText1"/>
    <w:next w:val="Normal"/>
    <w:link w:val="Heading4Char"/>
    <w:qFormat/>
    <w:rsid w:val="00A70A2B"/>
    <w:pPr>
      <w:outlineLvl w:val="3"/>
    </w:pPr>
    <w:rPr>
      <w:b/>
    </w:rPr>
  </w:style>
  <w:style w:type="paragraph" w:styleId="Heading5">
    <w:name w:val="heading 5"/>
    <w:basedOn w:val="Normal"/>
    <w:next w:val="Normal"/>
    <w:qFormat/>
    <w:rsid w:val="00085B0F"/>
    <w:pPr>
      <w:keepNext/>
      <w:tabs>
        <w:tab w:val="num" w:pos="360"/>
        <w:tab w:val="num" w:pos="2803"/>
      </w:tabs>
      <w:spacing w:before="60" w:after="240"/>
      <w:ind w:left="794" w:hanging="794"/>
      <w:outlineLvl w:val="4"/>
    </w:pPr>
    <w:rPr>
      <w:b/>
      <w:bCs/>
      <w:sz w:val="28"/>
    </w:rPr>
  </w:style>
  <w:style w:type="paragraph" w:styleId="Heading6">
    <w:name w:val="heading 6"/>
    <w:basedOn w:val="Heading4"/>
    <w:next w:val="Normal"/>
    <w:qFormat/>
    <w:rsid w:val="009D3B5B"/>
    <w:pPr>
      <w:tabs>
        <w:tab w:val="num" w:pos="1152"/>
        <w:tab w:val="num" w:pos="1209"/>
        <w:tab w:val="num" w:pos="3523"/>
      </w:tabs>
      <w:ind w:left="1151" w:hanging="1151"/>
      <w:outlineLvl w:val="5"/>
    </w:pPr>
  </w:style>
  <w:style w:type="paragraph" w:styleId="Heading7">
    <w:name w:val="heading 7"/>
    <w:basedOn w:val="Heading6"/>
    <w:next w:val="Normal"/>
    <w:qFormat/>
    <w:rsid w:val="008979D8"/>
    <w:pPr>
      <w:keepLines/>
      <w:tabs>
        <w:tab w:val="clear" w:pos="1152"/>
        <w:tab w:val="clear" w:pos="1209"/>
        <w:tab w:val="clear" w:pos="3523"/>
      </w:tabs>
      <w:ind w:left="624" w:firstLine="0"/>
      <w:outlineLvl w:val="6"/>
    </w:pPr>
  </w:style>
  <w:style w:type="paragraph" w:styleId="Heading8">
    <w:name w:val="heading 8"/>
    <w:basedOn w:val="Normal"/>
    <w:next w:val="Normal"/>
    <w:qFormat/>
    <w:rsid w:val="00864CA3"/>
    <w:pPr>
      <w:keepNext/>
      <w:tabs>
        <w:tab w:val="num" w:pos="1209"/>
        <w:tab w:val="num" w:pos="1440"/>
        <w:tab w:val="num" w:pos="4603"/>
      </w:tabs>
      <w:ind w:left="1440" w:hanging="1440"/>
      <w:outlineLvl w:val="7"/>
    </w:pPr>
    <w:rPr>
      <w:b/>
      <w:bCs/>
      <w:sz w:val="28"/>
      <w:szCs w:val="28"/>
    </w:rPr>
  </w:style>
  <w:style w:type="paragraph" w:styleId="Heading9">
    <w:name w:val="heading 9"/>
    <w:basedOn w:val="Normal"/>
    <w:next w:val="Normal"/>
    <w:qFormat/>
    <w:rsid w:val="00864CA3"/>
    <w:pPr>
      <w:keepNext/>
      <w:tabs>
        <w:tab w:val="num" w:pos="1209"/>
        <w:tab w:val="num" w:pos="1584"/>
        <w:tab w:val="num" w:pos="4963"/>
      </w:tabs>
      <w:ind w:left="1584" w:hanging="1584"/>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38B4"/>
    <w:rPr>
      <w:rFonts w:ascii="Tahoma" w:hAnsi="Tahoma" w:cs="Tahoma"/>
      <w:sz w:val="16"/>
      <w:szCs w:val="16"/>
    </w:rPr>
  </w:style>
  <w:style w:type="character" w:styleId="Hyperlink">
    <w:name w:val="Hyperlink"/>
    <w:uiPriority w:val="99"/>
    <w:rsid w:val="00A838B4"/>
    <w:rPr>
      <w:rFonts w:cs="Times New Roman"/>
      <w:color w:val="0000FF"/>
      <w:u w:val="single"/>
    </w:rPr>
  </w:style>
  <w:style w:type="paragraph" w:styleId="Index1">
    <w:name w:val="index 1"/>
    <w:basedOn w:val="Normal"/>
    <w:next w:val="Normal"/>
    <w:autoRedefine/>
    <w:semiHidden/>
    <w:rsid w:val="001B6905"/>
    <w:pPr>
      <w:ind w:left="700"/>
    </w:pPr>
  </w:style>
  <w:style w:type="character" w:styleId="PageNumber">
    <w:name w:val="page number"/>
    <w:rsid w:val="00A838B4"/>
    <w:rPr>
      <w:rFonts w:cs="Times New Roman"/>
    </w:rPr>
  </w:style>
  <w:style w:type="paragraph" w:styleId="TOC2">
    <w:name w:val="toc 2"/>
    <w:basedOn w:val="Normal"/>
    <w:next w:val="Normal"/>
    <w:autoRedefine/>
    <w:uiPriority w:val="39"/>
    <w:qFormat/>
    <w:rsid w:val="00A312FF"/>
    <w:pPr>
      <w:tabs>
        <w:tab w:val="right" w:leader="dot" w:pos="9090"/>
      </w:tabs>
      <w:ind w:left="851" w:hanging="567"/>
    </w:pPr>
    <w:rPr>
      <w:bCs/>
      <w:noProof/>
      <w:szCs w:val="28"/>
      <w:lang w:eastAsia="en-AU"/>
    </w:rPr>
  </w:style>
  <w:style w:type="paragraph" w:styleId="TOC1">
    <w:name w:val="toc 1"/>
    <w:basedOn w:val="Normal"/>
    <w:next w:val="Normal"/>
    <w:autoRedefine/>
    <w:uiPriority w:val="39"/>
    <w:qFormat/>
    <w:rsid w:val="00FD22BC"/>
    <w:pPr>
      <w:tabs>
        <w:tab w:val="left" w:pos="400"/>
        <w:tab w:val="right" w:leader="dot" w:pos="9100"/>
      </w:tabs>
      <w:spacing w:before="120"/>
      <w:ind w:left="284" w:hanging="284"/>
    </w:pPr>
    <w:rPr>
      <w:rFonts w:ascii="Arial Bold" w:hAnsi="Arial Bold"/>
      <w:b/>
      <w:bCs/>
      <w:caps/>
      <w:noProof/>
      <w:szCs w:val="20"/>
    </w:rPr>
  </w:style>
  <w:style w:type="paragraph" w:styleId="TOC3">
    <w:name w:val="toc 3"/>
    <w:basedOn w:val="Normal"/>
    <w:next w:val="Normal"/>
    <w:autoRedefine/>
    <w:uiPriority w:val="39"/>
    <w:qFormat/>
    <w:rsid w:val="00A312FF"/>
    <w:pPr>
      <w:tabs>
        <w:tab w:val="left" w:pos="1000"/>
        <w:tab w:val="right" w:leader="dot" w:pos="9090"/>
      </w:tabs>
      <w:ind w:left="227" w:firstLine="397"/>
    </w:pPr>
    <w:rPr>
      <w:sz w:val="20"/>
      <w:szCs w:val="20"/>
    </w:rPr>
  </w:style>
  <w:style w:type="paragraph" w:styleId="TOC4">
    <w:name w:val="toc 4"/>
    <w:basedOn w:val="Normal"/>
    <w:next w:val="Normal"/>
    <w:autoRedefine/>
    <w:semiHidden/>
    <w:rsid w:val="00A838B4"/>
    <w:pPr>
      <w:ind w:left="440"/>
    </w:pPr>
    <w:rPr>
      <w:sz w:val="20"/>
      <w:szCs w:val="20"/>
    </w:rPr>
  </w:style>
  <w:style w:type="paragraph" w:styleId="TOC5">
    <w:name w:val="toc 5"/>
    <w:basedOn w:val="Normal"/>
    <w:next w:val="Normal"/>
    <w:autoRedefine/>
    <w:semiHidden/>
    <w:rsid w:val="00A838B4"/>
    <w:pPr>
      <w:ind w:left="660"/>
    </w:pPr>
    <w:rPr>
      <w:sz w:val="20"/>
      <w:szCs w:val="20"/>
    </w:rPr>
  </w:style>
  <w:style w:type="paragraph" w:styleId="TOC6">
    <w:name w:val="toc 6"/>
    <w:basedOn w:val="Normal"/>
    <w:next w:val="Normal"/>
    <w:autoRedefine/>
    <w:semiHidden/>
    <w:rsid w:val="00A838B4"/>
    <w:pPr>
      <w:ind w:left="880"/>
    </w:pPr>
    <w:rPr>
      <w:sz w:val="20"/>
      <w:szCs w:val="20"/>
    </w:rPr>
  </w:style>
  <w:style w:type="paragraph" w:styleId="TOC7">
    <w:name w:val="toc 7"/>
    <w:basedOn w:val="Normal"/>
    <w:next w:val="Normal"/>
    <w:autoRedefine/>
    <w:semiHidden/>
    <w:rsid w:val="00A838B4"/>
    <w:pPr>
      <w:ind w:left="1100"/>
    </w:pPr>
    <w:rPr>
      <w:sz w:val="20"/>
      <w:szCs w:val="20"/>
    </w:rPr>
  </w:style>
  <w:style w:type="paragraph" w:styleId="TOC8">
    <w:name w:val="toc 8"/>
    <w:basedOn w:val="Normal"/>
    <w:next w:val="Normal"/>
    <w:autoRedefine/>
    <w:semiHidden/>
    <w:rsid w:val="00A838B4"/>
    <w:pPr>
      <w:ind w:left="1320"/>
    </w:pPr>
    <w:rPr>
      <w:sz w:val="20"/>
      <w:szCs w:val="20"/>
    </w:rPr>
  </w:style>
  <w:style w:type="paragraph" w:styleId="TOC9">
    <w:name w:val="toc 9"/>
    <w:basedOn w:val="Normal"/>
    <w:next w:val="Normal"/>
    <w:autoRedefine/>
    <w:semiHidden/>
    <w:rsid w:val="00A838B4"/>
    <w:pPr>
      <w:ind w:left="1540"/>
    </w:pPr>
    <w:rPr>
      <w:sz w:val="20"/>
      <w:szCs w:val="20"/>
    </w:rPr>
  </w:style>
  <w:style w:type="character" w:styleId="CommentReference">
    <w:name w:val="annotation reference"/>
    <w:semiHidden/>
    <w:rsid w:val="00A838B4"/>
    <w:rPr>
      <w:rFonts w:cs="Times New Roman"/>
      <w:sz w:val="16"/>
      <w:szCs w:val="16"/>
    </w:rPr>
  </w:style>
  <w:style w:type="paragraph" w:styleId="CommentText">
    <w:name w:val="annotation text"/>
    <w:basedOn w:val="Normal"/>
    <w:link w:val="CommentTextChar"/>
    <w:uiPriority w:val="99"/>
    <w:semiHidden/>
    <w:rsid w:val="00A838B4"/>
    <w:rPr>
      <w:sz w:val="20"/>
      <w:szCs w:val="20"/>
    </w:rPr>
  </w:style>
  <w:style w:type="paragraph" w:styleId="CommentSubject">
    <w:name w:val="annotation subject"/>
    <w:basedOn w:val="CommentText"/>
    <w:next w:val="CommentText"/>
    <w:semiHidden/>
    <w:rsid w:val="00A838B4"/>
    <w:rPr>
      <w:b/>
      <w:bCs/>
    </w:rPr>
  </w:style>
  <w:style w:type="paragraph" w:customStyle="1" w:styleId="ListBullet1">
    <w:name w:val="List Bullet 1"/>
    <w:basedOn w:val="ListBullet2"/>
    <w:autoRedefine/>
    <w:rsid w:val="00AC1E25"/>
    <w:pPr>
      <w:tabs>
        <w:tab w:val="clear" w:pos="720"/>
        <w:tab w:val="clear" w:pos="926"/>
        <w:tab w:val="num" w:pos="360"/>
      </w:tabs>
      <w:spacing w:after="240"/>
      <w:ind w:left="357" w:hanging="357"/>
      <w:contextualSpacing/>
    </w:pPr>
    <w:rPr>
      <w:lang w:eastAsia="en-AU"/>
    </w:rPr>
  </w:style>
  <w:style w:type="paragraph" w:styleId="ListBullet2">
    <w:name w:val="List Bullet 2"/>
    <w:basedOn w:val="Normal"/>
    <w:autoRedefine/>
    <w:rsid w:val="00612BEC"/>
    <w:pPr>
      <w:tabs>
        <w:tab w:val="num" w:pos="720"/>
        <w:tab w:val="num" w:pos="926"/>
      </w:tabs>
    </w:pPr>
  </w:style>
  <w:style w:type="paragraph" w:styleId="ListBullet3">
    <w:name w:val="List Bullet 3"/>
    <w:basedOn w:val="Normal"/>
    <w:rsid w:val="00357284"/>
    <w:pPr>
      <w:numPr>
        <w:numId w:val="3"/>
      </w:numPr>
      <w:tabs>
        <w:tab w:val="left" w:pos="4536"/>
      </w:tabs>
      <w:spacing w:after="60"/>
      <w:contextualSpacing/>
    </w:pPr>
  </w:style>
  <w:style w:type="paragraph" w:styleId="ListBullet4">
    <w:name w:val="List Bullet 4"/>
    <w:basedOn w:val="Normal"/>
    <w:link w:val="ListBullet4Char"/>
    <w:rsid w:val="00223B8D"/>
    <w:pPr>
      <w:numPr>
        <w:numId w:val="4"/>
      </w:numPr>
      <w:spacing w:before="60" w:after="60"/>
    </w:pPr>
  </w:style>
  <w:style w:type="paragraph" w:customStyle="1" w:styleId="ListBullet31">
    <w:name w:val="List Bullet 31"/>
    <w:basedOn w:val="Normal"/>
    <w:rsid w:val="00EB3199"/>
    <w:pPr>
      <w:numPr>
        <w:numId w:val="2"/>
      </w:numPr>
    </w:pPr>
  </w:style>
  <w:style w:type="paragraph" w:styleId="FootnoteText">
    <w:name w:val="footnote text"/>
    <w:basedOn w:val="Normal"/>
    <w:semiHidden/>
    <w:rsid w:val="00A838B4"/>
    <w:rPr>
      <w:sz w:val="20"/>
      <w:szCs w:val="20"/>
    </w:rPr>
  </w:style>
  <w:style w:type="character" w:styleId="FootnoteReference">
    <w:name w:val="footnote reference"/>
    <w:semiHidden/>
    <w:rsid w:val="00A838B4"/>
    <w:rPr>
      <w:rFonts w:cs="Times New Roman"/>
      <w:vertAlign w:val="superscript"/>
    </w:rPr>
  </w:style>
  <w:style w:type="paragraph" w:customStyle="1" w:styleId="StrongUnderline">
    <w:name w:val="Strong Underline"/>
    <w:basedOn w:val="Heading4"/>
    <w:qFormat/>
    <w:rsid w:val="00A74C78"/>
  </w:style>
  <w:style w:type="paragraph" w:styleId="DocumentMap">
    <w:name w:val="Document Map"/>
    <w:basedOn w:val="Normal"/>
    <w:semiHidden/>
    <w:rsid w:val="00A838B4"/>
    <w:pPr>
      <w:shd w:val="clear" w:color="auto" w:fill="000080"/>
    </w:pPr>
    <w:rPr>
      <w:rFonts w:ascii="Tahoma" w:hAnsi="Tahoma" w:cs="Tahoma"/>
    </w:rPr>
  </w:style>
  <w:style w:type="character" w:customStyle="1" w:styleId="Heading2Char">
    <w:name w:val="Heading 2 Char"/>
    <w:link w:val="Heading2"/>
    <w:locked/>
    <w:rsid w:val="00AF743C"/>
    <w:rPr>
      <w:rFonts w:ascii="Arial" w:hAnsi="Arial" w:cs="Arial"/>
      <w:b/>
      <w:bCs/>
      <w:sz w:val="26"/>
      <w:szCs w:val="26"/>
      <w:lang w:eastAsia="en-US"/>
    </w:rPr>
  </w:style>
  <w:style w:type="paragraph" w:customStyle="1" w:styleId="HeadingSection">
    <w:name w:val="Heading Section"/>
    <w:basedOn w:val="Heading5"/>
    <w:qFormat/>
    <w:rsid w:val="00A74C78"/>
    <w:pPr>
      <w:ind w:left="0" w:firstLine="0"/>
    </w:pPr>
  </w:style>
  <w:style w:type="paragraph" w:customStyle="1" w:styleId="Bodytext4">
    <w:name w:val="Body text 4"/>
    <w:basedOn w:val="BodyText"/>
    <w:rsid w:val="00765F57"/>
    <w:pPr>
      <w:spacing w:before="120" w:after="120"/>
      <w:ind w:left="567"/>
    </w:pPr>
  </w:style>
  <w:style w:type="character" w:customStyle="1" w:styleId="ListBullet4Char">
    <w:name w:val="List Bullet 4 Char"/>
    <w:link w:val="ListBullet4"/>
    <w:locked/>
    <w:rsid w:val="00223B8D"/>
    <w:rPr>
      <w:rFonts w:ascii="Arial" w:hAnsi="Arial" w:cs="Arial"/>
      <w:sz w:val="22"/>
      <w:szCs w:val="22"/>
      <w:lang w:eastAsia="en-US"/>
    </w:rPr>
  </w:style>
  <w:style w:type="character" w:customStyle="1" w:styleId="Heading4Char">
    <w:name w:val="Heading 4 Char"/>
    <w:link w:val="Heading4"/>
    <w:locked/>
    <w:rsid w:val="00A70A2B"/>
    <w:rPr>
      <w:rFonts w:ascii="Arial" w:hAnsi="Arial" w:cs="Arial"/>
      <w:b/>
      <w:sz w:val="22"/>
      <w:szCs w:val="22"/>
      <w:lang w:val="en-AU" w:eastAsia="en-US" w:bidi="ar-SA"/>
    </w:rPr>
  </w:style>
  <w:style w:type="character" w:styleId="FollowedHyperlink">
    <w:name w:val="FollowedHyperlink"/>
    <w:rsid w:val="000E0316"/>
    <w:rPr>
      <w:rFonts w:cs="Times New Roman"/>
      <w:color w:val="800080"/>
      <w:u w:val="single"/>
    </w:rPr>
  </w:style>
  <w:style w:type="paragraph" w:styleId="Footer">
    <w:name w:val="footer"/>
    <w:basedOn w:val="Normal"/>
    <w:link w:val="FooterChar"/>
    <w:uiPriority w:val="99"/>
    <w:rsid w:val="004C4B7B"/>
    <w:pPr>
      <w:tabs>
        <w:tab w:val="center" w:pos="4153"/>
        <w:tab w:val="right" w:pos="8306"/>
      </w:tabs>
    </w:pPr>
  </w:style>
  <w:style w:type="paragraph" w:styleId="Header">
    <w:name w:val="header"/>
    <w:basedOn w:val="Normal"/>
    <w:rsid w:val="009369F6"/>
    <w:pPr>
      <w:tabs>
        <w:tab w:val="center" w:pos="4153"/>
        <w:tab w:val="right" w:pos="8306"/>
      </w:tabs>
    </w:pPr>
  </w:style>
  <w:style w:type="paragraph" w:styleId="TOCHeading">
    <w:name w:val="TOC Heading"/>
    <w:basedOn w:val="Heading1"/>
    <w:next w:val="Normal"/>
    <w:uiPriority w:val="39"/>
    <w:unhideWhenUsed/>
    <w:qFormat/>
    <w:rsid w:val="00C41CBC"/>
    <w:pPr>
      <w:keepLines/>
      <w:numPr>
        <w:numId w:val="0"/>
      </w:numPr>
      <w:spacing w:before="480" w:after="0" w:line="276" w:lineRule="auto"/>
      <w:outlineLvl w:val="9"/>
    </w:pPr>
    <w:rPr>
      <w:rFonts w:ascii="Cambria" w:eastAsia="MS Gothic" w:hAnsi="Cambria" w:cs="Times New Roman"/>
      <w:color w:val="365F91"/>
      <w:lang w:val="en-US" w:eastAsia="ja-JP"/>
    </w:rPr>
  </w:style>
  <w:style w:type="paragraph" w:customStyle="1" w:styleId="Default">
    <w:name w:val="Default"/>
    <w:rsid w:val="00F67664"/>
    <w:pPr>
      <w:autoSpaceDE w:val="0"/>
      <w:autoSpaceDN w:val="0"/>
      <w:adjustRightInd w:val="0"/>
    </w:pPr>
    <w:rPr>
      <w:rFonts w:ascii="Arial" w:hAnsi="Arial" w:cs="Arial"/>
      <w:color w:val="000000"/>
      <w:sz w:val="24"/>
      <w:szCs w:val="24"/>
    </w:rPr>
  </w:style>
  <w:style w:type="character" w:customStyle="1" w:styleId="Heading3Char">
    <w:name w:val="Heading 3 Char"/>
    <w:link w:val="Heading3"/>
    <w:locked/>
    <w:rsid w:val="00765F57"/>
    <w:rPr>
      <w:rFonts w:ascii="Arial Bold" w:hAnsi="Arial Bold" w:cs="Arial"/>
      <w:b/>
      <w:bCs/>
      <w:sz w:val="22"/>
      <w:szCs w:val="22"/>
      <w:lang w:eastAsia="en-US"/>
    </w:rPr>
  </w:style>
  <w:style w:type="numbering" w:styleId="111111">
    <w:name w:val="Outline List 2"/>
    <w:basedOn w:val="NoList"/>
    <w:rsid w:val="000C1ABB"/>
    <w:pPr>
      <w:numPr>
        <w:numId w:val="1"/>
      </w:numPr>
    </w:pPr>
  </w:style>
  <w:style w:type="paragraph" w:styleId="Revision">
    <w:name w:val="Revision"/>
    <w:hidden/>
    <w:uiPriority w:val="99"/>
    <w:semiHidden/>
    <w:rsid w:val="00272E1E"/>
    <w:rPr>
      <w:rFonts w:ascii="Arial" w:hAnsi="Arial" w:cs="Arial"/>
      <w:sz w:val="22"/>
      <w:szCs w:val="22"/>
      <w:lang w:eastAsia="en-US"/>
    </w:rPr>
  </w:style>
  <w:style w:type="paragraph" w:styleId="Title">
    <w:name w:val="Title"/>
    <w:basedOn w:val="Normal"/>
    <w:next w:val="Normal"/>
    <w:link w:val="TitleChar"/>
    <w:uiPriority w:val="10"/>
    <w:qFormat/>
    <w:rsid w:val="000A4E15"/>
    <w:pPr>
      <w:jc w:val="center"/>
      <w:outlineLvl w:val="0"/>
    </w:pPr>
    <w:rPr>
      <w:rFonts w:ascii="Arial Bold" w:hAnsi="Arial Bold" w:cs="Times New Roman"/>
      <w:b/>
      <w:bCs/>
      <w:sz w:val="40"/>
      <w:szCs w:val="32"/>
    </w:rPr>
  </w:style>
  <w:style w:type="character" w:customStyle="1" w:styleId="TitleChar">
    <w:name w:val="Title Char"/>
    <w:link w:val="Title"/>
    <w:uiPriority w:val="10"/>
    <w:rsid w:val="000A4E15"/>
    <w:rPr>
      <w:rFonts w:ascii="Arial Bold" w:hAnsi="Arial Bold"/>
      <w:b/>
      <w:bCs/>
      <w:sz w:val="40"/>
      <w:szCs w:val="32"/>
      <w:lang w:eastAsia="en-US"/>
    </w:rPr>
  </w:style>
  <w:style w:type="paragraph" w:customStyle="1" w:styleId="Title2">
    <w:name w:val="Title 2"/>
    <w:basedOn w:val="Heading2"/>
    <w:qFormat/>
    <w:rsid w:val="00ED591F"/>
    <w:pPr>
      <w:numPr>
        <w:ilvl w:val="0"/>
        <w:numId w:val="0"/>
      </w:numPr>
      <w:jc w:val="center"/>
    </w:pPr>
    <w:rPr>
      <w:rFonts w:ascii="Arial Bold" w:hAnsi="Arial Bold"/>
      <w:caps/>
      <w:sz w:val="28"/>
    </w:rPr>
  </w:style>
  <w:style w:type="paragraph" w:customStyle="1" w:styleId="Title3">
    <w:name w:val="Title 3"/>
    <w:basedOn w:val="Title2"/>
    <w:qFormat/>
    <w:rsid w:val="00F256EF"/>
    <w:pPr>
      <w:spacing w:before="0" w:after="0"/>
    </w:pPr>
  </w:style>
  <w:style w:type="character" w:styleId="Strong">
    <w:name w:val="Strong"/>
    <w:qFormat/>
    <w:rsid w:val="00AC1E25"/>
    <w:rPr>
      <w:b/>
      <w:bCs/>
    </w:rPr>
  </w:style>
  <w:style w:type="paragraph" w:styleId="ListBullet">
    <w:name w:val="List Bullet"/>
    <w:basedOn w:val="Normal"/>
    <w:rsid w:val="00AC1E25"/>
    <w:pPr>
      <w:numPr>
        <w:numId w:val="6"/>
      </w:numPr>
      <w:tabs>
        <w:tab w:val="clear" w:pos="1070"/>
        <w:tab w:val="num" w:pos="360"/>
      </w:tabs>
      <w:spacing w:after="240"/>
      <w:ind w:left="360"/>
      <w:contextualSpacing/>
    </w:pPr>
  </w:style>
  <w:style w:type="paragraph" w:styleId="BodyText">
    <w:name w:val="Body Text"/>
    <w:basedOn w:val="Normal"/>
    <w:link w:val="BodyTextChar"/>
    <w:rsid w:val="00AC1E25"/>
    <w:pPr>
      <w:spacing w:before="60" w:after="180"/>
    </w:pPr>
  </w:style>
  <w:style w:type="character" w:customStyle="1" w:styleId="BodyTextChar">
    <w:name w:val="Body Text Char"/>
    <w:link w:val="BodyText"/>
    <w:rsid w:val="00AC1E25"/>
    <w:rPr>
      <w:rFonts w:ascii="Arial" w:hAnsi="Arial" w:cs="Arial"/>
      <w:sz w:val="22"/>
      <w:szCs w:val="22"/>
      <w:lang w:eastAsia="en-US"/>
    </w:rPr>
  </w:style>
  <w:style w:type="paragraph" w:customStyle="1" w:styleId="BodyText21">
    <w:name w:val="Body Text 21"/>
    <w:basedOn w:val="Normal"/>
    <w:next w:val="StrongUnderline"/>
    <w:qFormat/>
    <w:rsid w:val="00DD5E7F"/>
    <w:pPr>
      <w:spacing w:after="240"/>
      <w:ind w:left="601"/>
    </w:pPr>
  </w:style>
  <w:style w:type="paragraph" w:customStyle="1" w:styleId="ListBullet10">
    <w:name w:val="List Bullet1"/>
    <w:basedOn w:val="ListBullet"/>
    <w:qFormat/>
    <w:rsid w:val="00A74C78"/>
  </w:style>
  <w:style w:type="paragraph" w:customStyle="1" w:styleId="Title4">
    <w:name w:val="Title 4"/>
    <w:basedOn w:val="Title3"/>
    <w:qFormat/>
    <w:rsid w:val="00552555"/>
    <w:rPr>
      <w:caps w:val="0"/>
      <w:sz w:val="24"/>
    </w:rPr>
  </w:style>
  <w:style w:type="paragraph" w:customStyle="1" w:styleId="Boxed1">
    <w:name w:val="Boxed 1"/>
    <w:basedOn w:val="Normal"/>
    <w:qFormat/>
    <w:rsid w:val="00A402DE"/>
    <w:pPr>
      <w:widowControl w:val="0"/>
      <w:pBdr>
        <w:top w:val="single" w:sz="4" w:space="1" w:color="auto"/>
        <w:left w:val="single" w:sz="4" w:space="4" w:color="auto"/>
        <w:bottom w:val="single" w:sz="4" w:space="1" w:color="auto"/>
        <w:right w:val="single" w:sz="4" w:space="4" w:color="auto"/>
      </w:pBdr>
    </w:pPr>
  </w:style>
  <w:style w:type="paragraph" w:customStyle="1" w:styleId="Table1">
    <w:name w:val="Table 1"/>
    <w:basedOn w:val="Normal"/>
    <w:qFormat/>
    <w:rsid w:val="005E6307"/>
  </w:style>
  <w:style w:type="paragraph" w:customStyle="1" w:styleId="Boxed2">
    <w:name w:val="Boxed 2"/>
    <w:basedOn w:val="Boxed1"/>
    <w:qFormat/>
    <w:rsid w:val="00C80E13"/>
    <w:pPr>
      <w:ind w:left="567"/>
    </w:pPr>
  </w:style>
  <w:style w:type="paragraph" w:customStyle="1" w:styleId="Address">
    <w:name w:val="Address"/>
    <w:basedOn w:val="Normal"/>
    <w:qFormat/>
    <w:rsid w:val="00AC7FCD"/>
    <w:pPr>
      <w:ind w:left="737"/>
    </w:pPr>
    <w:rPr>
      <w:b/>
    </w:rPr>
  </w:style>
  <w:style w:type="paragraph" w:styleId="List">
    <w:name w:val="List"/>
    <w:basedOn w:val="Normal"/>
    <w:rsid w:val="008840A1"/>
    <w:pPr>
      <w:numPr>
        <w:numId w:val="8"/>
      </w:numPr>
      <w:tabs>
        <w:tab w:val="left" w:pos="454"/>
      </w:tabs>
      <w:ind w:left="1588" w:hanging="454"/>
      <w:contextualSpacing/>
    </w:pPr>
  </w:style>
  <w:style w:type="paragraph" w:styleId="List2">
    <w:name w:val="List 2"/>
    <w:basedOn w:val="Normal"/>
    <w:rsid w:val="00D81E8B"/>
    <w:pPr>
      <w:tabs>
        <w:tab w:val="left" w:pos="2835"/>
      </w:tabs>
      <w:spacing w:after="240"/>
      <w:ind w:left="2835" w:hanging="2835"/>
    </w:pPr>
  </w:style>
  <w:style w:type="paragraph" w:customStyle="1" w:styleId="TOCTitle">
    <w:name w:val="TOC Title"/>
    <w:basedOn w:val="Normal"/>
    <w:qFormat/>
    <w:rsid w:val="002D478A"/>
    <w:pPr>
      <w:pBdr>
        <w:bottom w:val="single" w:sz="12" w:space="1" w:color="auto"/>
      </w:pBdr>
    </w:pPr>
    <w:rPr>
      <w:b/>
      <w:smallCaps/>
      <w:sz w:val="28"/>
      <w:szCs w:val="28"/>
    </w:rPr>
  </w:style>
  <w:style w:type="paragraph" w:customStyle="1" w:styleId="Underline">
    <w:name w:val="Underline"/>
    <w:basedOn w:val="Normal"/>
    <w:qFormat/>
    <w:rsid w:val="00E6187B"/>
    <w:pPr>
      <w:ind w:left="601"/>
    </w:pPr>
    <w:rPr>
      <w:u w:val="single"/>
    </w:rPr>
  </w:style>
  <w:style w:type="paragraph" w:customStyle="1" w:styleId="BodyText1">
    <w:name w:val="Body Text1"/>
    <w:basedOn w:val="Normal"/>
    <w:next w:val="BodyText21"/>
    <w:link w:val="BodytextChar0"/>
    <w:qFormat/>
    <w:rsid w:val="00A11F00"/>
    <w:pPr>
      <w:spacing w:after="240"/>
    </w:pPr>
  </w:style>
  <w:style w:type="paragraph" w:customStyle="1" w:styleId="ListBullet21">
    <w:name w:val="List Bullet 21"/>
    <w:basedOn w:val="ListBullet3"/>
    <w:qFormat/>
    <w:rsid w:val="00A74C78"/>
  </w:style>
  <w:style w:type="paragraph" w:customStyle="1" w:styleId="ListBullet41">
    <w:name w:val="List Bullet 41"/>
    <w:basedOn w:val="ListBullet4"/>
    <w:qFormat/>
    <w:rsid w:val="00F256EF"/>
  </w:style>
  <w:style w:type="paragraph" w:customStyle="1" w:styleId="Logo">
    <w:name w:val="Logo"/>
    <w:basedOn w:val="Normal"/>
    <w:rsid w:val="00581CF8"/>
    <w:pPr>
      <w:jc w:val="center"/>
    </w:pPr>
  </w:style>
  <w:style w:type="paragraph" w:customStyle="1" w:styleId="Highlightitalictext">
    <w:name w:val="Highlight italic text"/>
    <w:basedOn w:val="BodyText1"/>
    <w:link w:val="HighlightitalictextChar"/>
    <w:rsid w:val="00581CF8"/>
    <w:rPr>
      <w:i/>
    </w:rPr>
  </w:style>
  <w:style w:type="character" w:customStyle="1" w:styleId="BodytextChar0">
    <w:name w:val="Body text Char"/>
    <w:link w:val="BodyText1"/>
    <w:rsid w:val="00A11F00"/>
    <w:rPr>
      <w:rFonts w:ascii="Arial" w:hAnsi="Arial" w:cs="Arial"/>
      <w:sz w:val="22"/>
      <w:szCs w:val="22"/>
      <w:lang w:eastAsia="en-US"/>
    </w:rPr>
  </w:style>
  <w:style w:type="character" w:customStyle="1" w:styleId="HighlightitalictextChar">
    <w:name w:val="Highlight italic text Char"/>
    <w:link w:val="Highlightitalictext"/>
    <w:rsid w:val="00581CF8"/>
    <w:rPr>
      <w:rFonts w:ascii="Arial" w:hAnsi="Arial" w:cs="Arial"/>
      <w:i/>
      <w:sz w:val="22"/>
      <w:szCs w:val="22"/>
      <w:lang w:val="en-AU" w:eastAsia="en-US" w:bidi="ar-SA"/>
    </w:rPr>
  </w:style>
  <w:style w:type="character" w:customStyle="1" w:styleId="CommentTextChar">
    <w:name w:val="Comment Text Char"/>
    <w:basedOn w:val="DefaultParagraphFont"/>
    <w:link w:val="CommentText"/>
    <w:uiPriority w:val="99"/>
    <w:semiHidden/>
    <w:rsid w:val="00BA59FF"/>
    <w:rPr>
      <w:rFonts w:ascii="Arial" w:hAnsi="Arial" w:cs="Arial"/>
      <w:lang w:eastAsia="en-US"/>
    </w:rPr>
  </w:style>
  <w:style w:type="paragraph" w:styleId="ListParagraph">
    <w:name w:val="List Paragraph"/>
    <w:basedOn w:val="Normal"/>
    <w:uiPriority w:val="34"/>
    <w:qFormat/>
    <w:rsid w:val="008C3AFA"/>
    <w:pPr>
      <w:ind w:left="720"/>
      <w:contextualSpacing/>
    </w:pPr>
  </w:style>
  <w:style w:type="character" w:customStyle="1" w:styleId="Heading1Char">
    <w:name w:val="Heading 1 Char"/>
    <w:basedOn w:val="DefaultParagraphFont"/>
    <w:link w:val="Heading1"/>
    <w:rsid w:val="00A84648"/>
    <w:rPr>
      <w:rFonts w:ascii="Arial" w:eastAsia="Batang" w:hAnsi="Arial" w:cs="Arial"/>
      <w:b/>
      <w:bCs/>
      <w:sz w:val="28"/>
      <w:szCs w:val="28"/>
      <w:lang w:eastAsia="en-US"/>
    </w:rPr>
  </w:style>
  <w:style w:type="character" w:customStyle="1" w:styleId="FooterChar">
    <w:name w:val="Footer Char"/>
    <w:basedOn w:val="DefaultParagraphFont"/>
    <w:link w:val="Footer"/>
    <w:uiPriority w:val="99"/>
    <w:rsid w:val="00D87929"/>
    <w:rPr>
      <w:rFonts w:ascii="Arial" w:hAnsi="Arial" w:cs="Arial"/>
      <w:sz w:val="22"/>
      <w:szCs w:val="22"/>
      <w:lang w:eastAsia="en-US"/>
    </w:rPr>
  </w:style>
  <w:style w:type="paragraph" w:styleId="EndnoteText">
    <w:name w:val="endnote text"/>
    <w:basedOn w:val="Normal"/>
    <w:link w:val="EndnoteTextChar"/>
    <w:rsid w:val="0007139C"/>
    <w:rPr>
      <w:sz w:val="20"/>
      <w:szCs w:val="20"/>
    </w:rPr>
  </w:style>
  <w:style w:type="character" w:customStyle="1" w:styleId="EndnoteTextChar">
    <w:name w:val="Endnote Text Char"/>
    <w:basedOn w:val="DefaultParagraphFont"/>
    <w:link w:val="EndnoteText"/>
    <w:rsid w:val="0007139C"/>
    <w:rPr>
      <w:rFonts w:ascii="Arial" w:hAnsi="Arial" w:cs="Arial"/>
      <w:lang w:eastAsia="en-US"/>
    </w:rPr>
  </w:style>
  <w:style w:type="character" w:styleId="EndnoteReference">
    <w:name w:val="endnote reference"/>
    <w:basedOn w:val="DefaultParagraphFont"/>
    <w:rsid w:val="0007139C"/>
    <w:rPr>
      <w:vertAlign w:val="superscript"/>
    </w:rPr>
  </w:style>
  <w:style w:type="paragraph" w:customStyle="1" w:styleId="Style1">
    <w:name w:val="Style1"/>
    <w:basedOn w:val="Title"/>
    <w:link w:val="Style1Char"/>
    <w:qFormat/>
    <w:rsid w:val="00345AE4"/>
    <w:pPr>
      <w:spacing w:before="480"/>
    </w:pPr>
    <w:rPr>
      <w:noProof/>
      <w:lang w:eastAsia="en-AU"/>
    </w:rPr>
  </w:style>
  <w:style w:type="character" w:customStyle="1" w:styleId="Style1Char">
    <w:name w:val="Style1 Char"/>
    <w:basedOn w:val="TitleChar"/>
    <w:link w:val="Style1"/>
    <w:rsid w:val="00345AE4"/>
    <w:rPr>
      <w:rFonts w:ascii="Arial Bold" w:hAnsi="Arial Bold"/>
      <w:b/>
      <w:bCs/>
      <w:noProof/>
      <w:sz w:val="40"/>
      <w:szCs w:val="32"/>
      <w:lang w:eastAsia="en-US"/>
    </w:rPr>
  </w:style>
  <w:style w:type="character" w:styleId="Emphasis">
    <w:name w:val="Emphasis"/>
    <w:basedOn w:val="DefaultParagraphFont"/>
    <w:uiPriority w:val="20"/>
    <w:qFormat/>
    <w:rsid w:val="00480434"/>
    <w:rPr>
      <w:i/>
      <w:iCs/>
    </w:rPr>
  </w:style>
  <w:style w:type="paragraph" w:styleId="Subtitle">
    <w:name w:val="Subtitle"/>
    <w:basedOn w:val="Normal"/>
    <w:next w:val="Normal"/>
    <w:link w:val="SubtitleChar"/>
    <w:uiPriority w:val="11"/>
    <w:qFormat/>
    <w:rsid w:val="008E71CF"/>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8E71CF"/>
    <w:rPr>
      <w:rFonts w:ascii="Calibri" w:eastAsiaTheme="majorEastAsia" w:hAnsi="Calibri" w:cstheme="majorBidi"/>
      <w:b/>
      <w:iCs/>
      <w:color w:val="522761"/>
      <w:spacing w:val="13"/>
      <w:sz w:val="40"/>
      <w:szCs w:val="24"/>
      <w:lang w:eastAsia="en-US"/>
    </w:rPr>
  </w:style>
  <w:style w:type="character" w:styleId="PlaceholderText">
    <w:name w:val="Placeholder Text"/>
    <w:basedOn w:val="DefaultParagraphFont"/>
    <w:uiPriority w:val="99"/>
    <w:semiHidden/>
    <w:rsid w:val="002D03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39968788">
      <w:bodyDiv w:val="1"/>
      <w:marLeft w:val="0"/>
      <w:marRight w:val="0"/>
      <w:marTop w:val="0"/>
      <w:marBottom w:val="0"/>
      <w:divBdr>
        <w:top w:val="none" w:sz="0" w:space="0" w:color="auto"/>
        <w:left w:val="none" w:sz="0" w:space="0" w:color="auto"/>
        <w:bottom w:val="none" w:sz="0" w:space="0" w:color="auto"/>
        <w:right w:val="none" w:sz="0" w:space="0" w:color="auto"/>
      </w:divBdr>
    </w:div>
    <w:div w:id="802118846">
      <w:bodyDiv w:val="1"/>
      <w:marLeft w:val="0"/>
      <w:marRight w:val="0"/>
      <w:marTop w:val="0"/>
      <w:marBottom w:val="0"/>
      <w:divBdr>
        <w:top w:val="none" w:sz="0" w:space="0" w:color="auto"/>
        <w:left w:val="none" w:sz="0" w:space="0" w:color="auto"/>
        <w:bottom w:val="none" w:sz="0" w:space="0" w:color="auto"/>
        <w:right w:val="none" w:sz="0" w:space="0" w:color="auto"/>
      </w:divBdr>
      <w:divsChild>
        <w:div w:id="21639442">
          <w:marLeft w:val="0"/>
          <w:marRight w:val="0"/>
          <w:marTop w:val="0"/>
          <w:marBottom w:val="0"/>
          <w:divBdr>
            <w:top w:val="none" w:sz="0" w:space="0" w:color="auto"/>
            <w:left w:val="none" w:sz="0" w:space="0" w:color="auto"/>
            <w:bottom w:val="none" w:sz="0" w:space="0" w:color="auto"/>
            <w:right w:val="none" w:sz="0" w:space="0" w:color="auto"/>
          </w:divBdr>
        </w:div>
        <w:div w:id="239877252">
          <w:marLeft w:val="0"/>
          <w:marRight w:val="0"/>
          <w:marTop w:val="0"/>
          <w:marBottom w:val="0"/>
          <w:divBdr>
            <w:top w:val="none" w:sz="0" w:space="0" w:color="auto"/>
            <w:left w:val="none" w:sz="0" w:space="0" w:color="auto"/>
            <w:bottom w:val="none" w:sz="0" w:space="0" w:color="auto"/>
            <w:right w:val="none" w:sz="0" w:space="0" w:color="auto"/>
          </w:divBdr>
          <w:divsChild>
            <w:div w:id="499128296">
              <w:marLeft w:val="0"/>
              <w:marRight w:val="0"/>
              <w:marTop w:val="0"/>
              <w:marBottom w:val="0"/>
              <w:divBdr>
                <w:top w:val="none" w:sz="0" w:space="0" w:color="auto"/>
                <w:left w:val="none" w:sz="0" w:space="0" w:color="auto"/>
                <w:bottom w:val="none" w:sz="0" w:space="0" w:color="auto"/>
                <w:right w:val="none" w:sz="0" w:space="0" w:color="auto"/>
              </w:divBdr>
            </w:div>
            <w:div w:id="791707343">
              <w:marLeft w:val="0"/>
              <w:marRight w:val="0"/>
              <w:marTop w:val="0"/>
              <w:marBottom w:val="0"/>
              <w:divBdr>
                <w:top w:val="none" w:sz="0" w:space="0" w:color="auto"/>
                <w:left w:val="none" w:sz="0" w:space="0" w:color="auto"/>
                <w:bottom w:val="none" w:sz="0" w:space="0" w:color="auto"/>
                <w:right w:val="none" w:sz="0" w:space="0" w:color="auto"/>
              </w:divBdr>
            </w:div>
            <w:div w:id="1134249956">
              <w:marLeft w:val="0"/>
              <w:marRight w:val="0"/>
              <w:marTop w:val="0"/>
              <w:marBottom w:val="0"/>
              <w:divBdr>
                <w:top w:val="none" w:sz="0" w:space="0" w:color="auto"/>
                <w:left w:val="none" w:sz="0" w:space="0" w:color="auto"/>
                <w:bottom w:val="none" w:sz="0" w:space="0" w:color="auto"/>
                <w:right w:val="none" w:sz="0" w:space="0" w:color="auto"/>
              </w:divBdr>
            </w:div>
            <w:div w:id="1855922547">
              <w:marLeft w:val="0"/>
              <w:marRight w:val="0"/>
              <w:marTop w:val="0"/>
              <w:marBottom w:val="0"/>
              <w:divBdr>
                <w:top w:val="none" w:sz="0" w:space="0" w:color="auto"/>
                <w:left w:val="none" w:sz="0" w:space="0" w:color="auto"/>
                <w:bottom w:val="none" w:sz="0" w:space="0" w:color="auto"/>
                <w:right w:val="none" w:sz="0" w:space="0" w:color="auto"/>
              </w:divBdr>
            </w:div>
          </w:divsChild>
        </w:div>
        <w:div w:id="258104305">
          <w:marLeft w:val="0"/>
          <w:marRight w:val="0"/>
          <w:marTop w:val="0"/>
          <w:marBottom w:val="0"/>
          <w:divBdr>
            <w:top w:val="none" w:sz="0" w:space="0" w:color="auto"/>
            <w:left w:val="none" w:sz="0" w:space="0" w:color="auto"/>
            <w:bottom w:val="none" w:sz="0" w:space="0" w:color="auto"/>
            <w:right w:val="none" w:sz="0" w:space="0" w:color="auto"/>
          </w:divBdr>
        </w:div>
        <w:div w:id="294801093">
          <w:marLeft w:val="0"/>
          <w:marRight w:val="0"/>
          <w:marTop w:val="0"/>
          <w:marBottom w:val="0"/>
          <w:divBdr>
            <w:top w:val="none" w:sz="0" w:space="0" w:color="auto"/>
            <w:left w:val="none" w:sz="0" w:space="0" w:color="auto"/>
            <w:bottom w:val="none" w:sz="0" w:space="0" w:color="auto"/>
            <w:right w:val="none" w:sz="0" w:space="0" w:color="auto"/>
          </w:divBdr>
        </w:div>
        <w:div w:id="303125423">
          <w:marLeft w:val="0"/>
          <w:marRight w:val="0"/>
          <w:marTop w:val="0"/>
          <w:marBottom w:val="0"/>
          <w:divBdr>
            <w:top w:val="none" w:sz="0" w:space="0" w:color="auto"/>
            <w:left w:val="none" w:sz="0" w:space="0" w:color="auto"/>
            <w:bottom w:val="none" w:sz="0" w:space="0" w:color="auto"/>
            <w:right w:val="none" w:sz="0" w:space="0" w:color="auto"/>
          </w:divBdr>
        </w:div>
        <w:div w:id="390882046">
          <w:marLeft w:val="0"/>
          <w:marRight w:val="0"/>
          <w:marTop w:val="0"/>
          <w:marBottom w:val="0"/>
          <w:divBdr>
            <w:top w:val="none" w:sz="0" w:space="0" w:color="auto"/>
            <w:left w:val="none" w:sz="0" w:space="0" w:color="auto"/>
            <w:bottom w:val="none" w:sz="0" w:space="0" w:color="auto"/>
            <w:right w:val="none" w:sz="0" w:space="0" w:color="auto"/>
          </w:divBdr>
        </w:div>
        <w:div w:id="412047326">
          <w:marLeft w:val="0"/>
          <w:marRight w:val="0"/>
          <w:marTop w:val="0"/>
          <w:marBottom w:val="0"/>
          <w:divBdr>
            <w:top w:val="none" w:sz="0" w:space="0" w:color="auto"/>
            <w:left w:val="none" w:sz="0" w:space="0" w:color="auto"/>
            <w:bottom w:val="none" w:sz="0" w:space="0" w:color="auto"/>
            <w:right w:val="none" w:sz="0" w:space="0" w:color="auto"/>
          </w:divBdr>
        </w:div>
        <w:div w:id="758066860">
          <w:marLeft w:val="0"/>
          <w:marRight w:val="0"/>
          <w:marTop w:val="0"/>
          <w:marBottom w:val="0"/>
          <w:divBdr>
            <w:top w:val="none" w:sz="0" w:space="0" w:color="auto"/>
            <w:left w:val="none" w:sz="0" w:space="0" w:color="auto"/>
            <w:bottom w:val="none" w:sz="0" w:space="0" w:color="auto"/>
            <w:right w:val="none" w:sz="0" w:space="0" w:color="auto"/>
          </w:divBdr>
        </w:div>
        <w:div w:id="1299265323">
          <w:marLeft w:val="0"/>
          <w:marRight w:val="0"/>
          <w:marTop w:val="0"/>
          <w:marBottom w:val="0"/>
          <w:divBdr>
            <w:top w:val="none" w:sz="0" w:space="0" w:color="auto"/>
            <w:left w:val="none" w:sz="0" w:space="0" w:color="auto"/>
            <w:bottom w:val="none" w:sz="0" w:space="0" w:color="auto"/>
            <w:right w:val="none" w:sz="0" w:space="0" w:color="auto"/>
          </w:divBdr>
        </w:div>
        <w:div w:id="1460148833">
          <w:marLeft w:val="0"/>
          <w:marRight w:val="0"/>
          <w:marTop w:val="0"/>
          <w:marBottom w:val="0"/>
          <w:divBdr>
            <w:top w:val="none" w:sz="0" w:space="0" w:color="auto"/>
            <w:left w:val="none" w:sz="0" w:space="0" w:color="auto"/>
            <w:bottom w:val="none" w:sz="0" w:space="0" w:color="auto"/>
            <w:right w:val="none" w:sz="0" w:space="0" w:color="auto"/>
          </w:divBdr>
        </w:div>
        <w:div w:id="1806656686">
          <w:marLeft w:val="0"/>
          <w:marRight w:val="0"/>
          <w:marTop w:val="0"/>
          <w:marBottom w:val="0"/>
          <w:divBdr>
            <w:top w:val="none" w:sz="0" w:space="0" w:color="auto"/>
            <w:left w:val="none" w:sz="0" w:space="0" w:color="auto"/>
            <w:bottom w:val="none" w:sz="0" w:space="0" w:color="auto"/>
            <w:right w:val="none" w:sz="0" w:space="0" w:color="auto"/>
          </w:divBdr>
        </w:div>
        <w:div w:id="1834838581">
          <w:marLeft w:val="0"/>
          <w:marRight w:val="0"/>
          <w:marTop w:val="0"/>
          <w:marBottom w:val="0"/>
          <w:divBdr>
            <w:top w:val="none" w:sz="0" w:space="0" w:color="auto"/>
            <w:left w:val="none" w:sz="0" w:space="0" w:color="auto"/>
            <w:bottom w:val="none" w:sz="0" w:space="0" w:color="auto"/>
            <w:right w:val="none" w:sz="0" w:space="0" w:color="auto"/>
          </w:divBdr>
        </w:div>
        <w:div w:id="1899824703">
          <w:marLeft w:val="0"/>
          <w:marRight w:val="0"/>
          <w:marTop w:val="0"/>
          <w:marBottom w:val="0"/>
          <w:divBdr>
            <w:top w:val="none" w:sz="0" w:space="0" w:color="auto"/>
            <w:left w:val="none" w:sz="0" w:space="0" w:color="auto"/>
            <w:bottom w:val="none" w:sz="0" w:space="0" w:color="auto"/>
            <w:right w:val="none" w:sz="0" w:space="0" w:color="auto"/>
          </w:divBdr>
        </w:div>
      </w:divsChild>
    </w:div>
    <w:div w:id="848639434">
      <w:bodyDiv w:val="1"/>
      <w:marLeft w:val="0"/>
      <w:marRight w:val="0"/>
      <w:marTop w:val="0"/>
      <w:marBottom w:val="0"/>
      <w:divBdr>
        <w:top w:val="none" w:sz="0" w:space="0" w:color="auto"/>
        <w:left w:val="none" w:sz="0" w:space="0" w:color="auto"/>
        <w:bottom w:val="none" w:sz="0" w:space="0" w:color="auto"/>
        <w:right w:val="none" w:sz="0" w:space="0" w:color="auto"/>
      </w:divBdr>
    </w:div>
    <w:div w:id="858279268">
      <w:bodyDiv w:val="1"/>
      <w:marLeft w:val="0"/>
      <w:marRight w:val="0"/>
      <w:marTop w:val="0"/>
      <w:marBottom w:val="0"/>
      <w:divBdr>
        <w:top w:val="none" w:sz="0" w:space="0" w:color="auto"/>
        <w:left w:val="none" w:sz="0" w:space="0" w:color="auto"/>
        <w:bottom w:val="none" w:sz="0" w:space="0" w:color="auto"/>
        <w:right w:val="none" w:sz="0" w:space="0" w:color="auto"/>
      </w:divBdr>
    </w:div>
    <w:div w:id="1236670282">
      <w:bodyDiv w:val="1"/>
      <w:marLeft w:val="0"/>
      <w:marRight w:val="0"/>
      <w:marTop w:val="0"/>
      <w:marBottom w:val="0"/>
      <w:divBdr>
        <w:top w:val="none" w:sz="0" w:space="0" w:color="auto"/>
        <w:left w:val="none" w:sz="0" w:space="0" w:color="auto"/>
        <w:bottom w:val="none" w:sz="0" w:space="0" w:color="auto"/>
        <w:right w:val="none" w:sz="0" w:space="0" w:color="auto"/>
      </w:divBdr>
    </w:div>
    <w:div w:id="1401635745">
      <w:bodyDiv w:val="1"/>
      <w:marLeft w:val="0"/>
      <w:marRight w:val="0"/>
      <w:marTop w:val="0"/>
      <w:marBottom w:val="0"/>
      <w:divBdr>
        <w:top w:val="none" w:sz="0" w:space="0" w:color="auto"/>
        <w:left w:val="none" w:sz="0" w:space="0" w:color="auto"/>
        <w:bottom w:val="none" w:sz="0" w:space="0" w:color="auto"/>
        <w:right w:val="none" w:sz="0" w:space="0" w:color="auto"/>
      </w:divBdr>
    </w:div>
    <w:div w:id="1819489627">
      <w:bodyDiv w:val="1"/>
      <w:marLeft w:val="0"/>
      <w:marRight w:val="0"/>
      <w:marTop w:val="0"/>
      <w:marBottom w:val="0"/>
      <w:divBdr>
        <w:top w:val="none" w:sz="0" w:space="0" w:color="auto"/>
        <w:left w:val="none" w:sz="0" w:space="0" w:color="auto"/>
        <w:bottom w:val="none" w:sz="0" w:space="0" w:color="auto"/>
        <w:right w:val="none" w:sz="0" w:space="0" w:color="auto"/>
      </w:divBdr>
    </w:div>
    <w:div w:id="1871992892">
      <w:bodyDiv w:val="1"/>
      <w:marLeft w:val="0"/>
      <w:marRight w:val="0"/>
      <w:marTop w:val="0"/>
      <w:marBottom w:val="0"/>
      <w:divBdr>
        <w:top w:val="none" w:sz="0" w:space="0" w:color="auto"/>
        <w:left w:val="none" w:sz="0" w:space="0" w:color="auto"/>
        <w:bottom w:val="none" w:sz="0" w:space="0" w:color="auto"/>
        <w:right w:val="none" w:sz="0" w:space="0" w:color="auto"/>
      </w:divBdr>
      <w:divsChild>
        <w:div w:id="890966672">
          <w:marLeft w:val="274"/>
          <w:marRight w:val="0"/>
          <w:marTop w:val="0"/>
          <w:marBottom w:val="0"/>
          <w:divBdr>
            <w:top w:val="none" w:sz="0" w:space="0" w:color="auto"/>
            <w:left w:val="none" w:sz="0" w:space="0" w:color="auto"/>
            <w:bottom w:val="none" w:sz="0" w:space="0" w:color="auto"/>
            <w:right w:val="none" w:sz="0" w:space="0" w:color="auto"/>
          </w:divBdr>
        </w:div>
        <w:div w:id="377097543">
          <w:marLeft w:val="274"/>
          <w:marRight w:val="0"/>
          <w:marTop w:val="0"/>
          <w:marBottom w:val="0"/>
          <w:divBdr>
            <w:top w:val="none" w:sz="0" w:space="0" w:color="auto"/>
            <w:left w:val="none" w:sz="0" w:space="0" w:color="auto"/>
            <w:bottom w:val="none" w:sz="0" w:space="0" w:color="auto"/>
            <w:right w:val="none" w:sz="0" w:space="0" w:color="auto"/>
          </w:divBdr>
        </w:div>
        <w:div w:id="1838498697">
          <w:marLeft w:val="274"/>
          <w:marRight w:val="0"/>
          <w:marTop w:val="0"/>
          <w:marBottom w:val="0"/>
          <w:divBdr>
            <w:top w:val="none" w:sz="0" w:space="0" w:color="auto"/>
            <w:left w:val="none" w:sz="0" w:space="0" w:color="auto"/>
            <w:bottom w:val="none" w:sz="0" w:space="0" w:color="auto"/>
            <w:right w:val="none" w:sz="0" w:space="0" w:color="auto"/>
          </w:divBdr>
        </w:div>
      </w:divsChild>
    </w:div>
    <w:div w:id="1906644617">
      <w:bodyDiv w:val="1"/>
      <w:marLeft w:val="0"/>
      <w:marRight w:val="0"/>
      <w:marTop w:val="0"/>
      <w:marBottom w:val="0"/>
      <w:divBdr>
        <w:top w:val="none" w:sz="0" w:space="0" w:color="auto"/>
        <w:left w:val="none" w:sz="0" w:space="0" w:color="auto"/>
        <w:bottom w:val="none" w:sz="0" w:space="0" w:color="auto"/>
        <w:right w:val="none" w:sz="0" w:space="0" w:color="auto"/>
      </w:divBdr>
    </w:div>
    <w:div w:id="20804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education.gov.au/australian-competitive-grants-register" TargetMode="External"/><Relationship Id="rId3" Type="http://schemas.openxmlformats.org/officeDocument/2006/relationships/styles" Target="styles.xml"/><Relationship Id="rId21" Type="http://schemas.openxmlformats.org/officeDocument/2006/relationships/hyperlink" Target="mailto:RBGrants@education.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ucation.gov.au/higher-education-research-data-colle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RBGrants@education.gov.au" TargetMode="External"/><Relationship Id="rId28"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hyperlink" Target="http://www.education.gov.au/research-block-grants" TargetMode="Externa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www.education.gov.au/higher-education-research-data-collection"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24"/>
    <w:rsid w:val="00450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024"/>
    <w:rPr>
      <w:color w:val="808080"/>
    </w:rPr>
  </w:style>
  <w:style w:type="paragraph" w:customStyle="1" w:styleId="5C0FC7F8B4664913971143BD3C01171F">
    <w:name w:val="5C0FC7F8B4664913971143BD3C01171F"/>
    <w:rsid w:val="00450024"/>
  </w:style>
  <w:style w:type="paragraph" w:customStyle="1" w:styleId="FA0E25974A0D4F44BAA75772B68AFE86">
    <w:name w:val="FA0E25974A0D4F44BAA75772B68AFE86"/>
    <w:rsid w:val="004500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024"/>
    <w:rPr>
      <w:color w:val="808080"/>
    </w:rPr>
  </w:style>
  <w:style w:type="paragraph" w:customStyle="1" w:styleId="5C0FC7F8B4664913971143BD3C01171F">
    <w:name w:val="5C0FC7F8B4664913971143BD3C01171F"/>
    <w:rsid w:val="00450024"/>
  </w:style>
  <w:style w:type="paragraph" w:customStyle="1" w:styleId="FA0E25974A0D4F44BAA75772B68AFE86">
    <w:name w:val="FA0E25974A0D4F44BAA75772B68AFE86"/>
    <w:rsid w:val="00450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7396E-7718-4B02-836F-48A90ECF9F03}"/>
</file>

<file path=customXml/itemProps2.xml><?xml version="1.0" encoding="utf-8"?>
<ds:datastoreItem xmlns:ds="http://schemas.openxmlformats.org/officeDocument/2006/customXml" ds:itemID="{14ACCBC9-C401-4767-82EF-1B459DB0BE24}"/>
</file>

<file path=customXml/itemProps3.xml><?xml version="1.0" encoding="utf-8"?>
<ds:datastoreItem xmlns:ds="http://schemas.openxmlformats.org/officeDocument/2006/customXml" ds:itemID="{D913CB73-2051-41C1-B744-82892430C423}"/>
</file>

<file path=customXml/itemProps4.xml><?xml version="1.0" encoding="utf-8"?>
<ds:datastoreItem xmlns:ds="http://schemas.openxmlformats.org/officeDocument/2006/customXml" ds:itemID="{FEBE8BCF-58FF-4DE8-A6C8-D53DFE82FCCF}"/>
</file>

<file path=docProps/app.xml><?xml version="1.0" encoding="utf-8"?>
<Properties xmlns="http://schemas.openxmlformats.org/officeDocument/2006/extended-properties" xmlns:vt="http://schemas.openxmlformats.org/officeDocument/2006/docPropsVTypes">
  <Template>4DB5C3C5.dotm</Template>
  <TotalTime>0</TotalTime>
  <Pages>21</Pages>
  <Words>6528</Words>
  <Characters>39247</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45684</CharactersWithSpaces>
  <SharedDoc>false</SharedDoc>
  <HLinks>
    <vt:vector size="618" baseType="variant">
      <vt:variant>
        <vt:i4>1441849</vt:i4>
      </vt:variant>
      <vt:variant>
        <vt:i4>498</vt:i4>
      </vt:variant>
      <vt:variant>
        <vt:i4>0</vt:i4>
      </vt:variant>
      <vt:variant>
        <vt:i4>5</vt:i4>
      </vt:variant>
      <vt:variant>
        <vt:lpwstr/>
      </vt:variant>
      <vt:variant>
        <vt:lpwstr>_Toc168817181</vt:lpwstr>
      </vt:variant>
      <vt:variant>
        <vt:i4>1441849</vt:i4>
      </vt:variant>
      <vt:variant>
        <vt:i4>492</vt:i4>
      </vt:variant>
      <vt:variant>
        <vt:i4>0</vt:i4>
      </vt:variant>
      <vt:variant>
        <vt:i4>5</vt:i4>
      </vt:variant>
      <vt:variant>
        <vt:lpwstr/>
      </vt:variant>
      <vt:variant>
        <vt:lpwstr>_Toc168817181</vt:lpwstr>
      </vt:variant>
      <vt:variant>
        <vt:i4>1441842</vt:i4>
      </vt:variant>
      <vt:variant>
        <vt:i4>486</vt:i4>
      </vt:variant>
      <vt:variant>
        <vt:i4>0</vt:i4>
      </vt:variant>
      <vt:variant>
        <vt:i4>5</vt:i4>
      </vt:variant>
      <vt:variant>
        <vt:lpwstr/>
      </vt:variant>
      <vt:variant>
        <vt:lpwstr>_APPENDIX_D_-</vt:lpwstr>
      </vt:variant>
      <vt:variant>
        <vt:i4>1441849</vt:i4>
      </vt:variant>
      <vt:variant>
        <vt:i4>477</vt:i4>
      </vt:variant>
      <vt:variant>
        <vt:i4>0</vt:i4>
      </vt:variant>
      <vt:variant>
        <vt:i4>5</vt:i4>
      </vt:variant>
      <vt:variant>
        <vt:lpwstr/>
      </vt:variant>
      <vt:variant>
        <vt:lpwstr>_Toc168817181</vt:lpwstr>
      </vt:variant>
      <vt:variant>
        <vt:i4>1441849</vt:i4>
      </vt:variant>
      <vt:variant>
        <vt:i4>465</vt:i4>
      </vt:variant>
      <vt:variant>
        <vt:i4>0</vt:i4>
      </vt:variant>
      <vt:variant>
        <vt:i4>5</vt:i4>
      </vt:variant>
      <vt:variant>
        <vt:lpwstr/>
      </vt:variant>
      <vt:variant>
        <vt:lpwstr>_Toc168817181</vt:lpwstr>
      </vt:variant>
      <vt:variant>
        <vt:i4>3473474</vt:i4>
      </vt:variant>
      <vt:variant>
        <vt:i4>462</vt:i4>
      </vt:variant>
      <vt:variant>
        <vt:i4>0</vt:i4>
      </vt:variant>
      <vt:variant>
        <vt:i4>5</vt:i4>
      </vt:variant>
      <vt:variant>
        <vt:lpwstr>mailto:RBGrants@innovation.gov.au</vt:lpwstr>
      </vt:variant>
      <vt:variant>
        <vt:lpwstr/>
      </vt:variant>
      <vt:variant>
        <vt:i4>4063320</vt:i4>
      </vt:variant>
      <vt:variant>
        <vt:i4>459</vt:i4>
      </vt:variant>
      <vt:variant>
        <vt:i4>0</vt:i4>
      </vt:variant>
      <vt:variant>
        <vt:i4>5</vt:i4>
      </vt:variant>
      <vt:variant>
        <vt:lpwstr/>
      </vt:variant>
      <vt:variant>
        <vt:lpwstr>_9.6_Peer_review</vt:lpwstr>
      </vt:variant>
      <vt:variant>
        <vt:i4>4063320</vt:i4>
      </vt:variant>
      <vt:variant>
        <vt:i4>456</vt:i4>
      </vt:variant>
      <vt:variant>
        <vt:i4>0</vt:i4>
      </vt:variant>
      <vt:variant>
        <vt:i4>5</vt:i4>
      </vt:variant>
      <vt:variant>
        <vt:lpwstr/>
      </vt:variant>
      <vt:variant>
        <vt:lpwstr>_9.6_Peer_review</vt:lpwstr>
      </vt:variant>
      <vt:variant>
        <vt:i4>1441845</vt:i4>
      </vt:variant>
      <vt:variant>
        <vt:i4>447</vt:i4>
      </vt:variant>
      <vt:variant>
        <vt:i4>0</vt:i4>
      </vt:variant>
      <vt:variant>
        <vt:i4>5</vt:i4>
      </vt:variant>
      <vt:variant>
        <vt:lpwstr/>
      </vt:variant>
      <vt:variant>
        <vt:lpwstr>_APPENDIX_C_-</vt:lpwstr>
      </vt:variant>
      <vt:variant>
        <vt:i4>4784214</vt:i4>
      </vt:variant>
      <vt:variant>
        <vt:i4>441</vt:i4>
      </vt:variant>
      <vt:variant>
        <vt:i4>0</vt:i4>
      </vt:variant>
      <vt:variant>
        <vt:i4>5</vt:i4>
      </vt:variant>
      <vt:variant>
        <vt:lpwstr/>
      </vt:variant>
      <vt:variant>
        <vt:lpwstr>_APPENDIX_C</vt:lpwstr>
      </vt:variant>
      <vt:variant>
        <vt:i4>4784159</vt:i4>
      </vt:variant>
      <vt:variant>
        <vt:i4>438</vt:i4>
      </vt:variant>
      <vt:variant>
        <vt:i4>0</vt:i4>
      </vt:variant>
      <vt:variant>
        <vt:i4>5</vt:i4>
      </vt:variant>
      <vt:variant>
        <vt:lpwstr/>
      </vt:variant>
      <vt:variant>
        <vt:lpwstr>_APPENDIX_D_-_</vt:lpwstr>
      </vt:variant>
      <vt:variant>
        <vt:i4>4063320</vt:i4>
      </vt:variant>
      <vt:variant>
        <vt:i4>435</vt:i4>
      </vt:variant>
      <vt:variant>
        <vt:i4>0</vt:i4>
      </vt:variant>
      <vt:variant>
        <vt:i4>5</vt:i4>
      </vt:variant>
      <vt:variant>
        <vt:lpwstr/>
      </vt:variant>
      <vt:variant>
        <vt:lpwstr>_9.6_Peer_review</vt:lpwstr>
      </vt:variant>
      <vt:variant>
        <vt:i4>589824</vt:i4>
      </vt:variant>
      <vt:variant>
        <vt:i4>432</vt:i4>
      </vt:variant>
      <vt:variant>
        <vt:i4>0</vt:i4>
      </vt:variant>
      <vt:variant>
        <vt:i4>5</vt:i4>
      </vt:variant>
      <vt:variant>
        <vt:lpwstr/>
      </vt:variant>
      <vt:variant>
        <vt:lpwstr>_General_requirements</vt:lpwstr>
      </vt:variant>
      <vt:variant>
        <vt:i4>4063320</vt:i4>
      </vt:variant>
      <vt:variant>
        <vt:i4>429</vt:i4>
      </vt:variant>
      <vt:variant>
        <vt:i4>0</vt:i4>
      </vt:variant>
      <vt:variant>
        <vt:i4>5</vt:i4>
      </vt:variant>
      <vt:variant>
        <vt:lpwstr/>
      </vt:variant>
      <vt:variant>
        <vt:lpwstr>_9.6_Peer_review</vt:lpwstr>
      </vt:variant>
      <vt:variant>
        <vt:i4>4784159</vt:i4>
      </vt:variant>
      <vt:variant>
        <vt:i4>426</vt:i4>
      </vt:variant>
      <vt:variant>
        <vt:i4>0</vt:i4>
      </vt:variant>
      <vt:variant>
        <vt:i4>5</vt:i4>
      </vt:variant>
      <vt:variant>
        <vt:lpwstr/>
      </vt:variant>
      <vt:variant>
        <vt:lpwstr>_APPENDIX_D_-_</vt:lpwstr>
      </vt:variant>
      <vt:variant>
        <vt:i4>589824</vt:i4>
      </vt:variant>
      <vt:variant>
        <vt:i4>423</vt:i4>
      </vt:variant>
      <vt:variant>
        <vt:i4>0</vt:i4>
      </vt:variant>
      <vt:variant>
        <vt:i4>5</vt:i4>
      </vt:variant>
      <vt:variant>
        <vt:lpwstr/>
      </vt:variant>
      <vt:variant>
        <vt:lpwstr>_General_requirements</vt:lpwstr>
      </vt:variant>
      <vt:variant>
        <vt:i4>65649</vt:i4>
      </vt:variant>
      <vt:variant>
        <vt:i4>420</vt:i4>
      </vt:variant>
      <vt:variant>
        <vt:i4>0</vt:i4>
      </vt:variant>
      <vt:variant>
        <vt:i4>5</vt:i4>
      </vt:variant>
      <vt:variant>
        <vt:lpwstr/>
      </vt:variant>
      <vt:variant>
        <vt:lpwstr>_9.1_General_requirements</vt:lpwstr>
      </vt:variant>
      <vt:variant>
        <vt:i4>1769530</vt:i4>
      </vt:variant>
      <vt:variant>
        <vt:i4>417</vt:i4>
      </vt:variant>
      <vt:variant>
        <vt:i4>0</vt:i4>
      </vt:variant>
      <vt:variant>
        <vt:i4>5</vt:i4>
      </vt:variant>
      <vt:variant>
        <vt:lpwstr/>
      </vt:variant>
      <vt:variant>
        <vt:lpwstr>_Toc168817257</vt:lpwstr>
      </vt:variant>
      <vt:variant>
        <vt:i4>4784159</vt:i4>
      </vt:variant>
      <vt:variant>
        <vt:i4>414</vt:i4>
      </vt:variant>
      <vt:variant>
        <vt:i4>0</vt:i4>
      </vt:variant>
      <vt:variant>
        <vt:i4>5</vt:i4>
      </vt:variant>
      <vt:variant>
        <vt:lpwstr/>
      </vt:variant>
      <vt:variant>
        <vt:lpwstr>_APPENDIX_D_-_</vt:lpwstr>
      </vt:variant>
      <vt:variant>
        <vt:i4>3539038</vt:i4>
      </vt:variant>
      <vt:variant>
        <vt:i4>411</vt:i4>
      </vt:variant>
      <vt:variant>
        <vt:i4>0</vt:i4>
      </vt:variant>
      <vt:variant>
        <vt:i4>5</vt:i4>
      </vt:variant>
      <vt:variant>
        <vt:lpwstr/>
      </vt:variant>
      <vt:variant>
        <vt:lpwstr>_9.5_Apportioning_authors</vt:lpwstr>
      </vt:variant>
      <vt:variant>
        <vt:i4>1769530</vt:i4>
      </vt:variant>
      <vt:variant>
        <vt:i4>408</vt:i4>
      </vt:variant>
      <vt:variant>
        <vt:i4>0</vt:i4>
      </vt:variant>
      <vt:variant>
        <vt:i4>5</vt:i4>
      </vt:variant>
      <vt:variant>
        <vt:lpwstr/>
      </vt:variant>
      <vt:variant>
        <vt:lpwstr>_Toc168817252</vt:lpwstr>
      </vt:variant>
      <vt:variant>
        <vt:i4>131185</vt:i4>
      </vt:variant>
      <vt:variant>
        <vt:i4>405</vt:i4>
      </vt:variant>
      <vt:variant>
        <vt:i4>0</vt:i4>
      </vt:variant>
      <vt:variant>
        <vt:i4>5</vt:i4>
      </vt:variant>
      <vt:variant>
        <vt:lpwstr/>
      </vt:variant>
      <vt:variant>
        <vt:lpwstr>_8.5_Breakdown_by</vt:lpwstr>
      </vt:variant>
      <vt:variant>
        <vt:i4>5111852</vt:i4>
      </vt:variant>
      <vt:variant>
        <vt:i4>402</vt:i4>
      </vt:variant>
      <vt:variant>
        <vt:i4>0</vt:i4>
      </vt:variant>
      <vt:variant>
        <vt:i4>5</vt:i4>
      </vt:variant>
      <vt:variant>
        <vt:lpwstr/>
      </vt:variant>
      <vt:variant>
        <vt:lpwstr>_8.2_Arrangements_applying</vt:lpwstr>
      </vt:variant>
      <vt:variant>
        <vt:i4>196653</vt:i4>
      </vt:variant>
      <vt:variant>
        <vt:i4>399</vt:i4>
      </vt:variant>
      <vt:variant>
        <vt:i4>0</vt:i4>
      </vt:variant>
      <vt:variant>
        <vt:i4>5</vt:i4>
      </vt:variant>
      <vt:variant>
        <vt:lpwstr/>
      </vt:variant>
      <vt:variant>
        <vt:lpwstr>_Research</vt:lpwstr>
      </vt:variant>
      <vt:variant>
        <vt:i4>4653089</vt:i4>
      </vt:variant>
      <vt:variant>
        <vt:i4>396</vt:i4>
      </vt:variant>
      <vt:variant>
        <vt:i4>0</vt:i4>
      </vt:variant>
      <vt:variant>
        <vt:i4>5</vt:i4>
      </vt:variant>
      <vt:variant>
        <vt:lpwstr/>
      </vt:variant>
      <vt:variant>
        <vt:lpwstr>_8.3_Eligible_research</vt:lpwstr>
      </vt:variant>
      <vt:variant>
        <vt:i4>131185</vt:i4>
      </vt:variant>
      <vt:variant>
        <vt:i4>393</vt:i4>
      </vt:variant>
      <vt:variant>
        <vt:i4>0</vt:i4>
      </vt:variant>
      <vt:variant>
        <vt:i4>5</vt:i4>
      </vt:variant>
      <vt:variant>
        <vt:lpwstr/>
      </vt:variant>
      <vt:variant>
        <vt:lpwstr>_8.5_Breakdown_by</vt:lpwstr>
      </vt:variant>
      <vt:variant>
        <vt:i4>2031674</vt:i4>
      </vt:variant>
      <vt:variant>
        <vt:i4>390</vt:i4>
      </vt:variant>
      <vt:variant>
        <vt:i4>0</vt:i4>
      </vt:variant>
      <vt:variant>
        <vt:i4>5</vt:i4>
      </vt:variant>
      <vt:variant>
        <vt:lpwstr/>
      </vt:variant>
      <vt:variant>
        <vt:lpwstr>_Toc168817213</vt:lpwstr>
      </vt:variant>
      <vt:variant>
        <vt:i4>5111819</vt:i4>
      </vt:variant>
      <vt:variant>
        <vt:i4>387</vt:i4>
      </vt:variant>
      <vt:variant>
        <vt:i4>0</vt:i4>
      </vt:variant>
      <vt:variant>
        <vt:i4>5</vt:i4>
      </vt:variant>
      <vt:variant>
        <vt:lpwstr>http://www.innovation.gov.au/research/ResearchBlockGrants/Pages/AustralianCompetitiveGrantsRegister.aspx</vt:lpwstr>
      </vt:variant>
      <vt:variant>
        <vt:lpwstr/>
      </vt:variant>
      <vt:variant>
        <vt:i4>5701665</vt:i4>
      </vt:variant>
      <vt:variant>
        <vt:i4>384</vt:i4>
      </vt:variant>
      <vt:variant>
        <vt:i4>0</vt:i4>
      </vt:variant>
      <vt:variant>
        <vt:i4>5</vt:i4>
      </vt:variant>
      <vt:variant>
        <vt:lpwstr/>
      </vt:variant>
      <vt:variant>
        <vt:lpwstr>_7.4.3_Category_3:</vt:lpwstr>
      </vt:variant>
      <vt:variant>
        <vt:i4>5636128</vt:i4>
      </vt:variant>
      <vt:variant>
        <vt:i4>381</vt:i4>
      </vt:variant>
      <vt:variant>
        <vt:i4>0</vt:i4>
      </vt:variant>
      <vt:variant>
        <vt:i4>5</vt:i4>
      </vt:variant>
      <vt:variant>
        <vt:lpwstr/>
      </vt:variant>
      <vt:variant>
        <vt:lpwstr>_7.4.2_Category_2:</vt:lpwstr>
      </vt:variant>
      <vt:variant>
        <vt:i4>1966138</vt:i4>
      </vt:variant>
      <vt:variant>
        <vt:i4>378</vt:i4>
      </vt:variant>
      <vt:variant>
        <vt:i4>0</vt:i4>
      </vt:variant>
      <vt:variant>
        <vt:i4>5</vt:i4>
      </vt:variant>
      <vt:variant>
        <vt:lpwstr/>
      </vt:variant>
      <vt:variant>
        <vt:lpwstr>_Toc168817209</vt:lpwstr>
      </vt:variant>
      <vt:variant>
        <vt:i4>1638457</vt:i4>
      </vt:variant>
      <vt:variant>
        <vt:i4>375</vt:i4>
      </vt:variant>
      <vt:variant>
        <vt:i4>0</vt:i4>
      </vt:variant>
      <vt:variant>
        <vt:i4>5</vt:i4>
      </vt:variant>
      <vt:variant>
        <vt:lpwstr/>
      </vt:variant>
      <vt:variant>
        <vt:lpwstr>_Toc168817177</vt:lpwstr>
      </vt:variant>
      <vt:variant>
        <vt:i4>7405606</vt:i4>
      </vt:variant>
      <vt:variant>
        <vt:i4>372</vt:i4>
      </vt:variant>
      <vt:variant>
        <vt:i4>0</vt:i4>
      </vt:variant>
      <vt:variant>
        <vt:i4>5</vt:i4>
      </vt:variant>
      <vt:variant>
        <vt:lpwstr/>
      </vt:variant>
      <vt:variant>
        <vt:lpwstr>_7.6_Transfers</vt:lpwstr>
      </vt:variant>
      <vt:variant>
        <vt:i4>2621527</vt:i4>
      </vt:variant>
      <vt:variant>
        <vt:i4>369</vt:i4>
      </vt:variant>
      <vt:variant>
        <vt:i4>0</vt:i4>
      </vt:variant>
      <vt:variant>
        <vt:i4>5</vt:i4>
      </vt:variant>
      <vt:variant>
        <vt:lpwstr/>
      </vt:variant>
      <vt:variant>
        <vt:lpwstr>_7.5_Income_Received</vt:lpwstr>
      </vt:variant>
      <vt:variant>
        <vt:i4>1966138</vt:i4>
      </vt:variant>
      <vt:variant>
        <vt:i4>366</vt:i4>
      </vt:variant>
      <vt:variant>
        <vt:i4>0</vt:i4>
      </vt:variant>
      <vt:variant>
        <vt:i4>5</vt:i4>
      </vt:variant>
      <vt:variant>
        <vt:lpwstr/>
      </vt:variant>
      <vt:variant>
        <vt:lpwstr>_Toc168817207</vt:lpwstr>
      </vt:variant>
      <vt:variant>
        <vt:i4>1966138</vt:i4>
      </vt:variant>
      <vt:variant>
        <vt:i4>363</vt:i4>
      </vt:variant>
      <vt:variant>
        <vt:i4>0</vt:i4>
      </vt:variant>
      <vt:variant>
        <vt:i4>5</vt:i4>
      </vt:variant>
      <vt:variant>
        <vt:lpwstr/>
      </vt:variant>
      <vt:variant>
        <vt:lpwstr>_Toc168817209</vt:lpwstr>
      </vt:variant>
      <vt:variant>
        <vt:i4>3932268</vt:i4>
      </vt:variant>
      <vt:variant>
        <vt:i4>360</vt:i4>
      </vt:variant>
      <vt:variant>
        <vt:i4>0</vt:i4>
      </vt:variant>
      <vt:variant>
        <vt:i4>5</vt:i4>
      </vt:variant>
      <vt:variant>
        <vt:lpwstr>http://www.innovation.gov.au/Research/ResearchBlockGrants/Pages/HigherEducationResearchDataCollection.aspx</vt:lpwstr>
      </vt:variant>
      <vt:variant>
        <vt:lpwstr/>
      </vt:variant>
      <vt:variant>
        <vt:i4>3473474</vt:i4>
      </vt:variant>
      <vt:variant>
        <vt:i4>357</vt:i4>
      </vt:variant>
      <vt:variant>
        <vt:i4>0</vt:i4>
      </vt:variant>
      <vt:variant>
        <vt:i4>5</vt:i4>
      </vt:variant>
      <vt:variant>
        <vt:lpwstr>mailto:RBGrants@innovation.gov.au</vt:lpwstr>
      </vt:variant>
      <vt:variant>
        <vt:lpwstr/>
      </vt:variant>
      <vt:variant>
        <vt:i4>4849703</vt:i4>
      </vt:variant>
      <vt:variant>
        <vt:i4>354</vt:i4>
      </vt:variant>
      <vt:variant>
        <vt:i4>0</vt:i4>
      </vt:variant>
      <vt:variant>
        <vt:i4>5</vt:i4>
      </vt:variant>
      <vt:variant>
        <vt:lpwstr/>
      </vt:variant>
      <vt:variant>
        <vt:lpwstr>_9.7_Verification_material</vt:lpwstr>
      </vt:variant>
      <vt:variant>
        <vt:i4>1441847</vt:i4>
      </vt:variant>
      <vt:variant>
        <vt:i4>351</vt:i4>
      </vt:variant>
      <vt:variant>
        <vt:i4>0</vt:i4>
      </vt:variant>
      <vt:variant>
        <vt:i4>5</vt:i4>
      </vt:variant>
      <vt:variant>
        <vt:lpwstr/>
      </vt:variant>
      <vt:variant>
        <vt:lpwstr>_APPENDIX_A_-</vt:lpwstr>
      </vt:variant>
      <vt:variant>
        <vt:i4>3473474</vt:i4>
      </vt:variant>
      <vt:variant>
        <vt:i4>348</vt:i4>
      </vt:variant>
      <vt:variant>
        <vt:i4>0</vt:i4>
      </vt:variant>
      <vt:variant>
        <vt:i4>5</vt:i4>
      </vt:variant>
      <vt:variant>
        <vt:lpwstr>mailto:RBGrants@innovation.gov.au</vt:lpwstr>
      </vt:variant>
      <vt:variant>
        <vt:lpwstr/>
      </vt:variant>
      <vt:variant>
        <vt:i4>4784214</vt:i4>
      </vt:variant>
      <vt:variant>
        <vt:i4>342</vt:i4>
      </vt:variant>
      <vt:variant>
        <vt:i4>0</vt:i4>
      </vt:variant>
      <vt:variant>
        <vt:i4>5</vt:i4>
      </vt:variant>
      <vt:variant>
        <vt:lpwstr/>
      </vt:variant>
      <vt:variant>
        <vt:lpwstr>_APPENDIX_A</vt:lpwstr>
      </vt:variant>
      <vt:variant>
        <vt:i4>6946875</vt:i4>
      </vt:variant>
      <vt:variant>
        <vt:i4>339</vt:i4>
      </vt:variant>
      <vt:variant>
        <vt:i4>0</vt:i4>
      </vt:variant>
      <vt:variant>
        <vt:i4>5</vt:i4>
      </vt:variant>
      <vt:variant>
        <vt:lpwstr>http://www.innovation.gov.au/Research/ResearchBlockGrants/Pages/RBGFundingFormulaeData.aspx</vt:lpwstr>
      </vt:variant>
      <vt:variant>
        <vt:lpwstr/>
      </vt:variant>
      <vt:variant>
        <vt:i4>1441847</vt:i4>
      </vt:variant>
      <vt:variant>
        <vt:i4>336</vt:i4>
      </vt:variant>
      <vt:variant>
        <vt:i4>0</vt:i4>
      </vt:variant>
      <vt:variant>
        <vt:i4>5</vt:i4>
      </vt:variant>
      <vt:variant>
        <vt:lpwstr/>
      </vt:variant>
      <vt:variant>
        <vt:lpwstr>_APPENDIX_A_-</vt:lpwstr>
      </vt:variant>
      <vt:variant>
        <vt:i4>4784214</vt:i4>
      </vt:variant>
      <vt:variant>
        <vt:i4>333</vt:i4>
      </vt:variant>
      <vt:variant>
        <vt:i4>0</vt:i4>
      </vt:variant>
      <vt:variant>
        <vt:i4>5</vt:i4>
      </vt:variant>
      <vt:variant>
        <vt:lpwstr/>
      </vt:variant>
      <vt:variant>
        <vt:lpwstr>_APPENDIX_E</vt:lpwstr>
      </vt:variant>
      <vt:variant>
        <vt:i4>1441845</vt:i4>
      </vt:variant>
      <vt:variant>
        <vt:i4>330</vt:i4>
      </vt:variant>
      <vt:variant>
        <vt:i4>0</vt:i4>
      </vt:variant>
      <vt:variant>
        <vt:i4>5</vt:i4>
      </vt:variant>
      <vt:variant>
        <vt:lpwstr/>
      </vt:variant>
      <vt:variant>
        <vt:lpwstr>_APPENDIX_C_-</vt:lpwstr>
      </vt:variant>
      <vt:variant>
        <vt:i4>1441844</vt:i4>
      </vt:variant>
      <vt:variant>
        <vt:i4>327</vt:i4>
      </vt:variant>
      <vt:variant>
        <vt:i4>0</vt:i4>
      </vt:variant>
      <vt:variant>
        <vt:i4>5</vt:i4>
      </vt:variant>
      <vt:variant>
        <vt:lpwstr/>
      </vt:variant>
      <vt:variant>
        <vt:lpwstr>_APPENDIX_B_-</vt:lpwstr>
      </vt:variant>
      <vt:variant>
        <vt:i4>4784214</vt:i4>
      </vt:variant>
      <vt:variant>
        <vt:i4>321</vt:i4>
      </vt:variant>
      <vt:variant>
        <vt:i4>0</vt:i4>
      </vt:variant>
      <vt:variant>
        <vt:i4>5</vt:i4>
      </vt:variant>
      <vt:variant>
        <vt:lpwstr/>
      </vt:variant>
      <vt:variant>
        <vt:lpwstr>_APPENDIX_A</vt:lpwstr>
      </vt:variant>
      <vt:variant>
        <vt:i4>4063320</vt:i4>
      </vt:variant>
      <vt:variant>
        <vt:i4>315</vt:i4>
      </vt:variant>
      <vt:variant>
        <vt:i4>0</vt:i4>
      </vt:variant>
      <vt:variant>
        <vt:i4>5</vt:i4>
      </vt:variant>
      <vt:variant>
        <vt:lpwstr/>
      </vt:variant>
      <vt:variant>
        <vt:lpwstr>_9.6_Peer_review</vt:lpwstr>
      </vt:variant>
      <vt:variant>
        <vt:i4>4784214</vt:i4>
      </vt:variant>
      <vt:variant>
        <vt:i4>309</vt:i4>
      </vt:variant>
      <vt:variant>
        <vt:i4>0</vt:i4>
      </vt:variant>
      <vt:variant>
        <vt:i4>5</vt:i4>
      </vt:variant>
      <vt:variant>
        <vt:lpwstr/>
      </vt:variant>
      <vt:variant>
        <vt:lpwstr>_APPENDIX_A</vt:lpwstr>
      </vt:variant>
      <vt:variant>
        <vt:i4>5570594</vt:i4>
      </vt:variant>
      <vt:variant>
        <vt:i4>306</vt:i4>
      </vt:variant>
      <vt:variant>
        <vt:i4>0</vt:i4>
      </vt:variant>
      <vt:variant>
        <vt:i4>5</vt:i4>
      </vt:variant>
      <vt:variant>
        <vt:lpwstr/>
      </vt:variant>
      <vt:variant>
        <vt:lpwstr>_9.4_Author_affiliation</vt:lpwstr>
      </vt:variant>
      <vt:variant>
        <vt:i4>1966138</vt:i4>
      </vt:variant>
      <vt:variant>
        <vt:i4>303</vt:i4>
      </vt:variant>
      <vt:variant>
        <vt:i4>0</vt:i4>
      </vt:variant>
      <vt:variant>
        <vt:i4>5</vt:i4>
      </vt:variant>
      <vt:variant>
        <vt:lpwstr/>
      </vt:variant>
      <vt:variant>
        <vt:lpwstr>_Toc168817209</vt:lpwstr>
      </vt:variant>
      <vt:variant>
        <vt:i4>3473474</vt:i4>
      </vt:variant>
      <vt:variant>
        <vt:i4>300</vt:i4>
      </vt:variant>
      <vt:variant>
        <vt:i4>0</vt:i4>
      </vt:variant>
      <vt:variant>
        <vt:i4>5</vt:i4>
      </vt:variant>
      <vt:variant>
        <vt:lpwstr>mailto:RBGrants@innovation.gov.au</vt:lpwstr>
      </vt:variant>
      <vt:variant>
        <vt:lpwstr/>
      </vt:variant>
      <vt:variant>
        <vt:i4>5832718</vt:i4>
      </vt:variant>
      <vt:variant>
        <vt:i4>297</vt:i4>
      </vt:variant>
      <vt:variant>
        <vt:i4>0</vt:i4>
      </vt:variant>
      <vt:variant>
        <vt:i4>5</vt:i4>
      </vt:variant>
      <vt:variant>
        <vt:lpwstr>http://www.innovation.gov.au/research/researchblockgrants/Pages/default.aspx</vt:lpwstr>
      </vt:variant>
      <vt:variant>
        <vt:lpwstr/>
      </vt:variant>
      <vt:variant>
        <vt:i4>1310770</vt:i4>
      </vt:variant>
      <vt:variant>
        <vt:i4>290</vt:i4>
      </vt:variant>
      <vt:variant>
        <vt:i4>0</vt:i4>
      </vt:variant>
      <vt:variant>
        <vt:i4>5</vt:i4>
      </vt:variant>
      <vt:variant>
        <vt:lpwstr/>
      </vt:variant>
      <vt:variant>
        <vt:lpwstr>_Toc311786831</vt:lpwstr>
      </vt:variant>
      <vt:variant>
        <vt:i4>1310770</vt:i4>
      </vt:variant>
      <vt:variant>
        <vt:i4>284</vt:i4>
      </vt:variant>
      <vt:variant>
        <vt:i4>0</vt:i4>
      </vt:variant>
      <vt:variant>
        <vt:i4>5</vt:i4>
      </vt:variant>
      <vt:variant>
        <vt:lpwstr/>
      </vt:variant>
      <vt:variant>
        <vt:lpwstr>_Toc311786830</vt:lpwstr>
      </vt:variant>
      <vt:variant>
        <vt:i4>1376306</vt:i4>
      </vt:variant>
      <vt:variant>
        <vt:i4>278</vt:i4>
      </vt:variant>
      <vt:variant>
        <vt:i4>0</vt:i4>
      </vt:variant>
      <vt:variant>
        <vt:i4>5</vt:i4>
      </vt:variant>
      <vt:variant>
        <vt:lpwstr/>
      </vt:variant>
      <vt:variant>
        <vt:lpwstr>_Toc311786829</vt:lpwstr>
      </vt:variant>
      <vt:variant>
        <vt:i4>1376306</vt:i4>
      </vt:variant>
      <vt:variant>
        <vt:i4>272</vt:i4>
      </vt:variant>
      <vt:variant>
        <vt:i4>0</vt:i4>
      </vt:variant>
      <vt:variant>
        <vt:i4>5</vt:i4>
      </vt:variant>
      <vt:variant>
        <vt:lpwstr/>
      </vt:variant>
      <vt:variant>
        <vt:lpwstr>_Toc311786828</vt:lpwstr>
      </vt:variant>
      <vt:variant>
        <vt:i4>1376306</vt:i4>
      </vt:variant>
      <vt:variant>
        <vt:i4>266</vt:i4>
      </vt:variant>
      <vt:variant>
        <vt:i4>0</vt:i4>
      </vt:variant>
      <vt:variant>
        <vt:i4>5</vt:i4>
      </vt:variant>
      <vt:variant>
        <vt:lpwstr/>
      </vt:variant>
      <vt:variant>
        <vt:lpwstr>_Toc311786827</vt:lpwstr>
      </vt:variant>
      <vt:variant>
        <vt:i4>1376306</vt:i4>
      </vt:variant>
      <vt:variant>
        <vt:i4>260</vt:i4>
      </vt:variant>
      <vt:variant>
        <vt:i4>0</vt:i4>
      </vt:variant>
      <vt:variant>
        <vt:i4>5</vt:i4>
      </vt:variant>
      <vt:variant>
        <vt:lpwstr/>
      </vt:variant>
      <vt:variant>
        <vt:lpwstr>_Toc311786826</vt:lpwstr>
      </vt:variant>
      <vt:variant>
        <vt:i4>1376306</vt:i4>
      </vt:variant>
      <vt:variant>
        <vt:i4>254</vt:i4>
      </vt:variant>
      <vt:variant>
        <vt:i4>0</vt:i4>
      </vt:variant>
      <vt:variant>
        <vt:i4>5</vt:i4>
      </vt:variant>
      <vt:variant>
        <vt:lpwstr/>
      </vt:variant>
      <vt:variant>
        <vt:lpwstr>_Toc311786825</vt:lpwstr>
      </vt:variant>
      <vt:variant>
        <vt:i4>1376306</vt:i4>
      </vt:variant>
      <vt:variant>
        <vt:i4>248</vt:i4>
      </vt:variant>
      <vt:variant>
        <vt:i4>0</vt:i4>
      </vt:variant>
      <vt:variant>
        <vt:i4>5</vt:i4>
      </vt:variant>
      <vt:variant>
        <vt:lpwstr/>
      </vt:variant>
      <vt:variant>
        <vt:lpwstr>_Toc311786824</vt:lpwstr>
      </vt:variant>
      <vt:variant>
        <vt:i4>1376306</vt:i4>
      </vt:variant>
      <vt:variant>
        <vt:i4>242</vt:i4>
      </vt:variant>
      <vt:variant>
        <vt:i4>0</vt:i4>
      </vt:variant>
      <vt:variant>
        <vt:i4>5</vt:i4>
      </vt:variant>
      <vt:variant>
        <vt:lpwstr/>
      </vt:variant>
      <vt:variant>
        <vt:lpwstr>_Toc311786823</vt:lpwstr>
      </vt:variant>
      <vt:variant>
        <vt:i4>1376306</vt:i4>
      </vt:variant>
      <vt:variant>
        <vt:i4>236</vt:i4>
      </vt:variant>
      <vt:variant>
        <vt:i4>0</vt:i4>
      </vt:variant>
      <vt:variant>
        <vt:i4>5</vt:i4>
      </vt:variant>
      <vt:variant>
        <vt:lpwstr/>
      </vt:variant>
      <vt:variant>
        <vt:lpwstr>_Toc311786822</vt:lpwstr>
      </vt:variant>
      <vt:variant>
        <vt:i4>1376306</vt:i4>
      </vt:variant>
      <vt:variant>
        <vt:i4>230</vt:i4>
      </vt:variant>
      <vt:variant>
        <vt:i4>0</vt:i4>
      </vt:variant>
      <vt:variant>
        <vt:i4>5</vt:i4>
      </vt:variant>
      <vt:variant>
        <vt:lpwstr/>
      </vt:variant>
      <vt:variant>
        <vt:lpwstr>_Toc311786821</vt:lpwstr>
      </vt:variant>
      <vt:variant>
        <vt:i4>1376306</vt:i4>
      </vt:variant>
      <vt:variant>
        <vt:i4>224</vt:i4>
      </vt:variant>
      <vt:variant>
        <vt:i4>0</vt:i4>
      </vt:variant>
      <vt:variant>
        <vt:i4>5</vt:i4>
      </vt:variant>
      <vt:variant>
        <vt:lpwstr/>
      </vt:variant>
      <vt:variant>
        <vt:lpwstr>_Toc311786820</vt:lpwstr>
      </vt:variant>
      <vt:variant>
        <vt:i4>1441842</vt:i4>
      </vt:variant>
      <vt:variant>
        <vt:i4>218</vt:i4>
      </vt:variant>
      <vt:variant>
        <vt:i4>0</vt:i4>
      </vt:variant>
      <vt:variant>
        <vt:i4>5</vt:i4>
      </vt:variant>
      <vt:variant>
        <vt:lpwstr/>
      </vt:variant>
      <vt:variant>
        <vt:lpwstr>_Toc311786819</vt:lpwstr>
      </vt:variant>
      <vt:variant>
        <vt:i4>1441842</vt:i4>
      </vt:variant>
      <vt:variant>
        <vt:i4>212</vt:i4>
      </vt:variant>
      <vt:variant>
        <vt:i4>0</vt:i4>
      </vt:variant>
      <vt:variant>
        <vt:i4>5</vt:i4>
      </vt:variant>
      <vt:variant>
        <vt:lpwstr/>
      </vt:variant>
      <vt:variant>
        <vt:lpwstr>_Toc311786818</vt:lpwstr>
      </vt:variant>
      <vt:variant>
        <vt:i4>1441842</vt:i4>
      </vt:variant>
      <vt:variant>
        <vt:i4>206</vt:i4>
      </vt:variant>
      <vt:variant>
        <vt:i4>0</vt:i4>
      </vt:variant>
      <vt:variant>
        <vt:i4>5</vt:i4>
      </vt:variant>
      <vt:variant>
        <vt:lpwstr/>
      </vt:variant>
      <vt:variant>
        <vt:lpwstr>_Toc311786817</vt:lpwstr>
      </vt:variant>
      <vt:variant>
        <vt:i4>1441842</vt:i4>
      </vt:variant>
      <vt:variant>
        <vt:i4>200</vt:i4>
      </vt:variant>
      <vt:variant>
        <vt:i4>0</vt:i4>
      </vt:variant>
      <vt:variant>
        <vt:i4>5</vt:i4>
      </vt:variant>
      <vt:variant>
        <vt:lpwstr/>
      </vt:variant>
      <vt:variant>
        <vt:lpwstr>_Toc311786816</vt:lpwstr>
      </vt:variant>
      <vt:variant>
        <vt:i4>1441842</vt:i4>
      </vt:variant>
      <vt:variant>
        <vt:i4>194</vt:i4>
      </vt:variant>
      <vt:variant>
        <vt:i4>0</vt:i4>
      </vt:variant>
      <vt:variant>
        <vt:i4>5</vt:i4>
      </vt:variant>
      <vt:variant>
        <vt:lpwstr/>
      </vt:variant>
      <vt:variant>
        <vt:lpwstr>_Toc311786815</vt:lpwstr>
      </vt:variant>
      <vt:variant>
        <vt:i4>1441842</vt:i4>
      </vt:variant>
      <vt:variant>
        <vt:i4>188</vt:i4>
      </vt:variant>
      <vt:variant>
        <vt:i4>0</vt:i4>
      </vt:variant>
      <vt:variant>
        <vt:i4>5</vt:i4>
      </vt:variant>
      <vt:variant>
        <vt:lpwstr/>
      </vt:variant>
      <vt:variant>
        <vt:lpwstr>_Toc311786814</vt:lpwstr>
      </vt:variant>
      <vt:variant>
        <vt:i4>1441842</vt:i4>
      </vt:variant>
      <vt:variant>
        <vt:i4>182</vt:i4>
      </vt:variant>
      <vt:variant>
        <vt:i4>0</vt:i4>
      </vt:variant>
      <vt:variant>
        <vt:i4>5</vt:i4>
      </vt:variant>
      <vt:variant>
        <vt:lpwstr/>
      </vt:variant>
      <vt:variant>
        <vt:lpwstr>_Toc311786813</vt:lpwstr>
      </vt:variant>
      <vt:variant>
        <vt:i4>1441842</vt:i4>
      </vt:variant>
      <vt:variant>
        <vt:i4>176</vt:i4>
      </vt:variant>
      <vt:variant>
        <vt:i4>0</vt:i4>
      </vt:variant>
      <vt:variant>
        <vt:i4>5</vt:i4>
      </vt:variant>
      <vt:variant>
        <vt:lpwstr/>
      </vt:variant>
      <vt:variant>
        <vt:lpwstr>_Toc311786812</vt:lpwstr>
      </vt:variant>
      <vt:variant>
        <vt:i4>1441842</vt:i4>
      </vt:variant>
      <vt:variant>
        <vt:i4>170</vt:i4>
      </vt:variant>
      <vt:variant>
        <vt:i4>0</vt:i4>
      </vt:variant>
      <vt:variant>
        <vt:i4>5</vt:i4>
      </vt:variant>
      <vt:variant>
        <vt:lpwstr/>
      </vt:variant>
      <vt:variant>
        <vt:lpwstr>_Toc311786811</vt:lpwstr>
      </vt:variant>
      <vt:variant>
        <vt:i4>1441842</vt:i4>
      </vt:variant>
      <vt:variant>
        <vt:i4>164</vt:i4>
      </vt:variant>
      <vt:variant>
        <vt:i4>0</vt:i4>
      </vt:variant>
      <vt:variant>
        <vt:i4>5</vt:i4>
      </vt:variant>
      <vt:variant>
        <vt:lpwstr/>
      </vt:variant>
      <vt:variant>
        <vt:lpwstr>_Toc311786810</vt:lpwstr>
      </vt:variant>
      <vt:variant>
        <vt:i4>1507378</vt:i4>
      </vt:variant>
      <vt:variant>
        <vt:i4>158</vt:i4>
      </vt:variant>
      <vt:variant>
        <vt:i4>0</vt:i4>
      </vt:variant>
      <vt:variant>
        <vt:i4>5</vt:i4>
      </vt:variant>
      <vt:variant>
        <vt:lpwstr/>
      </vt:variant>
      <vt:variant>
        <vt:lpwstr>_Toc311786809</vt:lpwstr>
      </vt:variant>
      <vt:variant>
        <vt:i4>1507378</vt:i4>
      </vt:variant>
      <vt:variant>
        <vt:i4>152</vt:i4>
      </vt:variant>
      <vt:variant>
        <vt:i4>0</vt:i4>
      </vt:variant>
      <vt:variant>
        <vt:i4>5</vt:i4>
      </vt:variant>
      <vt:variant>
        <vt:lpwstr/>
      </vt:variant>
      <vt:variant>
        <vt:lpwstr>_Toc311786808</vt:lpwstr>
      </vt:variant>
      <vt:variant>
        <vt:i4>1507378</vt:i4>
      </vt:variant>
      <vt:variant>
        <vt:i4>146</vt:i4>
      </vt:variant>
      <vt:variant>
        <vt:i4>0</vt:i4>
      </vt:variant>
      <vt:variant>
        <vt:i4>5</vt:i4>
      </vt:variant>
      <vt:variant>
        <vt:lpwstr/>
      </vt:variant>
      <vt:variant>
        <vt:lpwstr>_Toc311786807</vt:lpwstr>
      </vt:variant>
      <vt:variant>
        <vt:i4>1507378</vt:i4>
      </vt:variant>
      <vt:variant>
        <vt:i4>140</vt:i4>
      </vt:variant>
      <vt:variant>
        <vt:i4>0</vt:i4>
      </vt:variant>
      <vt:variant>
        <vt:i4>5</vt:i4>
      </vt:variant>
      <vt:variant>
        <vt:lpwstr/>
      </vt:variant>
      <vt:variant>
        <vt:lpwstr>_Toc311786806</vt:lpwstr>
      </vt:variant>
      <vt:variant>
        <vt:i4>1507378</vt:i4>
      </vt:variant>
      <vt:variant>
        <vt:i4>134</vt:i4>
      </vt:variant>
      <vt:variant>
        <vt:i4>0</vt:i4>
      </vt:variant>
      <vt:variant>
        <vt:i4>5</vt:i4>
      </vt:variant>
      <vt:variant>
        <vt:lpwstr/>
      </vt:variant>
      <vt:variant>
        <vt:lpwstr>_Toc311786805</vt:lpwstr>
      </vt:variant>
      <vt:variant>
        <vt:i4>1507378</vt:i4>
      </vt:variant>
      <vt:variant>
        <vt:i4>128</vt:i4>
      </vt:variant>
      <vt:variant>
        <vt:i4>0</vt:i4>
      </vt:variant>
      <vt:variant>
        <vt:i4>5</vt:i4>
      </vt:variant>
      <vt:variant>
        <vt:lpwstr/>
      </vt:variant>
      <vt:variant>
        <vt:lpwstr>_Toc311786804</vt:lpwstr>
      </vt:variant>
      <vt:variant>
        <vt:i4>1507378</vt:i4>
      </vt:variant>
      <vt:variant>
        <vt:i4>122</vt:i4>
      </vt:variant>
      <vt:variant>
        <vt:i4>0</vt:i4>
      </vt:variant>
      <vt:variant>
        <vt:i4>5</vt:i4>
      </vt:variant>
      <vt:variant>
        <vt:lpwstr/>
      </vt:variant>
      <vt:variant>
        <vt:lpwstr>_Toc311786803</vt:lpwstr>
      </vt:variant>
      <vt:variant>
        <vt:i4>1507378</vt:i4>
      </vt:variant>
      <vt:variant>
        <vt:i4>116</vt:i4>
      </vt:variant>
      <vt:variant>
        <vt:i4>0</vt:i4>
      </vt:variant>
      <vt:variant>
        <vt:i4>5</vt:i4>
      </vt:variant>
      <vt:variant>
        <vt:lpwstr/>
      </vt:variant>
      <vt:variant>
        <vt:lpwstr>_Toc311786802</vt:lpwstr>
      </vt:variant>
      <vt:variant>
        <vt:i4>1507378</vt:i4>
      </vt:variant>
      <vt:variant>
        <vt:i4>110</vt:i4>
      </vt:variant>
      <vt:variant>
        <vt:i4>0</vt:i4>
      </vt:variant>
      <vt:variant>
        <vt:i4>5</vt:i4>
      </vt:variant>
      <vt:variant>
        <vt:lpwstr/>
      </vt:variant>
      <vt:variant>
        <vt:lpwstr>_Toc311786801</vt:lpwstr>
      </vt:variant>
      <vt:variant>
        <vt:i4>1507378</vt:i4>
      </vt:variant>
      <vt:variant>
        <vt:i4>104</vt:i4>
      </vt:variant>
      <vt:variant>
        <vt:i4>0</vt:i4>
      </vt:variant>
      <vt:variant>
        <vt:i4>5</vt:i4>
      </vt:variant>
      <vt:variant>
        <vt:lpwstr/>
      </vt:variant>
      <vt:variant>
        <vt:lpwstr>_Toc311786800</vt:lpwstr>
      </vt:variant>
      <vt:variant>
        <vt:i4>1966141</vt:i4>
      </vt:variant>
      <vt:variant>
        <vt:i4>98</vt:i4>
      </vt:variant>
      <vt:variant>
        <vt:i4>0</vt:i4>
      </vt:variant>
      <vt:variant>
        <vt:i4>5</vt:i4>
      </vt:variant>
      <vt:variant>
        <vt:lpwstr/>
      </vt:variant>
      <vt:variant>
        <vt:lpwstr>_Toc311786799</vt:lpwstr>
      </vt:variant>
      <vt:variant>
        <vt:i4>1966141</vt:i4>
      </vt:variant>
      <vt:variant>
        <vt:i4>92</vt:i4>
      </vt:variant>
      <vt:variant>
        <vt:i4>0</vt:i4>
      </vt:variant>
      <vt:variant>
        <vt:i4>5</vt:i4>
      </vt:variant>
      <vt:variant>
        <vt:lpwstr/>
      </vt:variant>
      <vt:variant>
        <vt:lpwstr>_Toc311786798</vt:lpwstr>
      </vt:variant>
      <vt:variant>
        <vt:i4>1966141</vt:i4>
      </vt:variant>
      <vt:variant>
        <vt:i4>86</vt:i4>
      </vt:variant>
      <vt:variant>
        <vt:i4>0</vt:i4>
      </vt:variant>
      <vt:variant>
        <vt:i4>5</vt:i4>
      </vt:variant>
      <vt:variant>
        <vt:lpwstr/>
      </vt:variant>
      <vt:variant>
        <vt:lpwstr>_Toc311786797</vt:lpwstr>
      </vt:variant>
      <vt:variant>
        <vt:i4>1966141</vt:i4>
      </vt:variant>
      <vt:variant>
        <vt:i4>80</vt:i4>
      </vt:variant>
      <vt:variant>
        <vt:i4>0</vt:i4>
      </vt:variant>
      <vt:variant>
        <vt:i4>5</vt:i4>
      </vt:variant>
      <vt:variant>
        <vt:lpwstr/>
      </vt:variant>
      <vt:variant>
        <vt:lpwstr>_Toc311786796</vt:lpwstr>
      </vt:variant>
      <vt:variant>
        <vt:i4>1966141</vt:i4>
      </vt:variant>
      <vt:variant>
        <vt:i4>74</vt:i4>
      </vt:variant>
      <vt:variant>
        <vt:i4>0</vt:i4>
      </vt:variant>
      <vt:variant>
        <vt:i4>5</vt:i4>
      </vt:variant>
      <vt:variant>
        <vt:lpwstr/>
      </vt:variant>
      <vt:variant>
        <vt:lpwstr>_Toc311786795</vt:lpwstr>
      </vt:variant>
      <vt:variant>
        <vt:i4>1966141</vt:i4>
      </vt:variant>
      <vt:variant>
        <vt:i4>68</vt:i4>
      </vt:variant>
      <vt:variant>
        <vt:i4>0</vt:i4>
      </vt:variant>
      <vt:variant>
        <vt:i4>5</vt:i4>
      </vt:variant>
      <vt:variant>
        <vt:lpwstr/>
      </vt:variant>
      <vt:variant>
        <vt:lpwstr>_Toc311786794</vt:lpwstr>
      </vt:variant>
      <vt:variant>
        <vt:i4>1966141</vt:i4>
      </vt:variant>
      <vt:variant>
        <vt:i4>62</vt:i4>
      </vt:variant>
      <vt:variant>
        <vt:i4>0</vt:i4>
      </vt:variant>
      <vt:variant>
        <vt:i4>5</vt:i4>
      </vt:variant>
      <vt:variant>
        <vt:lpwstr/>
      </vt:variant>
      <vt:variant>
        <vt:lpwstr>_Toc311786793</vt:lpwstr>
      </vt:variant>
      <vt:variant>
        <vt:i4>1966141</vt:i4>
      </vt:variant>
      <vt:variant>
        <vt:i4>56</vt:i4>
      </vt:variant>
      <vt:variant>
        <vt:i4>0</vt:i4>
      </vt:variant>
      <vt:variant>
        <vt:i4>5</vt:i4>
      </vt:variant>
      <vt:variant>
        <vt:lpwstr/>
      </vt:variant>
      <vt:variant>
        <vt:lpwstr>_Toc311786792</vt:lpwstr>
      </vt:variant>
      <vt:variant>
        <vt:i4>1966141</vt:i4>
      </vt:variant>
      <vt:variant>
        <vt:i4>50</vt:i4>
      </vt:variant>
      <vt:variant>
        <vt:i4>0</vt:i4>
      </vt:variant>
      <vt:variant>
        <vt:i4>5</vt:i4>
      </vt:variant>
      <vt:variant>
        <vt:lpwstr/>
      </vt:variant>
      <vt:variant>
        <vt:lpwstr>_Toc311786791</vt:lpwstr>
      </vt:variant>
      <vt:variant>
        <vt:i4>1966141</vt:i4>
      </vt:variant>
      <vt:variant>
        <vt:i4>44</vt:i4>
      </vt:variant>
      <vt:variant>
        <vt:i4>0</vt:i4>
      </vt:variant>
      <vt:variant>
        <vt:i4>5</vt:i4>
      </vt:variant>
      <vt:variant>
        <vt:lpwstr/>
      </vt:variant>
      <vt:variant>
        <vt:lpwstr>_Toc311786790</vt:lpwstr>
      </vt:variant>
      <vt:variant>
        <vt:i4>2031677</vt:i4>
      </vt:variant>
      <vt:variant>
        <vt:i4>38</vt:i4>
      </vt:variant>
      <vt:variant>
        <vt:i4>0</vt:i4>
      </vt:variant>
      <vt:variant>
        <vt:i4>5</vt:i4>
      </vt:variant>
      <vt:variant>
        <vt:lpwstr/>
      </vt:variant>
      <vt:variant>
        <vt:lpwstr>_Toc311786789</vt:lpwstr>
      </vt:variant>
      <vt:variant>
        <vt:i4>2031677</vt:i4>
      </vt:variant>
      <vt:variant>
        <vt:i4>32</vt:i4>
      </vt:variant>
      <vt:variant>
        <vt:i4>0</vt:i4>
      </vt:variant>
      <vt:variant>
        <vt:i4>5</vt:i4>
      </vt:variant>
      <vt:variant>
        <vt:lpwstr/>
      </vt:variant>
      <vt:variant>
        <vt:lpwstr>_Toc311786788</vt:lpwstr>
      </vt:variant>
      <vt:variant>
        <vt:i4>2031677</vt:i4>
      </vt:variant>
      <vt:variant>
        <vt:i4>26</vt:i4>
      </vt:variant>
      <vt:variant>
        <vt:i4>0</vt:i4>
      </vt:variant>
      <vt:variant>
        <vt:i4>5</vt:i4>
      </vt:variant>
      <vt:variant>
        <vt:lpwstr/>
      </vt:variant>
      <vt:variant>
        <vt:lpwstr>_Toc311786787</vt:lpwstr>
      </vt:variant>
      <vt:variant>
        <vt:i4>2031677</vt:i4>
      </vt:variant>
      <vt:variant>
        <vt:i4>20</vt:i4>
      </vt:variant>
      <vt:variant>
        <vt:i4>0</vt:i4>
      </vt:variant>
      <vt:variant>
        <vt:i4>5</vt:i4>
      </vt:variant>
      <vt:variant>
        <vt:lpwstr/>
      </vt:variant>
      <vt:variant>
        <vt:lpwstr>_Toc311786786</vt:lpwstr>
      </vt:variant>
      <vt:variant>
        <vt:i4>2031677</vt:i4>
      </vt:variant>
      <vt:variant>
        <vt:i4>14</vt:i4>
      </vt:variant>
      <vt:variant>
        <vt:i4>0</vt:i4>
      </vt:variant>
      <vt:variant>
        <vt:i4>5</vt:i4>
      </vt:variant>
      <vt:variant>
        <vt:lpwstr/>
      </vt:variant>
      <vt:variant>
        <vt:lpwstr>_Toc311786785</vt:lpwstr>
      </vt:variant>
      <vt:variant>
        <vt:i4>2031677</vt:i4>
      </vt:variant>
      <vt:variant>
        <vt:i4>8</vt:i4>
      </vt:variant>
      <vt:variant>
        <vt:i4>0</vt:i4>
      </vt:variant>
      <vt:variant>
        <vt:i4>5</vt:i4>
      </vt:variant>
      <vt:variant>
        <vt:lpwstr/>
      </vt:variant>
      <vt:variant>
        <vt:lpwstr>_Toc311786784</vt:lpwstr>
      </vt:variant>
      <vt:variant>
        <vt:i4>2031677</vt:i4>
      </vt:variant>
      <vt:variant>
        <vt:i4>2</vt:i4>
      </vt:variant>
      <vt:variant>
        <vt:i4>0</vt:i4>
      </vt:variant>
      <vt:variant>
        <vt:i4>5</vt:i4>
      </vt:variant>
      <vt:variant>
        <vt:lpwstr/>
      </vt:variant>
      <vt:variant>
        <vt:lpwstr>_Toc311786783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2017-05-10T05:36:00Z</dcterms:created>
  <dcterms:modified xsi:type="dcterms:W3CDTF">2017-05-10T05:37:00Z</dcterms:modified>
</cp:coreProperties>
</file>