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8CB" w:rsidRDefault="00CE78CB" w:rsidP="00D51D87">
      <w:pPr>
        <w:jc w:val="center"/>
        <w:rPr>
          <w:rFonts w:ascii="Arial" w:hAnsi="Arial" w:cs="Arial"/>
          <w:b/>
          <w:sz w:val="28"/>
          <w:szCs w:val="28"/>
        </w:rPr>
      </w:pPr>
      <w:r w:rsidRPr="00D51D87">
        <w:rPr>
          <w:rFonts w:ascii="Arial" w:hAnsi="Arial" w:cs="Arial"/>
          <w:b/>
          <w:sz w:val="28"/>
          <w:szCs w:val="28"/>
        </w:rPr>
        <w:t xml:space="preserve">Australian Council of Learned Academies </w:t>
      </w:r>
      <w:r w:rsidRPr="00D51D87">
        <w:rPr>
          <w:rFonts w:ascii="Arial" w:hAnsi="Arial" w:cs="Arial"/>
          <w:b/>
          <w:i/>
          <w:sz w:val="28"/>
          <w:szCs w:val="28"/>
        </w:rPr>
        <w:t>Review of Australia’s Research Training System</w:t>
      </w:r>
      <w:r w:rsidRPr="00D51D87">
        <w:rPr>
          <w:rFonts w:ascii="Arial" w:hAnsi="Arial" w:cs="Arial"/>
          <w:b/>
          <w:sz w:val="28"/>
          <w:szCs w:val="28"/>
        </w:rPr>
        <w:t xml:space="preserve"> – Australian Government response</w:t>
      </w:r>
    </w:p>
    <w:p w:rsidR="00D51D87" w:rsidRPr="00D51D87" w:rsidRDefault="00D51D87" w:rsidP="00D51D87">
      <w:pPr>
        <w:spacing w:after="0" w:line="240" w:lineRule="auto"/>
        <w:jc w:val="center"/>
        <w:rPr>
          <w:rFonts w:ascii="Arial" w:hAnsi="Arial" w:cs="Arial"/>
          <w:b/>
          <w:sz w:val="28"/>
          <w:szCs w:val="28"/>
        </w:rPr>
      </w:pPr>
    </w:p>
    <w:tbl>
      <w:tblPr>
        <w:tblStyle w:val="TableGrid"/>
        <w:tblW w:w="9356" w:type="dxa"/>
        <w:tblInd w:w="-34" w:type="dxa"/>
        <w:tblLook w:val="04A0" w:firstRow="1" w:lastRow="0" w:firstColumn="1" w:lastColumn="0" w:noHBand="0" w:noVBand="1"/>
      </w:tblPr>
      <w:tblGrid>
        <w:gridCol w:w="5104"/>
        <w:gridCol w:w="4252"/>
      </w:tblGrid>
      <w:tr w:rsidR="00CE78CB" w:rsidRPr="00D51D87" w:rsidTr="00D51D87">
        <w:trPr>
          <w:trHeight w:val="625"/>
          <w:tblHeader/>
        </w:trPr>
        <w:tc>
          <w:tcPr>
            <w:tcW w:w="510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CE78CB" w:rsidRPr="00D51D87" w:rsidRDefault="00CE78CB" w:rsidP="00D51D87">
            <w:pPr>
              <w:spacing w:after="120"/>
              <w:jc w:val="center"/>
              <w:rPr>
                <w:rFonts w:ascii="Arial" w:hAnsi="Arial" w:cs="Arial"/>
                <w:b/>
                <w:noProof/>
                <w:sz w:val="24"/>
                <w:szCs w:val="24"/>
              </w:rPr>
            </w:pPr>
            <w:r w:rsidRPr="00D51D87">
              <w:rPr>
                <w:rFonts w:ascii="Arial" w:hAnsi="Arial" w:cs="Arial"/>
                <w:b/>
                <w:noProof/>
                <w:sz w:val="24"/>
                <w:szCs w:val="24"/>
              </w:rPr>
              <w:t>Report recommendations</w:t>
            </w:r>
          </w:p>
        </w:tc>
        <w:tc>
          <w:tcPr>
            <w:tcW w:w="425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CE78CB" w:rsidRPr="00D51D87" w:rsidRDefault="00CE78CB" w:rsidP="00D51D87">
            <w:pPr>
              <w:spacing w:after="120"/>
              <w:jc w:val="center"/>
              <w:rPr>
                <w:rFonts w:ascii="Arial" w:hAnsi="Arial" w:cs="Arial"/>
                <w:b/>
                <w:noProof/>
                <w:sz w:val="24"/>
                <w:szCs w:val="24"/>
              </w:rPr>
            </w:pPr>
            <w:r w:rsidRPr="00D51D87">
              <w:rPr>
                <w:rFonts w:ascii="Arial" w:hAnsi="Arial" w:cs="Arial"/>
                <w:b/>
                <w:noProof/>
                <w:sz w:val="24"/>
                <w:szCs w:val="24"/>
              </w:rPr>
              <w:t>Response</w:t>
            </w:r>
          </w:p>
        </w:tc>
      </w:tr>
      <w:tr w:rsidR="00CE78CB" w:rsidRPr="00D51D87" w:rsidTr="00E20390">
        <w:trPr>
          <w:trHeight w:val="1220"/>
        </w:trPr>
        <w:tc>
          <w:tcPr>
            <w:tcW w:w="5104" w:type="dxa"/>
            <w:tcBorders>
              <w:top w:val="single" w:sz="4" w:space="0" w:color="auto"/>
              <w:left w:val="single" w:sz="4" w:space="0" w:color="auto"/>
              <w:bottom w:val="single" w:sz="4" w:space="0" w:color="auto"/>
              <w:right w:val="single" w:sz="4" w:space="0" w:color="auto"/>
            </w:tcBorders>
            <w:hideMark/>
          </w:tcPr>
          <w:p w:rsidR="00CE78CB" w:rsidRPr="00D51D87" w:rsidRDefault="00CE78CB" w:rsidP="00D51D87">
            <w:pPr>
              <w:spacing w:before="120" w:after="120"/>
              <w:rPr>
                <w:rFonts w:ascii="Arial" w:eastAsia="Times New Roman" w:hAnsi="Arial" w:cs="Arial"/>
                <w:b/>
                <w:i/>
                <w:sz w:val="20"/>
                <w:szCs w:val="20"/>
              </w:rPr>
            </w:pPr>
            <w:r w:rsidRPr="00D51D87">
              <w:rPr>
                <w:rFonts w:ascii="Arial" w:eastAsia="Times New Roman" w:hAnsi="Arial" w:cs="Arial"/>
                <w:b/>
                <w:i/>
                <w:sz w:val="20"/>
                <w:szCs w:val="20"/>
              </w:rPr>
              <w:t>Recommendation 1</w:t>
            </w:r>
          </w:p>
          <w:p w:rsidR="00CE78CB" w:rsidRPr="00D51D87" w:rsidRDefault="00CE78CB" w:rsidP="00D51D87">
            <w:pPr>
              <w:spacing w:before="120" w:after="120"/>
              <w:rPr>
                <w:rFonts w:ascii="Arial" w:eastAsia="Times New Roman" w:hAnsi="Arial" w:cs="Arial"/>
                <w:sz w:val="20"/>
                <w:szCs w:val="20"/>
              </w:rPr>
            </w:pPr>
            <w:r w:rsidRPr="00D51D87">
              <w:rPr>
                <w:rFonts w:ascii="Arial" w:eastAsia="Times New Roman" w:hAnsi="Arial" w:cs="Arial"/>
                <w:sz w:val="20"/>
                <w:szCs w:val="20"/>
              </w:rPr>
              <w:t>The Government should support the establishment of a sector-wide implementation working group, tasked with developing within six-months a specific and actionable</w:t>
            </w:r>
            <w:r w:rsidRPr="00D51D87">
              <w:rPr>
                <w:rFonts w:ascii="Arial" w:eastAsia="Times New Roman" w:hAnsi="Arial" w:cs="Arial"/>
                <w:b/>
                <w:sz w:val="20"/>
                <w:szCs w:val="20"/>
              </w:rPr>
              <w:t xml:space="preserve"> </w:t>
            </w:r>
            <w:r w:rsidRPr="00D51D87">
              <w:rPr>
                <w:rFonts w:ascii="Arial" w:eastAsia="Times New Roman" w:hAnsi="Arial" w:cs="Arial"/>
                <w:sz w:val="20"/>
                <w:szCs w:val="20"/>
              </w:rPr>
              <w:t xml:space="preserve">implementation plan with measures relating to the three broad categories of reform identified by this Review (regulation and policy, university cultural change, and industry incentives/cultural change). </w:t>
            </w:r>
          </w:p>
          <w:p w:rsidR="00CE78CB" w:rsidRPr="00D51D87" w:rsidRDefault="00CE78CB" w:rsidP="00D51D87">
            <w:pPr>
              <w:spacing w:before="120" w:after="120"/>
              <w:rPr>
                <w:rFonts w:ascii="Arial" w:eastAsia="Times New Roman" w:hAnsi="Arial" w:cs="Arial"/>
                <w:sz w:val="20"/>
                <w:szCs w:val="20"/>
              </w:rPr>
            </w:pPr>
            <w:r w:rsidRPr="00D51D87">
              <w:rPr>
                <w:rFonts w:ascii="Arial" w:eastAsia="Times New Roman" w:hAnsi="Arial" w:cs="Arial"/>
                <w:sz w:val="20"/>
                <w:szCs w:val="20"/>
              </w:rPr>
              <w:t xml:space="preserve">This working group should have an independent chair (appointed by or negotiated with the Government), with a requirement for high-level representation from relevant stakeholder groups (universities, industry bodies, research organisations and institutes, government and higher degree by research (HDR) candidates) to ensure broad consensus on the final plan. </w:t>
            </w:r>
          </w:p>
          <w:p w:rsidR="00CE78CB" w:rsidRPr="00D51D87" w:rsidRDefault="00CE78CB" w:rsidP="00D51D87">
            <w:pPr>
              <w:spacing w:before="120" w:after="120"/>
              <w:rPr>
                <w:rFonts w:ascii="Arial" w:eastAsia="Times New Roman" w:hAnsi="Arial" w:cs="Arial"/>
                <w:sz w:val="20"/>
                <w:szCs w:val="20"/>
              </w:rPr>
            </w:pPr>
            <w:r w:rsidRPr="00D51D87">
              <w:rPr>
                <w:rFonts w:ascii="Arial" w:eastAsia="Times New Roman" w:hAnsi="Arial" w:cs="Arial"/>
                <w:sz w:val="20"/>
                <w:szCs w:val="20"/>
              </w:rPr>
              <w:t>This working group would also be empowered by strong links with Innovation and Science Australia.</w:t>
            </w:r>
          </w:p>
        </w:tc>
        <w:tc>
          <w:tcPr>
            <w:tcW w:w="4252" w:type="dxa"/>
            <w:tcBorders>
              <w:top w:val="single" w:sz="4" w:space="0" w:color="auto"/>
              <w:left w:val="single" w:sz="4" w:space="0" w:color="auto"/>
              <w:bottom w:val="single" w:sz="4" w:space="0" w:color="auto"/>
              <w:right w:val="single" w:sz="4" w:space="0" w:color="auto"/>
            </w:tcBorders>
            <w:hideMark/>
          </w:tcPr>
          <w:p w:rsidR="00CE78CB" w:rsidRPr="00D51D87" w:rsidRDefault="00CE78CB" w:rsidP="00D51D87">
            <w:pPr>
              <w:spacing w:before="120" w:after="120"/>
              <w:rPr>
                <w:rFonts w:ascii="Arial" w:hAnsi="Arial" w:cs="Arial"/>
                <w:b/>
                <w:sz w:val="20"/>
                <w:szCs w:val="20"/>
              </w:rPr>
            </w:pPr>
            <w:r w:rsidRPr="00D51D87">
              <w:rPr>
                <w:rFonts w:ascii="Arial" w:hAnsi="Arial" w:cs="Arial"/>
                <w:b/>
                <w:sz w:val="20"/>
                <w:szCs w:val="20"/>
              </w:rPr>
              <w:t>Accept</w:t>
            </w:r>
            <w:r w:rsidR="00D51D87">
              <w:rPr>
                <w:rFonts w:ascii="Arial" w:hAnsi="Arial" w:cs="Arial"/>
                <w:b/>
                <w:sz w:val="20"/>
                <w:szCs w:val="20"/>
              </w:rPr>
              <w:t>ed.</w:t>
            </w:r>
          </w:p>
          <w:p w:rsidR="00CE78CB" w:rsidRPr="00D51D87" w:rsidRDefault="00CE78CB" w:rsidP="00D51D87">
            <w:pPr>
              <w:spacing w:before="120" w:after="120"/>
              <w:rPr>
                <w:rFonts w:ascii="Arial" w:hAnsi="Arial" w:cs="Arial"/>
                <w:sz w:val="20"/>
                <w:szCs w:val="20"/>
              </w:rPr>
            </w:pPr>
            <w:r w:rsidRPr="00D51D87">
              <w:rPr>
                <w:rFonts w:ascii="Arial" w:hAnsi="Arial" w:cs="Arial"/>
                <w:sz w:val="20"/>
                <w:szCs w:val="20"/>
              </w:rPr>
              <w:t xml:space="preserve">The </w:t>
            </w:r>
            <w:r w:rsidR="00132429" w:rsidRPr="00D51D87">
              <w:rPr>
                <w:rFonts w:ascii="Arial" w:hAnsi="Arial" w:cs="Arial"/>
                <w:sz w:val="20"/>
                <w:szCs w:val="20"/>
              </w:rPr>
              <w:t>Department of Education and Training</w:t>
            </w:r>
            <w:r w:rsidRPr="00D51D87">
              <w:rPr>
                <w:rFonts w:ascii="Arial" w:hAnsi="Arial" w:cs="Arial"/>
                <w:sz w:val="20"/>
                <w:szCs w:val="20"/>
              </w:rPr>
              <w:t xml:space="preserve"> will </w:t>
            </w:r>
            <w:r w:rsidR="00132429" w:rsidRPr="00D51D87">
              <w:rPr>
                <w:rFonts w:ascii="Arial" w:hAnsi="Arial" w:cs="Arial"/>
                <w:sz w:val="20"/>
                <w:szCs w:val="20"/>
              </w:rPr>
              <w:t>work with</w:t>
            </w:r>
            <w:r w:rsidRPr="00D51D87">
              <w:rPr>
                <w:rFonts w:ascii="Arial" w:hAnsi="Arial" w:cs="Arial"/>
                <w:sz w:val="20"/>
                <w:szCs w:val="20"/>
              </w:rPr>
              <w:t xml:space="preserve"> representatives from the university sector, industry and community stakeholders to </w:t>
            </w:r>
            <w:r w:rsidR="00132429" w:rsidRPr="00D51D87">
              <w:rPr>
                <w:rFonts w:ascii="Arial" w:hAnsi="Arial" w:cs="Arial"/>
                <w:sz w:val="20"/>
                <w:szCs w:val="20"/>
              </w:rPr>
              <w:t xml:space="preserve">establish a working group to support </w:t>
            </w:r>
            <w:r w:rsidRPr="00D51D87">
              <w:rPr>
                <w:rFonts w:ascii="Arial" w:hAnsi="Arial" w:cs="Arial"/>
                <w:sz w:val="20"/>
                <w:szCs w:val="20"/>
              </w:rPr>
              <w:t>implement</w:t>
            </w:r>
            <w:r w:rsidR="00132429" w:rsidRPr="00D51D87">
              <w:rPr>
                <w:rFonts w:ascii="Arial" w:hAnsi="Arial" w:cs="Arial"/>
                <w:sz w:val="20"/>
                <w:szCs w:val="20"/>
              </w:rPr>
              <w:t>ation of</w:t>
            </w:r>
            <w:r w:rsidRPr="00D51D87">
              <w:rPr>
                <w:rFonts w:ascii="Arial" w:hAnsi="Arial" w:cs="Arial"/>
                <w:sz w:val="20"/>
                <w:szCs w:val="20"/>
              </w:rPr>
              <w:t xml:space="preserve"> the review’s findings.</w:t>
            </w:r>
          </w:p>
        </w:tc>
      </w:tr>
      <w:tr w:rsidR="00CE78CB" w:rsidRPr="00D51D87" w:rsidTr="00E20390">
        <w:trPr>
          <w:trHeight w:val="1063"/>
        </w:trPr>
        <w:tc>
          <w:tcPr>
            <w:tcW w:w="5104" w:type="dxa"/>
            <w:tcBorders>
              <w:top w:val="single" w:sz="4" w:space="0" w:color="auto"/>
              <w:left w:val="single" w:sz="4" w:space="0" w:color="auto"/>
              <w:bottom w:val="single" w:sz="4" w:space="0" w:color="auto"/>
              <w:right w:val="single" w:sz="4" w:space="0" w:color="auto"/>
            </w:tcBorders>
            <w:hideMark/>
          </w:tcPr>
          <w:p w:rsidR="00CE78CB" w:rsidRPr="00D51D87" w:rsidRDefault="00CE78CB" w:rsidP="00D51D87">
            <w:pPr>
              <w:spacing w:before="120" w:after="120"/>
              <w:rPr>
                <w:rFonts w:ascii="Arial" w:hAnsi="Arial" w:cs="Arial"/>
                <w:b/>
                <w:i/>
                <w:noProof/>
                <w:sz w:val="20"/>
                <w:szCs w:val="20"/>
              </w:rPr>
            </w:pPr>
            <w:r w:rsidRPr="00D51D87">
              <w:rPr>
                <w:rFonts w:ascii="Arial" w:hAnsi="Arial" w:cs="Arial"/>
                <w:b/>
                <w:i/>
                <w:noProof/>
                <w:sz w:val="20"/>
                <w:szCs w:val="20"/>
              </w:rPr>
              <w:t>Recommendation 2</w:t>
            </w:r>
          </w:p>
          <w:p w:rsidR="00CE78CB" w:rsidRPr="00D51D87" w:rsidRDefault="00CE78CB" w:rsidP="00D51D87">
            <w:pPr>
              <w:spacing w:before="120" w:after="120"/>
              <w:rPr>
                <w:rFonts w:ascii="Arial" w:eastAsia="Times New Roman" w:hAnsi="Arial" w:cs="Arial"/>
                <w:sz w:val="20"/>
                <w:szCs w:val="20"/>
              </w:rPr>
            </w:pPr>
            <w:r w:rsidRPr="00D51D87">
              <w:rPr>
                <w:rFonts w:ascii="Arial" w:eastAsia="Times New Roman" w:hAnsi="Arial" w:cs="Arial"/>
                <w:sz w:val="20"/>
                <w:szCs w:val="20"/>
              </w:rPr>
              <w:t>The Government should remove the regulatory and financial barriers that prevent universities from developing accessible entry pathways to HDR training and offering flexible scholarships of appropriate duration and value.</w:t>
            </w:r>
          </w:p>
        </w:tc>
        <w:tc>
          <w:tcPr>
            <w:tcW w:w="4252" w:type="dxa"/>
            <w:tcBorders>
              <w:top w:val="single" w:sz="4" w:space="0" w:color="auto"/>
              <w:left w:val="single" w:sz="4" w:space="0" w:color="auto"/>
              <w:bottom w:val="single" w:sz="4" w:space="0" w:color="auto"/>
              <w:right w:val="single" w:sz="4" w:space="0" w:color="auto"/>
            </w:tcBorders>
            <w:hideMark/>
          </w:tcPr>
          <w:p w:rsidR="00CE78CB" w:rsidRPr="00D51D87" w:rsidRDefault="00CE78CB" w:rsidP="00D51D87">
            <w:pPr>
              <w:spacing w:before="120" w:after="120"/>
              <w:rPr>
                <w:rFonts w:ascii="Arial" w:hAnsi="Arial" w:cs="Arial"/>
                <w:b/>
                <w:sz w:val="20"/>
                <w:szCs w:val="20"/>
              </w:rPr>
            </w:pPr>
            <w:r w:rsidRPr="00D51D87">
              <w:rPr>
                <w:rFonts w:ascii="Arial" w:hAnsi="Arial" w:cs="Arial"/>
                <w:b/>
                <w:sz w:val="20"/>
                <w:szCs w:val="20"/>
              </w:rPr>
              <w:t>Accepted.</w:t>
            </w:r>
          </w:p>
          <w:p w:rsidR="00CE78CB" w:rsidRPr="00D51D87" w:rsidRDefault="00CE78CB" w:rsidP="00D51D87">
            <w:pPr>
              <w:spacing w:before="120" w:after="120"/>
              <w:rPr>
                <w:rFonts w:ascii="Arial" w:hAnsi="Arial" w:cs="Arial"/>
                <w:sz w:val="20"/>
                <w:szCs w:val="20"/>
              </w:rPr>
            </w:pPr>
            <w:r w:rsidRPr="00D51D87">
              <w:rPr>
                <w:rFonts w:ascii="Arial" w:hAnsi="Arial" w:cs="Arial"/>
                <w:sz w:val="20"/>
                <w:szCs w:val="20"/>
              </w:rPr>
              <w:t xml:space="preserve">This recommendation is being addressed through the National Innovation and Science Agenda (NISA) measure </w:t>
            </w:r>
            <w:r w:rsidRPr="00D51D87">
              <w:rPr>
                <w:rFonts w:ascii="Arial" w:hAnsi="Arial" w:cs="Arial"/>
                <w:i/>
                <w:sz w:val="20"/>
                <w:szCs w:val="20"/>
              </w:rPr>
              <w:t>Sharper incentives for engagement.</w:t>
            </w:r>
          </w:p>
          <w:p w:rsidR="00132429" w:rsidRPr="00D51D87" w:rsidRDefault="00CE78CB" w:rsidP="00D51D87">
            <w:pPr>
              <w:spacing w:before="120" w:after="120"/>
              <w:rPr>
                <w:rFonts w:ascii="Arial" w:hAnsi="Arial" w:cs="Arial"/>
                <w:sz w:val="20"/>
                <w:szCs w:val="20"/>
              </w:rPr>
            </w:pPr>
            <w:r w:rsidRPr="00D51D87">
              <w:rPr>
                <w:rFonts w:ascii="Arial" w:hAnsi="Arial" w:cs="Arial"/>
                <w:sz w:val="20"/>
                <w:szCs w:val="20"/>
              </w:rPr>
              <w:t xml:space="preserve">Reforms to the research block grant funding arrangements will allow universities greater autonomy and flexibility in selecting students and managing research training funding to support scholarships and training pathways, including in relation to the duration and value of stipends for HDR students. </w:t>
            </w:r>
          </w:p>
        </w:tc>
      </w:tr>
      <w:tr w:rsidR="00CE78CB" w:rsidRPr="00D51D87" w:rsidTr="00E20390">
        <w:trPr>
          <w:trHeight w:val="625"/>
        </w:trPr>
        <w:tc>
          <w:tcPr>
            <w:tcW w:w="5104" w:type="dxa"/>
            <w:tcBorders>
              <w:top w:val="single" w:sz="4" w:space="0" w:color="auto"/>
              <w:left w:val="single" w:sz="4" w:space="0" w:color="auto"/>
              <w:bottom w:val="single" w:sz="4" w:space="0" w:color="auto"/>
              <w:right w:val="single" w:sz="4" w:space="0" w:color="auto"/>
            </w:tcBorders>
            <w:hideMark/>
          </w:tcPr>
          <w:p w:rsidR="00CE78CB" w:rsidRPr="00D51D87" w:rsidRDefault="00CE78CB" w:rsidP="00D51D87">
            <w:pPr>
              <w:spacing w:before="120" w:after="120"/>
              <w:rPr>
                <w:rFonts w:ascii="Arial" w:hAnsi="Arial" w:cs="Arial"/>
                <w:b/>
                <w:i/>
                <w:sz w:val="20"/>
                <w:szCs w:val="20"/>
              </w:rPr>
            </w:pPr>
            <w:r w:rsidRPr="00D51D87">
              <w:rPr>
                <w:rFonts w:ascii="Arial" w:hAnsi="Arial" w:cs="Arial"/>
                <w:b/>
                <w:i/>
                <w:sz w:val="20"/>
                <w:szCs w:val="20"/>
              </w:rPr>
              <w:t>Recommendation 3</w:t>
            </w:r>
          </w:p>
          <w:p w:rsidR="00CE78CB" w:rsidRPr="00D51D87" w:rsidRDefault="00CE78CB" w:rsidP="00D51D87">
            <w:pPr>
              <w:spacing w:before="120" w:after="120"/>
              <w:rPr>
                <w:rFonts w:ascii="Arial" w:eastAsia="Times New Roman" w:hAnsi="Arial" w:cs="Arial"/>
                <w:sz w:val="20"/>
                <w:szCs w:val="20"/>
              </w:rPr>
            </w:pPr>
            <w:r w:rsidRPr="00D51D87">
              <w:rPr>
                <w:rFonts w:ascii="Arial" w:eastAsia="Times New Roman" w:hAnsi="Arial" w:cs="Arial"/>
                <w:sz w:val="20"/>
                <w:szCs w:val="20"/>
              </w:rPr>
              <w:t>The Government should implement Recommendation 4 from the review of research policy and funding arrangements to provide additional funding to incentivise industry-university collaboration, with a particular focus on initiatives that connect HDR candidates with industry-led research problems.</w:t>
            </w:r>
          </w:p>
        </w:tc>
        <w:tc>
          <w:tcPr>
            <w:tcW w:w="4252" w:type="dxa"/>
            <w:tcBorders>
              <w:top w:val="single" w:sz="4" w:space="0" w:color="auto"/>
              <w:left w:val="single" w:sz="4" w:space="0" w:color="auto"/>
              <w:bottom w:val="single" w:sz="4" w:space="0" w:color="auto"/>
              <w:right w:val="single" w:sz="4" w:space="0" w:color="auto"/>
            </w:tcBorders>
            <w:hideMark/>
          </w:tcPr>
          <w:p w:rsidR="00CE78CB" w:rsidRPr="00D51D87" w:rsidRDefault="00CE78CB" w:rsidP="00D51D87">
            <w:pPr>
              <w:spacing w:before="120" w:after="120"/>
              <w:rPr>
                <w:rFonts w:ascii="Arial" w:hAnsi="Arial" w:cs="Arial"/>
                <w:sz w:val="20"/>
                <w:szCs w:val="20"/>
              </w:rPr>
            </w:pPr>
            <w:r w:rsidRPr="00D51D87">
              <w:rPr>
                <w:rFonts w:ascii="Arial" w:hAnsi="Arial" w:cs="Arial"/>
                <w:b/>
                <w:sz w:val="20"/>
                <w:szCs w:val="20"/>
              </w:rPr>
              <w:t>Accepted.</w:t>
            </w:r>
          </w:p>
          <w:p w:rsidR="00CE78CB" w:rsidRPr="00D51D87" w:rsidRDefault="00CE78CB" w:rsidP="00D51D87">
            <w:pPr>
              <w:spacing w:before="120" w:after="120"/>
              <w:rPr>
                <w:rFonts w:ascii="Arial" w:hAnsi="Arial" w:cs="Arial"/>
                <w:sz w:val="20"/>
                <w:szCs w:val="20"/>
              </w:rPr>
            </w:pPr>
            <w:r w:rsidRPr="00D51D87">
              <w:rPr>
                <w:rFonts w:ascii="Arial" w:hAnsi="Arial" w:cs="Arial"/>
                <w:sz w:val="20"/>
                <w:szCs w:val="20"/>
              </w:rPr>
              <w:t xml:space="preserve">This recommendation is being addressed through the NISA initiative </w:t>
            </w:r>
            <w:r w:rsidRPr="00D51D87">
              <w:rPr>
                <w:rFonts w:ascii="Arial" w:hAnsi="Arial" w:cs="Arial"/>
                <w:i/>
                <w:sz w:val="20"/>
                <w:szCs w:val="20"/>
              </w:rPr>
              <w:t>Sharper incentives for engagement</w:t>
            </w:r>
            <w:r w:rsidRPr="00D51D87">
              <w:rPr>
                <w:rFonts w:ascii="Arial" w:hAnsi="Arial" w:cs="Arial"/>
                <w:sz w:val="20"/>
                <w:szCs w:val="20"/>
              </w:rPr>
              <w:t>.</w:t>
            </w:r>
          </w:p>
          <w:p w:rsidR="00CE78CB" w:rsidRPr="00D51D87" w:rsidRDefault="00CE78CB" w:rsidP="00D51D87">
            <w:pPr>
              <w:spacing w:before="120" w:after="120"/>
              <w:rPr>
                <w:rFonts w:ascii="Arial" w:hAnsi="Arial" w:cs="Arial"/>
                <w:sz w:val="20"/>
                <w:szCs w:val="20"/>
              </w:rPr>
            </w:pPr>
            <w:r w:rsidRPr="00D51D87">
              <w:rPr>
                <w:rFonts w:ascii="Arial" w:hAnsi="Arial" w:cs="Arial"/>
                <w:sz w:val="20"/>
                <w:szCs w:val="20"/>
              </w:rPr>
              <w:t>This measure is providing additional funding of $180 million over the forward estimates to increase incentives for universities to engage with industry and other end users of research</w:t>
            </w:r>
            <w:r w:rsidR="00D51D87">
              <w:rPr>
                <w:rFonts w:ascii="Arial" w:hAnsi="Arial" w:cs="Arial"/>
                <w:sz w:val="20"/>
                <w:szCs w:val="20"/>
              </w:rPr>
              <w:t>.</w:t>
            </w:r>
          </w:p>
          <w:p w:rsidR="00132429" w:rsidRPr="00D51D87" w:rsidRDefault="00132429" w:rsidP="00D51D87">
            <w:pPr>
              <w:spacing w:before="120" w:after="120"/>
              <w:rPr>
                <w:rFonts w:ascii="Arial" w:hAnsi="Arial" w:cs="Arial"/>
                <w:sz w:val="20"/>
                <w:szCs w:val="20"/>
              </w:rPr>
            </w:pPr>
            <w:r w:rsidRPr="00D51D87">
              <w:rPr>
                <w:rFonts w:ascii="Arial" w:hAnsi="Arial" w:cs="Arial"/>
                <w:sz w:val="20"/>
                <w:szCs w:val="20"/>
              </w:rPr>
              <w:t>The Government will also support HDR students to connect with industry through expansion of the Australian Mathematical Sciences Institute’s internship program (see recommendation 4).</w:t>
            </w:r>
          </w:p>
        </w:tc>
      </w:tr>
      <w:tr w:rsidR="00CE78CB" w:rsidRPr="00D51D87" w:rsidTr="00E20390">
        <w:trPr>
          <w:trHeight w:val="625"/>
        </w:trPr>
        <w:tc>
          <w:tcPr>
            <w:tcW w:w="5104" w:type="dxa"/>
            <w:tcBorders>
              <w:top w:val="single" w:sz="4" w:space="0" w:color="auto"/>
              <w:left w:val="single" w:sz="4" w:space="0" w:color="auto"/>
              <w:bottom w:val="single" w:sz="4" w:space="0" w:color="auto"/>
              <w:right w:val="single" w:sz="4" w:space="0" w:color="auto"/>
            </w:tcBorders>
            <w:hideMark/>
          </w:tcPr>
          <w:p w:rsidR="00CE78CB" w:rsidRPr="00D51D87" w:rsidRDefault="00CE78CB" w:rsidP="00D51D87">
            <w:pPr>
              <w:spacing w:before="120" w:after="120"/>
              <w:rPr>
                <w:rFonts w:ascii="Arial" w:hAnsi="Arial" w:cs="Arial"/>
                <w:b/>
                <w:i/>
                <w:sz w:val="20"/>
                <w:szCs w:val="20"/>
              </w:rPr>
            </w:pPr>
            <w:r w:rsidRPr="00D51D87">
              <w:rPr>
                <w:rFonts w:ascii="Arial" w:hAnsi="Arial" w:cs="Arial"/>
                <w:b/>
                <w:i/>
                <w:sz w:val="20"/>
                <w:szCs w:val="20"/>
              </w:rPr>
              <w:lastRenderedPageBreak/>
              <w:t>Recommendation 4</w:t>
            </w:r>
          </w:p>
          <w:p w:rsidR="00CE78CB" w:rsidRPr="00D51D87" w:rsidRDefault="00CE78CB" w:rsidP="00D51D87">
            <w:pPr>
              <w:spacing w:before="120" w:after="120"/>
              <w:rPr>
                <w:rFonts w:ascii="Arial" w:eastAsia="Times New Roman" w:hAnsi="Arial" w:cs="Arial"/>
                <w:sz w:val="20"/>
                <w:szCs w:val="20"/>
              </w:rPr>
            </w:pPr>
            <w:r w:rsidRPr="00D51D87">
              <w:rPr>
                <w:rFonts w:ascii="Arial" w:eastAsia="Times New Roman" w:hAnsi="Arial" w:cs="Arial"/>
                <w:sz w:val="20"/>
                <w:szCs w:val="20"/>
              </w:rPr>
              <w:t xml:space="preserve">The Government should implement Recommendation 11 from the review of research policy and funding arrangements to develop a national program to support industry placements for Research Doctorate candidates. </w:t>
            </w:r>
          </w:p>
          <w:p w:rsidR="00CE78CB" w:rsidRPr="00D51D87" w:rsidRDefault="00CE78CB" w:rsidP="00D51D87">
            <w:pPr>
              <w:spacing w:before="120" w:after="120"/>
              <w:rPr>
                <w:rFonts w:ascii="Arial" w:eastAsia="Times New Roman" w:hAnsi="Arial" w:cs="Arial"/>
                <w:sz w:val="20"/>
                <w:szCs w:val="20"/>
              </w:rPr>
            </w:pPr>
            <w:r w:rsidRPr="00D51D87">
              <w:rPr>
                <w:rFonts w:ascii="Arial" w:eastAsia="Times New Roman" w:hAnsi="Arial" w:cs="Arial"/>
                <w:sz w:val="20"/>
                <w:szCs w:val="20"/>
              </w:rPr>
              <w:t xml:space="preserve">The successful Canadian Mitacs program would be a useful template for developing an Australian scheme, and it will be imperative to learn from and engage with existing Australian schemes. </w:t>
            </w:r>
          </w:p>
          <w:p w:rsidR="00CE78CB" w:rsidRPr="00D51D87" w:rsidRDefault="00CE78CB" w:rsidP="00D51D87">
            <w:pPr>
              <w:spacing w:before="120" w:after="120"/>
              <w:rPr>
                <w:rFonts w:ascii="Arial" w:eastAsia="Times New Roman" w:hAnsi="Arial" w:cs="Arial"/>
                <w:sz w:val="20"/>
                <w:szCs w:val="20"/>
              </w:rPr>
            </w:pPr>
            <w:r w:rsidRPr="00D51D87">
              <w:rPr>
                <w:rFonts w:ascii="Arial" w:eastAsia="Times New Roman" w:hAnsi="Arial" w:cs="Arial"/>
                <w:sz w:val="20"/>
                <w:szCs w:val="20"/>
              </w:rPr>
              <w:t>Over time, the national scheme should be expanded to be accessible to all HDR candidates who wish to participate.</w:t>
            </w:r>
          </w:p>
        </w:tc>
        <w:tc>
          <w:tcPr>
            <w:tcW w:w="4252" w:type="dxa"/>
            <w:tcBorders>
              <w:top w:val="single" w:sz="4" w:space="0" w:color="auto"/>
              <w:left w:val="single" w:sz="4" w:space="0" w:color="auto"/>
              <w:bottom w:val="single" w:sz="4" w:space="0" w:color="auto"/>
              <w:right w:val="single" w:sz="4" w:space="0" w:color="auto"/>
            </w:tcBorders>
            <w:hideMark/>
          </w:tcPr>
          <w:p w:rsidR="00CE78CB" w:rsidRPr="00D51D87" w:rsidRDefault="00CE78CB" w:rsidP="00D51D87">
            <w:pPr>
              <w:spacing w:before="120" w:after="120"/>
              <w:rPr>
                <w:rFonts w:ascii="Arial" w:hAnsi="Arial" w:cs="Arial"/>
                <w:b/>
                <w:sz w:val="20"/>
                <w:szCs w:val="20"/>
              </w:rPr>
            </w:pPr>
            <w:r w:rsidRPr="00D51D87">
              <w:rPr>
                <w:rFonts w:ascii="Arial" w:hAnsi="Arial" w:cs="Arial"/>
                <w:b/>
                <w:sz w:val="20"/>
                <w:szCs w:val="20"/>
              </w:rPr>
              <w:t>Accepted.</w:t>
            </w:r>
          </w:p>
          <w:p w:rsidR="00CE78CB" w:rsidRPr="00D51D87" w:rsidRDefault="00CE78CB" w:rsidP="00D51D87">
            <w:pPr>
              <w:spacing w:before="120" w:after="120"/>
              <w:rPr>
                <w:rFonts w:ascii="Arial" w:hAnsi="Arial" w:cs="Arial"/>
                <w:sz w:val="20"/>
                <w:szCs w:val="20"/>
              </w:rPr>
            </w:pPr>
            <w:r w:rsidRPr="00D51D87">
              <w:rPr>
                <w:rFonts w:ascii="Arial" w:hAnsi="Arial" w:cs="Arial"/>
                <w:sz w:val="20"/>
                <w:szCs w:val="20"/>
              </w:rPr>
              <w:t xml:space="preserve">The Australian Government has committed $28.2 million </w:t>
            </w:r>
            <w:r w:rsidR="00132429" w:rsidRPr="00D51D87">
              <w:rPr>
                <w:rFonts w:ascii="Arial" w:hAnsi="Arial" w:cs="Arial"/>
                <w:sz w:val="20"/>
                <w:szCs w:val="20"/>
              </w:rPr>
              <w:t xml:space="preserve">over four years </w:t>
            </w:r>
            <w:r w:rsidRPr="00D51D87">
              <w:rPr>
                <w:rFonts w:ascii="Arial" w:hAnsi="Arial" w:cs="Arial"/>
                <w:sz w:val="20"/>
                <w:szCs w:val="20"/>
              </w:rPr>
              <w:t>to expand the Australian Mathematical Sciences Institute’s internship program to a national s</w:t>
            </w:r>
            <w:r w:rsidR="004F32D5">
              <w:rPr>
                <w:rFonts w:ascii="Arial" w:hAnsi="Arial" w:cs="Arial"/>
                <w:sz w:val="20"/>
                <w:szCs w:val="20"/>
              </w:rPr>
              <w:t>c</w:t>
            </w:r>
            <w:bookmarkStart w:id="0" w:name="_GoBack"/>
            <w:bookmarkEnd w:id="0"/>
            <w:r w:rsidRPr="00D51D87">
              <w:rPr>
                <w:rFonts w:ascii="Arial" w:hAnsi="Arial" w:cs="Arial"/>
                <w:sz w:val="20"/>
                <w:szCs w:val="20"/>
              </w:rPr>
              <w:t>ale program, providing 1,400 new placements for PhD researchers, with a particular focus on women researchers.</w:t>
            </w:r>
          </w:p>
        </w:tc>
      </w:tr>
      <w:tr w:rsidR="00CE78CB" w:rsidRPr="00D51D87" w:rsidTr="00E20390">
        <w:trPr>
          <w:trHeight w:val="625"/>
        </w:trPr>
        <w:tc>
          <w:tcPr>
            <w:tcW w:w="5104" w:type="dxa"/>
            <w:tcBorders>
              <w:top w:val="single" w:sz="4" w:space="0" w:color="auto"/>
              <w:left w:val="single" w:sz="4" w:space="0" w:color="auto"/>
              <w:bottom w:val="single" w:sz="4" w:space="0" w:color="auto"/>
              <w:right w:val="single" w:sz="4" w:space="0" w:color="auto"/>
            </w:tcBorders>
            <w:hideMark/>
          </w:tcPr>
          <w:p w:rsidR="00CE78CB" w:rsidRPr="00D51D87" w:rsidRDefault="00CE78CB" w:rsidP="00D51D87">
            <w:pPr>
              <w:spacing w:before="120" w:after="120"/>
              <w:rPr>
                <w:rFonts w:ascii="Arial" w:hAnsi="Arial" w:cs="Arial"/>
                <w:b/>
                <w:i/>
                <w:sz w:val="20"/>
                <w:szCs w:val="20"/>
              </w:rPr>
            </w:pPr>
            <w:r w:rsidRPr="00D51D87">
              <w:rPr>
                <w:rFonts w:ascii="Arial" w:hAnsi="Arial" w:cs="Arial"/>
                <w:b/>
                <w:i/>
                <w:sz w:val="20"/>
                <w:szCs w:val="20"/>
              </w:rPr>
              <w:t>Recommendation 5</w:t>
            </w:r>
          </w:p>
          <w:p w:rsidR="00CE78CB" w:rsidRPr="00D51D87" w:rsidRDefault="00CE78CB" w:rsidP="00D51D87">
            <w:pPr>
              <w:spacing w:before="120" w:after="120"/>
              <w:rPr>
                <w:rFonts w:ascii="Arial" w:hAnsi="Arial" w:cs="Arial"/>
                <w:b/>
                <w:noProof/>
                <w:sz w:val="20"/>
                <w:szCs w:val="20"/>
              </w:rPr>
            </w:pPr>
            <w:r w:rsidRPr="00D51D87">
              <w:rPr>
                <w:rFonts w:ascii="Arial" w:eastAsia="Times New Roman" w:hAnsi="Arial" w:cs="Arial"/>
                <w:sz w:val="20"/>
                <w:szCs w:val="20"/>
              </w:rPr>
              <w:t>The Government should institute a longitudinal national data collection exercise to monitor course satisfaction, course completions and career outcomes for HDR training.</w:t>
            </w:r>
          </w:p>
        </w:tc>
        <w:tc>
          <w:tcPr>
            <w:tcW w:w="4252" w:type="dxa"/>
            <w:tcBorders>
              <w:top w:val="single" w:sz="4" w:space="0" w:color="auto"/>
              <w:left w:val="single" w:sz="4" w:space="0" w:color="auto"/>
              <w:bottom w:val="single" w:sz="4" w:space="0" w:color="auto"/>
              <w:right w:val="single" w:sz="4" w:space="0" w:color="auto"/>
            </w:tcBorders>
            <w:hideMark/>
          </w:tcPr>
          <w:p w:rsidR="00CE78CB" w:rsidRPr="00D51D87" w:rsidRDefault="00CE78CB" w:rsidP="00D51D87">
            <w:pPr>
              <w:spacing w:before="120" w:after="120"/>
              <w:rPr>
                <w:rFonts w:ascii="Arial" w:hAnsi="Arial" w:cs="Arial"/>
                <w:b/>
                <w:sz w:val="20"/>
                <w:szCs w:val="20"/>
              </w:rPr>
            </w:pPr>
            <w:r w:rsidRPr="00D51D87">
              <w:rPr>
                <w:rFonts w:ascii="Arial" w:hAnsi="Arial" w:cs="Arial"/>
                <w:b/>
                <w:sz w:val="20"/>
                <w:szCs w:val="20"/>
              </w:rPr>
              <w:t>Accepted.</w:t>
            </w:r>
          </w:p>
          <w:p w:rsidR="00CE78CB" w:rsidRPr="00D51D87" w:rsidRDefault="00CE78CB" w:rsidP="00D51D87">
            <w:pPr>
              <w:spacing w:before="120" w:after="120"/>
              <w:rPr>
                <w:rFonts w:ascii="Arial" w:hAnsi="Arial" w:cs="Arial"/>
                <w:sz w:val="20"/>
                <w:szCs w:val="20"/>
              </w:rPr>
            </w:pPr>
            <w:r w:rsidRPr="00D51D87">
              <w:rPr>
                <w:rFonts w:ascii="Arial" w:hAnsi="Arial" w:cs="Arial"/>
                <w:sz w:val="20"/>
                <w:szCs w:val="20"/>
              </w:rPr>
              <w:t>This recommendation is being addressed through data collections such as the Quality Indicators for Learning and Teaching (QILT) and the Higher Education Student Data Collection.</w:t>
            </w:r>
          </w:p>
          <w:p w:rsidR="00CE78CB" w:rsidRPr="00D51D87" w:rsidRDefault="00CE78CB" w:rsidP="00D51D87">
            <w:pPr>
              <w:spacing w:before="120" w:after="120"/>
              <w:rPr>
                <w:rFonts w:ascii="Arial" w:hAnsi="Arial" w:cs="Arial"/>
                <w:sz w:val="20"/>
                <w:szCs w:val="20"/>
              </w:rPr>
            </w:pPr>
            <w:r w:rsidRPr="00D51D87">
              <w:rPr>
                <w:rFonts w:ascii="Arial" w:hAnsi="Arial" w:cs="Arial"/>
                <w:sz w:val="20"/>
                <w:szCs w:val="20"/>
              </w:rPr>
              <w:t xml:space="preserve">These sources include detailed data from HDR graduates on their course satisfaction and career outcomes. </w:t>
            </w:r>
          </w:p>
        </w:tc>
      </w:tr>
      <w:tr w:rsidR="00CE78CB" w:rsidRPr="00D51D87" w:rsidTr="00E20390">
        <w:trPr>
          <w:trHeight w:val="625"/>
        </w:trPr>
        <w:tc>
          <w:tcPr>
            <w:tcW w:w="5104" w:type="dxa"/>
            <w:tcBorders>
              <w:top w:val="single" w:sz="4" w:space="0" w:color="auto"/>
              <w:left w:val="single" w:sz="4" w:space="0" w:color="auto"/>
              <w:bottom w:val="single" w:sz="4" w:space="0" w:color="auto"/>
              <w:right w:val="single" w:sz="4" w:space="0" w:color="auto"/>
            </w:tcBorders>
            <w:hideMark/>
          </w:tcPr>
          <w:p w:rsidR="00CE78CB" w:rsidRPr="00D51D87" w:rsidRDefault="00CE78CB" w:rsidP="00D51D87">
            <w:pPr>
              <w:spacing w:before="120" w:after="120"/>
              <w:rPr>
                <w:rFonts w:ascii="Arial" w:hAnsi="Arial" w:cs="Arial"/>
                <w:b/>
                <w:i/>
                <w:sz w:val="20"/>
                <w:szCs w:val="20"/>
              </w:rPr>
            </w:pPr>
            <w:r w:rsidRPr="00D51D87">
              <w:rPr>
                <w:rFonts w:ascii="Arial" w:hAnsi="Arial" w:cs="Arial"/>
                <w:b/>
                <w:i/>
                <w:sz w:val="20"/>
                <w:szCs w:val="20"/>
              </w:rPr>
              <w:t>Recommendation 6</w:t>
            </w:r>
          </w:p>
          <w:p w:rsidR="00CE78CB" w:rsidRPr="00D51D87" w:rsidRDefault="00CE78CB" w:rsidP="00D51D87">
            <w:pPr>
              <w:spacing w:before="120" w:after="120"/>
              <w:rPr>
                <w:rFonts w:ascii="Arial" w:eastAsia="Times New Roman" w:hAnsi="Arial" w:cs="Arial"/>
                <w:sz w:val="20"/>
                <w:szCs w:val="20"/>
              </w:rPr>
            </w:pPr>
            <w:r w:rsidRPr="00D51D87">
              <w:rPr>
                <w:rFonts w:ascii="Arial" w:eastAsia="Times New Roman" w:hAnsi="Arial" w:cs="Arial"/>
                <w:sz w:val="20"/>
                <w:szCs w:val="20"/>
              </w:rPr>
              <w:t>The Government should institute increased weighting for Indigenous HDR completions in the Research Block Grants formulae, and flexibility in scholarship guidelines to allow for higher value stipends and real wage fellowships to further encourage Indigenous participation in HDR training.</w:t>
            </w:r>
          </w:p>
        </w:tc>
        <w:tc>
          <w:tcPr>
            <w:tcW w:w="4252" w:type="dxa"/>
            <w:tcBorders>
              <w:top w:val="single" w:sz="4" w:space="0" w:color="auto"/>
              <w:left w:val="single" w:sz="4" w:space="0" w:color="auto"/>
              <w:bottom w:val="single" w:sz="4" w:space="0" w:color="auto"/>
              <w:right w:val="single" w:sz="4" w:space="0" w:color="auto"/>
            </w:tcBorders>
            <w:hideMark/>
          </w:tcPr>
          <w:p w:rsidR="00CE78CB" w:rsidRPr="00D51D87" w:rsidRDefault="00CE78CB" w:rsidP="00D51D87">
            <w:pPr>
              <w:spacing w:before="120" w:after="120"/>
              <w:rPr>
                <w:rFonts w:ascii="Arial" w:hAnsi="Arial" w:cs="Arial"/>
                <w:b/>
                <w:sz w:val="20"/>
                <w:szCs w:val="20"/>
              </w:rPr>
            </w:pPr>
            <w:r w:rsidRPr="00D51D87">
              <w:rPr>
                <w:rFonts w:ascii="Arial" w:hAnsi="Arial" w:cs="Arial"/>
                <w:b/>
                <w:sz w:val="20"/>
                <w:szCs w:val="20"/>
              </w:rPr>
              <w:t>Accepted.</w:t>
            </w:r>
          </w:p>
          <w:p w:rsidR="00CE78CB" w:rsidRPr="00D51D87" w:rsidRDefault="00CE78CB" w:rsidP="00D51D87">
            <w:pPr>
              <w:spacing w:before="120" w:after="120"/>
              <w:rPr>
                <w:rFonts w:ascii="Arial" w:hAnsi="Arial" w:cs="Arial"/>
                <w:sz w:val="20"/>
                <w:szCs w:val="20"/>
              </w:rPr>
            </w:pPr>
            <w:r w:rsidRPr="00D51D87">
              <w:rPr>
                <w:rFonts w:ascii="Arial" w:hAnsi="Arial" w:cs="Arial"/>
                <w:sz w:val="20"/>
                <w:szCs w:val="20"/>
              </w:rPr>
              <w:t xml:space="preserve">This recommendation is being addressed through the NISA initiative </w:t>
            </w:r>
            <w:r w:rsidRPr="00D51D87">
              <w:rPr>
                <w:rFonts w:ascii="Arial" w:hAnsi="Arial" w:cs="Arial"/>
                <w:i/>
                <w:sz w:val="20"/>
                <w:szCs w:val="20"/>
              </w:rPr>
              <w:t>Sharper incentives for engagement</w:t>
            </w:r>
            <w:r w:rsidRPr="00D51D87">
              <w:rPr>
                <w:rFonts w:ascii="Arial" w:hAnsi="Arial" w:cs="Arial"/>
                <w:sz w:val="20"/>
                <w:szCs w:val="20"/>
              </w:rPr>
              <w:t>.</w:t>
            </w:r>
          </w:p>
          <w:p w:rsidR="00CE78CB" w:rsidRPr="00D51D87" w:rsidRDefault="00CE78CB" w:rsidP="00D51D87">
            <w:pPr>
              <w:spacing w:before="120" w:after="120"/>
              <w:rPr>
                <w:rFonts w:ascii="Arial" w:hAnsi="Arial" w:cs="Arial"/>
                <w:sz w:val="20"/>
                <w:szCs w:val="20"/>
              </w:rPr>
            </w:pPr>
            <w:r w:rsidRPr="00D51D87">
              <w:rPr>
                <w:rFonts w:ascii="Arial" w:hAnsi="Arial" w:cs="Arial"/>
                <w:sz w:val="20"/>
                <w:szCs w:val="20"/>
              </w:rPr>
              <w:t xml:space="preserve">The Government has doubled the weighting for Indigenous HDR students in the student completions formula. </w:t>
            </w:r>
          </w:p>
        </w:tc>
      </w:tr>
    </w:tbl>
    <w:p w:rsidR="00CE78CB" w:rsidRPr="00D51D87" w:rsidRDefault="00CE78CB">
      <w:pPr>
        <w:rPr>
          <w:rFonts w:ascii="Arial" w:hAnsi="Arial" w:cs="Arial"/>
          <w:sz w:val="24"/>
          <w:szCs w:val="24"/>
        </w:rPr>
      </w:pPr>
    </w:p>
    <w:sectPr w:rsidR="00CE78CB" w:rsidRPr="00D51D87" w:rsidSect="00D51D87">
      <w:pgSz w:w="11906" w:h="16838"/>
      <w:pgMar w:top="1474" w:right="1440" w:bottom="147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CB"/>
    <w:rsid w:val="00132429"/>
    <w:rsid w:val="004F32D5"/>
    <w:rsid w:val="008954C3"/>
    <w:rsid w:val="00CE78CB"/>
    <w:rsid w:val="00D51D87"/>
    <w:rsid w:val="00F578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E50E3A65.dotm</Template>
  <TotalTime>0</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Parrinder</dc:creator>
  <cp:lastModifiedBy>David Graham</cp:lastModifiedBy>
  <cp:revision>3</cp:revision>
  <dcterms:created xsi:type="dcterms:W3CDTF">2016-11-03T05:26:00Z</dcterms:created>
  <dcterms:modified xsi:type="dcterms:W3CDTF">2016-11-04T01:26:00Z</dcterms:modified>
</cp:coreProperties>
</file>