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Default="00E57D48" w:rsidP="00E57D48">
      <w:pPr>
        <w:pStyle w:val="BodyText"/>
        <w:jc w:val="center"/>
      </w:pPr>
      <w:bookmarkStart w:id="0" w:name="_GoBack"/>
      <w:r>
        <w:rPr>
          <w:noProof/>
        </w:rPr>
        <w:drawing>
          <wp:inline distT="0" distB="0" distL="0" distR="0">
            <wp:extent cx="4880610" cy="890905"/>
            <wp:effectExtent l="0" t="0" r="0" b="4445"/>
            <wp:docPr id="5" name="Picture 5" descr="C:\Users\NC2911\AppData\Local\Microsoft\Windows\Temporary Internet Files\Content.Outlook\NM9FRCFI\NRIR_AUS GO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2911\AppData\Local\Microsoft\Windows\Temporary Internet Files\Content.Outlook\NM9FRCFI\NRIR_AUS GOV_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0610" cy="890905"/>
                    </a:xfrm>
                    <a:prstGeom prst="rect">
                      <a:avLst/>
                    </a:prstGeom>
                    <a:noFill/>
                    <a:ln>
                      <a:noFill/>
                    </a:ln>
                  </pic:spPr>
                </pic:pic>
              </a:graphicData>
            </a:graphic>
          </wp:inline>
        </w:drawing>
      </w:r>
      <w:bookmarkEnd w:id="0"/>
    </w:p>
    <w:p w:rsidR="00E30E3E" w:rsidRDefault="00B8025F" w:rsidP="006F247E">
      <w:pPr>
        <w:pStyle w:val="Title"/>
        <w:spacing w:before="3000"/>
        <w:ind w:left="3969" w:right="-23"/>
        <w:rPr>
          <w:rFonts w:asciiTheme="minorHAnsi" w:hAnsiTheme="minorHAnsi" w:cstheme="minorHAnsi"/>
          <w:b w:val="0"/>
          <w:color w:val="104165" w:themeColor="text2" w:themeShade="BF"/>
          <w:kern w:val="28"/>
          <w:sz w:val="52"/>
        </w:rPr>
      </w:pPr>
      <w:r w:rsidRPr="005354A0">
        <w:rPr>
          <w:rFonts w:asciiTheme="minorHAnsi" w:hAnsiTheme="minorHAnsi" w:cstheme="minorHAnsi"/>
          <w:b w:val="0"/>
          <w:color w:val="104165" w:themeColor="text2" w:themeShade="BF"/>
          <w:kern w:val="28"/>
          <w:sz w:val="52"/>
        </w:rPr>
        <w:t>N</w:t>
      </w:r>
      <w:r w:rsidR="00E30E3E">
        <w:rPr>
          <w:rFonts w:asciiTheme="minorHAnsi" w:hAnsiTheme="minorHAnsi" w:cstheme="minorHAnsi"/>
          <w:b w:val="0"/>
          <w:color w:val="104165" w:themeColor="text2" w:themeShade="BF"/>
          <w:kern w:val="28"/>
          <w:sz w:val="52"/>
        </w:rPr>
        <w:t xml:space="preserve">ational Research Infrastructure </w:t>
      </w:r>
      <w:r w:rsidR="00E30E3E" w:rsidRPr="005354A0">
        <w:rPr>
          <w:rFonts w:asciiTheme="minorHAnsi" w:hAnsiTheme="minorHAnsi" w:cstheme="minorHAnsi"/>
          <w:b w:val="0"/>
          <w:color w:val="104165" w:themeColor="text2" w:themeShade="BF"/>
          <w:kern w:val="28"/>
          <w:sz w:val="52"/>
        </w:rPr>
        <w:t xml:space="preserve">Capability </w:t>
      </w:r>
    </w:p>
    <w:p w:rsidR="00FD4B23" w:rsidRPr="005354A0" w:rsidRDefault="00411BDA" w:rsidP="00E30E3E">
      <w:pPr>
        <w:pStyle w:val="Title"/>
        <w:ind w:left="3249" w:right="-22" w:firstLine="720"/>
        <w:rPr>
          <w:rFonts w:asciiTheme="minorHAnsi" w:hAnsiTheme="minorHAnsi" w:cstheme="minorHAnsi"/>
          <w:noProof/>
          <w:lang w:eastAsia="en-AU"/>
        </w:rPr>
      </w:pPr>
      <w:r w:rsidRPr="005354A0">
        <w:rPr>
          <w:rFonts w:asciiTheme="minorHAnsi" w:hAnsiTheme="minorHAnsi" w:cstheme="minorHAnsi"/>
          <w:noProof/>
          <w:lang w:eastAsia="en-AU"/>
        </w:rPr>
        <w:drawing>
          <wp:anchor distT="0" distB="0" distL="114300" distR="114300" simplePos="0" relativeHeight="251659264" behindDoc="1" locked="0" layoutInCell="1" allowOverlap="1" wp14:anchorId="73689899" wp14:editId="0EB32DE1">
            <wp:simplePos x="0" y="0"/>
            <wp:positionH relativeFrom="column">
              <wp:posOffset>-890905</wp:posOffset>
            </wp:positionH>
            <wp:positionV relativeFrom="paragraph">
              <wp:posOffset>464556</wp:posOffset>
            </wp:positionV>
            <wp:extent cx="7656830" cy="5791835"/>
            <wp:effectExtent l="0" t="0" r="1270" b="0"/>
            <wp:wrapNone/>
            <wp:docPr id="9" name="Picture 9" descr="A 3-D representation of stacked cube shapes" title="2016 Roadmap br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IR_WordTemplate_Cover.jpg"/>
                    <pic:cNvPicPr/>
                  </pic:nvPicPr>
                  <pic:blipFill>
                    <a:blip r:embed="rId10">
                      <a:extLst>
                        <a:ext uri="{28A0092B-C50C-407E-A947-70E740481C1C}">
                          <a14:useLocalDpi xmlns:a14="http://schemas.microsoft.com/office/drawing/2010/main" val="0"/>
                        </a:ext>
                      </a:extLst>
                    </a:blip>
                    <a:stretch>
                      <a:fillRect/>
                    </a:stretch>
                  </pic:blipFill>
                  <pic:spPr>
                    <a:xfrm>
                      <a:off x="0" y="0"/>
                      <a:ext cx="7656830" cy="5791835"/>
                    </a:xfrm>
                    <a:prstGeom prst="rect">
                      <a:avLst/>
                    </a:prstGeom>
                  </pic:spPr>
                </pic:pic>
              </a:graphicData>
            </a:graphic>
            <wp14:sizeRelH relativeFrom="page">
              <wp14:pctWidth>0</wp14:pctWidth>
            </wp14:sizeRelH>
            <wp14:sizeRelV relativeFrom="page">
              <wp14:pctHeight>0</wp14:pctHeight>
            </wp14:sizeRelV>
          </wp:anchor>
        </w:drawing>
      </w:r>
      <w:r w:rsidR="00B8025F" w:rsidRPr="005354A0">
        <w:rPr>
          <w:rFonts w:asciiTheme="minorHAnsi" w:hAnsiTheme="minorHAnsi" w:cstheme="minorHAnsi"/>
          <w:b w:val="0"/>
          <w:color w:val="104165" w:themeColor="text2" w:themeShade="BF"/>
          <w:kern w:val="28"/>
          <w:sz w:val="52"/>
        </w:rPr>
        <w:t>Issues Paper</w:t>
      </w:r>
    </w:p>
    <w:p w:rsidR="00130923" w:rsidRDefault="00F33AD0" w:rsidP="00676CA8">
      <w:pPr>
        <w:pStyle w:val="Subtitle"/>
        <w:spacing w:before="240"/>
        <w:ind w:right="-23" w:firstLine="3969"/>
      </w:pPr>
      <w:r w:rsidRPr="00676CA8">
        <w:rPr>
          <w:rFonts w:asciiTheme="minorHAnsi" w:hAnsiTheme="minorHAnsi" w:cstheme="minorHAnsi"/>
          <w:b w:val="0"/>
          <w:color w:val="104165" w:themeColor="text2" w:themeShade="BF"/>
          <w:kern w:val="28"/>
          <w:sz w:val="48"/>
          <w:szCs w:val="48"/>
        </w:rPr>
        <w:t>July 2016</w:t>
      </w:r>
      <w:r w:rsidR="00130923">
        <w:br w:type="page"/>
      </w:r>
    </w:p>
    <w:p w:rsidR="00130923" w:rsidRDefault="00130923" w:rsidP="00130923">
      <w:pPr>
        <w:pStyle w:val="BodyText"/>
        <w:sectPr w:rsidR="00130923" w:rsidSect="006E2D49">
          <w:headerReference w:type="even" r:id="rId11"/>
          <w:headerReference w:type="default" r:id="rId12"/>
          <w:footerReference w:type="even" r:id="rId13"/>
          <w:footerReference w:type="default" r:id="rId14"/>
          <w:headerReference w:type="first" r:id="rId15"/>
          <w:footerReference w:type="first" r:id="rId16"/>
          <w:pgSz w:w="11906" w:h="16838"/>
          <w:pgMar w:top="1418" w:right="1274" w:bottom="1440" w:left="1440" w:header="708" w:footer="708" w:gutter="0"/>
          <w:cols w:space="708"/>
          <w:docGrid w:linePitch="360"/>
        </w:sectPr>
      </w:pPr>
    </w:p>
    <w:p w:rsidR="00130923" w:rsidRPr="008E4DA0" w:rsidRDefault="00130923" w:rsidP="007D58FB">
      <w:r w:rsidRPr="008E4DA0">
        <w:lastRenderedPageBreak/>
        <w:t>ISBN</w:t>
      </w:r>
    </w:p>
    <w:p w:rsidR="00130923" w:rsidRPr="007D58FB" w:rsidRDefault="00935670" w:rsidP="007D58FB">
      <w:pPr>
        <w:rPr>
          <w:szCs w:val="20"/>
        </w:rPr>
      </w:pPr>
      <w:r w:rsidRPr="00676CA8">
        <w:rPr>
          <w:szCs w:val="20"/>
        </w:rPr>
        <w:t>978-1-76028-791-7</w:t>
      </w:r>
      <w:r w:rsidRPr="00676CA8" w:rsidDel="00935670">
        <w:rPr>
          <w:szCs w:val="20"/>
        </w:rPr>
        <w:t xml:space="preserve"> </w:t>
      </w:r>
      <w:r w:rsidR="00130923" w:rsidRPr="00935670">
        <w:rPr>
          <w:szCs w:val="20"/>
        </w:rPr>
        <w:t>[PDF</w:t>
      </w:r>
      <w:proofErr w:type="gramStart"/>
      <w:r w:rsidR="00130923" w:rsidRPr="00935670">
        <w:rPr>
          <w:szCs w:val="20"/>
        </w:rPr>
        <w:t>]</w:t>
      </w:r>
      <w:proofErr w:type="gramEnd"/>
      <w:r w:rsidR="00130923" w:rsidRPr="00935670">
        <w:rPr>
          <w:szCs w:val="20"/>
        </w:rPr>
        <w:br/>
      </w:r>
      <w:r w:rsidRPr="00676CA8">
        <w:rPr>
          <w:szCs w:val="20"/>
        </w:rPr>
        <w:t>978-1-76028-792-4</w:t>
      </w:r>
      <w:r w:rsidR="00130923" w:rsidRPr="00935670">
        <w:rPr>
          <w:szCs w:val="20"/>
        </w:rPr>
        <w:t xml:space="preserve"> [</w:t>
      </w:r>
      <w:proofErr w:type="spellStart"/>
      <w:r w:rsidR="00130923" w:rsidRPr="00935670">
        <w:rPr>
          <w:szCs w:val="20"/>
        </w:rPr>
        <w:t>DOCX</w:t>
      </w:r>
      <w:proofErr w:type="spellEnd"/>
      <w:r w:rsidR="00130923" w:rsidRPr="00935670">
        <w:rPr>
          <w:szCs w:val="20"/>
        </w:rPr>
        <w:t>]</w:t>
      </w:r>
    </w:p>
    <w:p w:rsidR="00130923" w:rsidRDefault="0006339E" w:rsidP="00130923">
      <w:pPr>
        <w:pStyle w:val="numberedpara"/>
        <w:numPr>
          <w:ilvl w:val="0"/>
          <w:numId w:val="0"/>
        </w:numPr>
        <w:tabs>
          <w:tab w:val="left" w:pos="720"/>
        </w:tabs>
        <w:rPr>
          <w:sz w:val="20"/>
          <w:szCs w:val="20"/>
        </w:rPr>
      </w:pPr>
      <w:r>
        <w:rPr>
          <w:noProof/>
          <w:sz w:val="20"/>
          <w:szCs w:val="20"/>
        </w:rPr>
        <w:drawing>
          <wp:inline distT="0" distB="0" distL="0" distR="0" wp14:anchorId="786B4C77" wp14:editId="476167B1">
            <wp:extent cx="843280" cy="285115"/>
            <wp:effectExtent l="0" t="0" r="0" b="635"/>
            <wp:docPr id="2" name="Picture 2" title="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3280" cy="285115"/>
                    </a:xfrm>
                    <a:prstGeom prst="rect">
                      <a:avLst/>
                    </a:prstGeom>
                    <a:noFill/>
                    <a:ln>
                      <a:noFill/>
                    </a:ln>
                  </pic:spPr>
                </pic:pic>
              </a:graphicData>
            </a:graphic>
          </wp:inline>
        </w:drawing>
      </w:r>
    </w:p>
    <w:p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8"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9"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130923" w:rsidRDefault="00130923" w:rsidP="007235FE">
      <w:pPr>
        <w:ind w:right="-330"/>
      </w:pPr>
      <w:r w:rsidRPr="000462F1">
        <w:t>The document must be attributed as the</w:t>
      </w:r>
      <w:r>
        <w:t xml:space="preserve"> </w:t>
      </w:r>
      <w:r w:rsidR="007235FE">
        <w:t>2016 National Research Infrastructure Capability Issues Paper</w:t>
      </w:r>
      <w:r>
        <w:t>.</w:t>
      </w:r>
    </w:p>
    <w:p w:rsidR="00130923" w:rsidRDefault="00130923" w:rsidP="00130923">
      <w:pPr>
        <w:pStyle w:val="numberedpara"/>
        <w:numPr>
          <w:ilvl w:val="0"/>
          <w:numId w:val="0"/>
        </w:numPr>
        <w:tabs>
          <w:tab w:val="left" w:pos="720"/>
        </w:tabs>
        <w:spacing w:before="120" w:after="120"/>
        <w:rPr>
          <w:sz w:val="20"/>
          <w:szCs w:val="20"/>
        </w:rPr>
        <w:sectPr w:rsidR="00130923" w:rsidSect="007D58FB">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rsidR="00EF4A38" w:rsidRDefault="00CC656C" w:rsidP="00421609">
          <w:pPr>
            <w:pStyle w:val="TOCHeading"/>
            <w:numPr>
              <w:ilvl w:val="0"/>
              <w:numId w:val="0"/>
            </w:numPr>
            <w:ind w:left="432" w:hanging="432"/>
          </w:pPr>
          <w:r>
            <w:t>Table of C</w:t>
          </w:r>
          <w:r w:rsidR="00EF4A38">
            <w:t>ontents</w:t>
          </w:r>
        </w:p>
        <w:p w:rsidR="00AC70B4" w:rsidRDefault="008C7FDD">
          <w:pPr>
            <w:pStyle w:val="TOC1"/>
            <w:rPr>
              <w:noProof/>
              <w:lang w:eastAsia="en-AU"/>
            </w:rPr>
          </w:pPr>
          <w:r>
            <w:rPr>
              <w:b/>
              <w:bCs/>
              <w:noProof/>
            </w:rPr>
            <w:fldChar w:fldCharType="begin"/>
          </w:r>
          <w:r>
            <w:rPr>
              <w:b/>
              <w:bCs/>
              <w:noProof/>
            </w:rPr>
            <w:instrText xml:space="preserve"> TOC \o "1-1" \h \z \u </w:instrText>
          </w:r>
          <w:r>
            <w:rPr>
              <w:b/>
              <w:bCs/>
              <w:noProof/>
            </w:rPr>
            <w:fldChar w:fldCharType="separate"/>
          </w:r>
          <w:hyperlink w:anchor="_Toc456449017" w:history="1">
            <w:r w:rsidR="00AC70B4" w:rsidRPr="00F9729C">
              <w:rPr>
                <w:rStyle w:val="Hyperlink"/>
                <w:noProof/>
              </w:rPr>
              <w:t>1</w:t>
            </w:r>
            <w:r w:rsidR="00AC70B4">
              <w:rPr>
                <w:noProof/>
                <w:lang w:eastAsia="en-AU"/>
              </w:rPr>
              <w:tab/>
            </w:r>
            <w:r w:rsidR="00AC70B4" w:rsidRPr="00F9729C">
              <w:rPr>
                <w:rStyle w:val="Hyperlink"/>
                <w:noProof/>
              </w:rPr>
              <w:t>Introduction</w:t>
            </w:r>
            <w:r w:rsidR="00AC70B4">
              <w:rPr>
                <w:noProof/>
                <w:webHidden/>
              </w:rPr>
              <w:tab/>
            </w:r>
            <w:r w:rsidR="00AC70B4">
              <w:rPr>
                <w:noProof/>
                <w:webHidden/>
              </w:rPr>
              <w:fldChar w:fldCharType="begin"/>
            </w:r>
            <w:r w:rsidR="00AC70B4">
              <w:rPr>
                <w:noProof/>
                <w:webHidden/>
              </w:rPr>
              <w:instrText xml:space="preserve"> PAGEREF _Toc456449017 \h </w:instrText>
            </w:r>
            <w:r w:rsidR="00AC70B4">
              <w:rPr>
                <w:noProof/>
                <w:webHidden/>
              </w:rPr>
            </w:r>
            <w:r w:rsidR="00AC70B4">
              <w:rPr>
                <w:noProof/>
                <w:webHidden/>
              </w:rPr>
              <w:fldChar w:fldCharType="separate"/>
            </w:r>
            <w:r w:rsidR="007F53A1">
              <w:rPr>
                <w:noProof/>
                <w:webHidden/>
              </w:rPr>
              <w:t>4</w:t>
            </w:r>
            <w:r w:rsidR="00AC70B4">
              <w:rPr>
                <w:noProof/>
                <w:webHidden/>
              </w:rPr>
              <w:fldChar w:fldCharType="end"/>
            </w:r>
          </w:hyperlink>
        </w:p>
        <w:p w:rsidR="00AC70B4" w:rsidRDefault="00E57D48">
          <w:pPr>
            <w:pStyle w:val="TOC1"/>
            <w:rPr>
              <w:noProof/>
              <w:lang w:eastAsia="en-AU"/>
            </w:rPr>
          </w:pPr>
          <w:hyperlink w:anchor="_Toc456449018" w:history="1">
            <w:r w:rsidR="00AC70B4" w:rsidRPr="00F9729C">
              <w:rPr>
                <w:rStyle w:val="Hyperlink"/>
                <w:noProof/>
              </w:rPr>
              <w:t>2</w:t>
            </w:r>
            <w:r w:rsidR="00AC70B4">
              <w:rPr>
                <w:noProof/>
                <w:lang w:eastAsia="en-AU"/>
              </w:rPr>
              <w:tab/>
            </w:r>
            <w:r w:rsidR="00AC70B4" w:rsidRPr="00F9729C">
              <w:rPr>
                <w:rStyle w:val="Hyperlink"/>
                <w:noProof/>
              </w:rPr>
              <w:t>2016 National Research Infrastructure Roadmap</w:t>
            </w:r>
            <w:r w:rsidR="00AC70B4">
              <w:rPr>
                <w:noProof/>
                <w:webHidden/>
              </w:rPr>
              <w:tab/>
            </w:r>
            <w:r w:rsidR="00AC70B4">
              <w:rPr>
                <w:noProof/>
                <w:webHidden/>
              </w:rPr>
              <w:fldChar w:fldCharType="begin"/>
            </w:r>
            <w:r w:rsidR="00AC70B4">
              <w:rPr>
                <w:noProof/>
                <w:webHidden/>
              </w:rPr>
              <w:instrText xml:space="preserve"> PAGEREF _Toc456449018 \h </w:instrText>
            </w:r>
            <w:r w:rsidR="00AC70B4">
              <w:rPr>
                <w:noProof/>
                <w:webHidden/>
              </w:rPr>
            </w:r>
            <w:r w:rsidR="00AC70B4">
              <w:rPr>
                <w:noProof/>
                <w:webHidden/>
              </w:rPr>
              <w:fldChar w:fldCharType="separate"/>
            </w:r>
            <w:r w:rsidR="007F53A1">
              <w:rPr>
                <w:noProof/>
                <w:webHidden/>
              </w:rPr>
              <w:t>5</w:t>
            </w:r>
            <w:r w:rsidR="00AC70B4">
              <w:rPr>
                <w:noProof/>
                <w:webHidden/>
              </w:rPr>
              <w:fldChar w:fldCharType="end"/>
            </w:r>
          </w:hyperlink>
        </w:p>
        <w:p w:rsidR="00AC70B4" w:rsidRDefault="00E57D48">
          <w:pPr>
            <w:pStyle w:val="TOC1"/>
            <w:rPr>
              <w:noProof/>
              <w:lang w:eastAsia="en-AU"/>
            </w:rPr>
          </w:pPr>
          <w:hyperlink w:anchor="_Toc456449019" w:history="1">
            <w:r w:rsidR="00AC70B4" w:rsidRPr="00F9729C">
              <w:rPr>
                <w:rStyle w:val="Hyperlink"/>
                <w:noProof/>
              </w:rPr>
              <w:t>3</w:t>
            </w:r>
            <w:r w:rsidR="00AC70B4">
              <w:rPr>
                <w:noProof/>
                <w:lang w:eastAsia="en-AU"/>
              </w:rPr>
              <w:tab/>
            </w:r>
            <w:r w:rsidR="00AC70B4" w:rsidRPr="00F9729C">
              <w:rPr>
                <w:rStyle w:val="Hyperlink"/>
                <w:noProof/>
              </w:rPr>
              <w:t>National Research Infrastructure Policy Issues</w:t>
            </w:r>
            <w:r w:rsidR="00AC70B4">
              <w:rPr>
                <w:noProof/>
                <w:webHidden/>
              </w:rPr>
              <w:tab/>
            </w:r>
            <w:r w:rsidR="00AC70B4">
              <w:rPr>
                <w:noProof/>
                <w:webHidden/>
              </w:rPr>
              <w:fldChar w:fldCharType="begin"/>
            </w:r>
            <w:r w:rsidR="00AC70B4">
              <w:rPr>
                <w:noProof/>
                <w:webHidden/>
              </w:rPr>
              <w:instrText xml:space="preserve"> PAGEREF _Toc456449019 \h </w:instrText>
            </w:r>
            <w:r w:rsidR="00AC70B4">
              <w:rPr>
                <w:noProof/>
                <w:webHidden/>
              </w:rPr>
            </w:r>
            <w:r w:rsidR="00AC70B4">
              <w:rPr>
                <w:noProof/>
                <w:webHidden/>
              </w:rPr>
              <w:fldChar w:fldCharType="separate"/>
            </w:r>
            <w:r w:rsidR="007F53A1">
              <w:rPr>
                <w:noProof/>
                <w:webHidden/>
              </w:rPr>
              <w:t>7</w:t>
            </w:r>
            <w:r w:rsidR="00AC70B4">
              <w:rPr>
                <w:noProof/>
                <w:webHidden/>
              </w:rPr>
              <w:fldChar w:fldCharType="end"/>
            </w:r>
          </w:hyperlink>
        </w:p>
        <w:p w:rsidR="00AC70B4" w:rsidRDefault="00E57D48">
          <w:pPr>
            <w:pStyle w:val="TOC1"/>
            <w:rPr>
              <w:noProof/>
              <w:lang w:eastAsia="en-AU"/>
            </w:rPr>
          </w:pPr>
          <w:hyperlink w:anchor="_Toc456449020" w:history="1">
            <w:r w:rsidR="00AC70B4" w:rsidRPr="00F9729C">
              <w:rPr>
                <w:rStyle w:val="Hyperlink"/>
                <w:noProof/>
              </w:rPr>
              <w:t>4</w:t>
            </w:r>
            <w:r w:rsidR="00AC70B4">
              <w:rPr>
                <w:noProof/>
                <w:lang w:eastAsia="en-AU"/>
              </w:rPr>
              <w:tab/>
            </w:r>
            <w:r w:rsidR="00AC70B4" w:rsidRPr="00F9729C">
              <w:rPr>
                <w:rStyle w:val="Hyperlink"/>
                <w:noProof/>
              </w:rPr>
              <w:t>Capability Focus Areas</w:t>
            </w:r>
            <w:r w:rsidR="00AC70B4">
              <w:rPr>
                <w:noProof/>
                <w:webHidden/>
              </w:rPr>
              <w:tab/>
            </w:r>
            <w:r w:rsidR="00AC70B4">
              <w:rPr>
                <w:noProof/>
                <w:webHidden/>
              </w:rPr>
              <w:fldChar w:fldCharType="begin"/>
            </w:r>
            <w:r w:rsidR="00AC70B4">
              <w:rPr>
                <w:noProof/>
                <w:webHidden/>
              </w:rPr>
              <w:instrText xml:space="preserve"> PAGEREF _Toc456449020 \h </w:instrText>
            </w:r>
            <w:r w:rsidR="00AC70B4">
              <w:rPr>
                <w:noProof/>
                <w:webHidden/>
              </w:rPr>
            </w:r>
            <w:r w:rsidR="00AC70B4">
              <w:rPr>
                <w:noProof/>
                <w:webHidden/>
              </w:rPr>
              <w:fldChar w:fldCharType="separate"/>
            </w:r>
            <w:r w:rsidR="007F53A1">
              <w:rPr>
                <w:noProof/>
                <w:webHidden/>
              </w:rPr>
              <w:t>12</w:t>
            </w:r>
            <w:r w:rsidR="00AC70B4">
              <w:rPr>
                <w:noProof/>
                <w:webHidden/>
              </w:rPr>
              <w:fldChar w:fldCharType="end"/>
            </w:r>
          </w:hyperlink>
        </w:p>
        <w:p w:rsidR="00AC70B4" w:rsidRDefault="00E57D48">
          <w:pPr>
            <w:pStyle w:val="TOC1"/>
            <w:rPr>
              <w:noProof/>
              <w:lang w:eastAsia="en-AU"/>
            </w:rPr>
          </w:pPr>
          <w:hyperlink w:anchor="_Toc456449021" w:history="1">
            <w:r w:rsidR="00AC70B4" w:rsidRPr="00F9729C">
              <w:rPr>
                <w:rStyle w:val="Hyperlink"/>
                <w:noProof/>
              </w:rPr>
              <w:t>5</w:t>
            </w:r>
            <w:r w:rsidR="00AC70B4">
              <w:rPr>
                <w:noProof/>
                <w:lang w:eastAsia="en-AU"/>
              </w:rPr>
              <w:tab/>
            </w:r>
            <w:r w:rsidR="00AC70B4" w:rsidRPr="00F9729C">
              <w:rPr>
                <w:rStyle w:val="Hyperlink"/>
                <w:noProof/>
              </w:rPr>
              <w:t>Health and Medical Science</w:t>
            </w:r>
            <w:r w:rsidR="00AC70B4">
              <w:rPr>
                <w:noProof/>
                <w:webHidden/>
              </w:rPr>
              <w:tab/>
            </w:r>
            <w:r w:rsidR="00AC70B4">
              <w:rPr>
                <w:noProof/>
                <w:webHidden/>
              </w:rPr>
              <w:fldChar w:fldCharType="begin"/>
            </w:r>
            <w:r w:rsidR="00AC70B4">
              <w:rPr>
                <w:noProof/>
                <w:webHidden/>
              </w:rPr>
              <w:instrText xml:space="preserve"> PAGEREF _Toc456449021 \h </w:instrText>
            </w:r>
            <w:r w:rsidR="00AC70B4">
              <w:rPr>
                <w:noProof/>
                <w:webHidden/>
              </w:rPr>
            </w:r>
            <w:r w:rsidR="00AC70B4">
              <w:rPr>
                <w:noProof/>
                <w:webHidden/>
              </w:rPr>
              <w:fldChar w:fldCharType="separate"/>
            </w:r>
            <w:r w:rsidR="007F53A1">
              <w:rPr>
                <w:noProof/>
                <w:webHidden/>
              </w:rPr>
              <w:t>14</w:t>
            </w:r>
            <w:r w:rsidR="00AC70B4">
              <w:rPr>
                <w:noProof/>
                <w:webHidden/>
              </w:rPr>
              <w:fldChar w:fldCharType="end"/>
            </w:r>
          </w:hyperlink>
        </w:p>
        <w:p w:rsidR="00AC70B4" w:rsidRDefault="00E57D48">
          <w:pPr>
            <w:pStyle w:val="TOC1"/>
            <w:rPr>
              <w:noProof/>
              <w:lang w:eastAsia="en-AU"/>
            </w:rPr>
          </w:pPr>
          <w:hyperlink w:anchor="_Toc456449022" w:history="1">
            <w:r w:rsidR="00AC70B4" w:rsidRPr="00F9729C">
              <w:rPr>
                <w:rStyle w:val="Hyperlink"/>
                <w:noProof/>
              </w:rPr>
              <w:t>6</w:t>
            </w:r>
            <w:r w:rsidR="00AC70B4">
              <w:rPr>
                <w:noProof/>
                <w:lang w:eastAsia="en-AU"/>
              </w:rPr>
              <w:tab/>
            </w:r>
            <w:r w:rsidR="00AC70B4" w:rsidRPr="00F9729C">
              <w:rPr>
                <w:rStyle w:val="Hyperlink"/>
                <w:noProof/>
              </w:rPr>
              <w:t>Environment and Natural Resource Management</w:t>
            </w:r>
            <w:r w:rsidR="00AC70B4">
              <w:rPr>
                <w:noProof/>
                <w:webHidden/>
              </w:rPr>
              <w:tab/>
            </w:r>
            <w:r w:rsidR="00AC70B4">
              <w:rPr>
                <w:noProof/>
                <w:webHidden/>
              </w:rPr>
              <w:fldChar w:fldCharType="begin"/>
            </w:r>
            <w:r w:rsidR="00AC70B4">
              <w:rPr>
                <w:noProof/>
                <w:webHidden/>
              </w:rPr>
              <w:instrText xml:space="preserve"> PAGEREF _Toc456449022 \h </w:instrText>
            </w:r>
            <w:r w:rsidR="00AC70B4">
              <w:rPr>
                <w:noProof/>
                <w:webHidden/>
              </w:rPr>
            </w:r>
            <w:r w:rsidR="00AC70B4">
              <w:rPr>
                <w:noProof/>
                <w:webHidden/>
              </w:rPr>
              <w:fldChar w:fldCharType="separate"/>
            </w:r>
            <w:r w:rsidR="007F53A1">
              <w:rPr>
                <w:noProof/>
                <w:webHidden/>
              </w:rPr>
              <w:t>21</w:t>
            </w:r>
            <w:r w:rsidR="00AC70B4">
              <w:rPr>
                <w:noProof/>
                <w:webHidden/>
              </w:rPr>
              <w:fldChar w:fldCharType="end"/>
            </w:r>
          </w:hyperlink>
        </w:p>
        <w:p w:rsidR="00AC70B4" w:rsidRDefault="00E57D48">
          <w:pPr>
            <w:pStyle w:val="TOC1"/>
            <w:rPr>
              <w:noProof/>
              <w:lang w:eastAsia="en-AU"/>
            </w:rPr>
          </w:pPr>
          <w:hyperlink w:anchor="_Toc456449023" w:history="1">
            <w:r w:rsidR="00AC70B4" w:rsidRPr="00F9729C">
              <w:rPr>
                <w:rStyle w:val="Hyperlink"/>
                <w:noProof/>
              </w:rPr>
              <w:t>7</w:t>
            </w:r>
            <w:r w:rsidR="00AC70B4">
              <w:rPr>
                <w:noProof/>
                <w:lang w:eastAsia="en-AU"/>
              </w:rPr>
              <w:tab/>
            </w:r>
            <w:r w:rsidR="00AC70B4" w:rsidRPr="00F9729C">
              <w:rPr>
                <w:rStyle w:val="Hyperlink"/>
                <w:noProof/>
              </w:rPr>
              <w:t>Advanced Physics, Chemistry, Mathematics and Materials</w:t>
            </w:r>
            <w:r w:rsidR="00AC70B4">
              <w:rPr>
                <w:noProof/>
                <w:webHidden/>
              </w:rPr>
              <w:tab/>
            </w:r>
            <w:r w:rsidR="00AC70B4">
              <w:rPr>
                <w:noProof/>
                <w:webHidden/>
              </w:rPr>
              <w:fldChar w:fldCharType="begin"/>
            </w:r>
            <w:r w:rsidR="00AC70B4">
              <w:rPr>
                <w:noProof/>
                <w:webHidden/>
              </w:rPr>
              <w:instrText xml:space="preserve"> PAGEREF _Toc456449023 \h </w:instrText>
            </w:r>
            <w:r w:rsidR="00AC70B4">
              <w:rPr>
                <w:noProof/>
                <w:webHidden/>
              </w:rPr>
            </w:r>
            <w:r w:rsidR="00AC70B4">
              <w:rPr>
                <w:noProof/>
                <w:webHidden/>
              </w:rPr>
              <w:fldChar w:fldCharType="separate"/>
            </w:r>
            <w:r w:rsidR="007F53A1">
              <w:rPr>
                <w:noProof/>
                <w:webHidden/>
              </w:rPr>
              <w:t>27</w:t>
            </w:r>
            <w:r w:rsidR="00AC70B4">
              <w:rPr>
                <w:noProof/>
                <w:webHidden/>
              </w:rPr>
              <w:fldChar w:fldCharType="end"/>
            </w:r>
          </w:hyperlink>
        </w:p>
        <w:p w:rsidR="00AC70B4" w:rsidRDefault="00E57D48">
          <w:pPr>
            <w:pStyle w:val="TOC1"/>
            <w:rPr>
              <w:noProof/>
              <w:lang w:eastAsia="en-AU"/>
            </w:rPr>
          </w:pPr>
          <w:hyperlink w:anchor="_Toc456449024" w:history="1">
            <w:r w:rsidR="00AC70B4" w:rsidRPr="00F9729C">
              <w:rPr>
                <w:rStyle w:val="Hyperlink"/>
                <w:noProof/>
              </w:rPr>
              <w:t>8</w:t>
            </w:r>
            <w:r w:rsidR="00AC70B4">
              <w:rPr>
                <w:noProof/>
                <w:lang w:eastAsia="en-AU"/>
              </w:rPr>
              <w:tab/>
            </w:r>
            <w:r w:rsidR="00AC70B4" w:rsidRPr="00F9729C">
              <w:rPr>
                <w:rStyle w:val="Hyperlink"/>
                <w:noProof/>
              </w:rPr>
              <w:t>Understanding Cultures and Communities</w:t>
            </w:r>
            <w:r w:rsidR="00AC70B4">
              <w:rPr>
                <w:noProof/>
                <w:webHidden/>
              </w:rPr>
              <w:tab/>
            </w:r>
            <w:r w:rsidR="00AC70B4">
              <w:rPr>
                <w:noProof/>
                <w:webHidden/>
              </w:rPr>
              <w:fldChar w:fldCharType="begin"/>
            </w:r>
            <w:r w:rsidR="00AC70B4">
              <w:rPr>
                <w:noProof/>
                <w:webHidden/>
              </w:rPr>
              <w:instrText xml:space="preserve"> PAGEREF _Toc456449024 \h </w:instrText>
            </w:r>
            <w:r w:rsidR="00AC70B4">
              <w:rPr>
                <w:noProof/>
                <w:webHidden/>
              </w:rPr>
            </w:r>
            <w:r w:rsidR="00AC70B4">
              <w:rPr>
                <w:noProof/>
                <w:webHidden/>
              </w:rPr>
              <w:fldChar w:fldCharType="separate"/>
            </w:r>
            <w:r w:rsidR="007F53A1">
              <w:rPr>
                <w:noProof/>
                <w:webHidden/>
              </w:rPr>
              <w:t>32</w:t>
            </w:r>
            <w:r w:rsidR="00AC70B4">
              <w:rPr>
                <w:noProof/>
                <w:webHidden/>
              </w:rPr>
              <w:fldChar w:fldCharType="end"/>
            </w:r>
          </w:hyperlink>
        </w:p>
        <w:p w:rsidR="00AC70B4" w:rsidRDefault="00E57D48">
          <w:pPr>
            <w:pStyle w:val="TOC1"/>
            <w:rPr>
              <w:noProof/>
              <w:lang w:eastAsia="en-AU"/>
            </w:rPr>
          </w:pPr>
          <w:hyperlink w:anchor="_Toc456449025" w:history="1">
            <w:r w:rsidR="00AC70B4" w:rsidRPr="00F9729C">
              <w:rPr>
                <w:rStyle w:val="Hyperlink"/>
                <w:noProof/>
              </w:rPr>
              <w:t>9</w:t>
            </w:r>
            <w:r w:rsidR="00AC70B4">
              <w:rPr>
                <w:noProof/>
                <w:lang w:eastAsia="en-AU"/>
              </w:rPr>
              <w:tab/>
            </w:r>
            <w:r w:rsidR="00AC70B4" w:rsidRPr="00F9729C">
              <w:rPr>
                <w:rStyle w:val="Hyperlink"/>
                <w:noProof/>
              </w:rPr>
              <w:t>National Security</w:t>
            </w:r>
            <w:r w:rsidR="00AC70B4">
              <w:rPr>
                <w:noProof/>
                <w:webHidden/>
              </w:rPr>
              <w:tab/>
            </w:r>
            <w:r w:rsidR="00AC70B4">
              <w:rPr>
                <w:noProof/>
                <w:webHidden/>
              </w:rPr>
              <w:fldChar w:fldCharType="begin"/>
            </w:r>
            <w:r w:rsidR="00AC70B4">
              <w:rPr>
                <w:noProof/>
                <w:webHidden/>
              </w:rPr>
              <w:instrText xml:space="preserve"> PAGEREF _Toc456449025 \h </w:instrText>
            </w:r>
            <w:r w:rsidR="00AC70B4">
              <w:rPr>
                <w:noProof/>
                <w:webHidden/>
              </w:rPr>
            </w:r>
            <w:r w:rsidR="00AC70B4">
              <w:rPr>
                <w:noProof/>
                <w:webHidden/>
              </w:rPr>
              <w:fldChar w:fldCharType="separate"/>
            </w:r>
            <w:r w:rsidR="007F53A1">
              <w:rPr>
                <w:noProof/>
                <w:webHidden/>
              </w:rPr>
              <w:t>36</w:t>
            </w:r>
            <w:r w:rsidR="00AC70B4">
              <w:rPr>
                <w:noProof/>
                <w:webHidden/>
              </w:rPr>
              <w:fldChar w:fldCharType="end"/>
            </w:r>
          </w:hyperlink>
        </w:p>
        <w:p w:rsidR="00AC70B4" w:rsidRDefault="00E57D48">
          <w:pPr>
            <w:pStyle w:val="TOC1"/>
            <w:rPr>
              <w:noProof/>
              <w:lang w:eastAsia="en-AU"/>
            </w:rPr>
          </w:pPr>
          <w:hyperlink w:anchor="_Toc456449026" w:history="1">
            <w:r w:rsidR="00AC70B4" w:rsidRPr="00F9729C">
              <w:rPr>
                <w:rStyle w:val="Hyperlink"/>
                <w:noProof/>
              </w:rPr>
              <w:t>10</w:t>
            </w:r>
            <w:r w:rsidR="00AC70B4">
              <w:rPr>
                <w:noProof/>
                <w:lang w:eastAsia="en-AU"/>
              </w:rPr>
              <w:tab/>
            </w:r>
            <w:r w:rsidR="00AC70B4" w:rsidRPr="00F9729C">
              <w:rPr>
                <w:rStyle w:val="Hyperlink"/>
                <w:noProof/>
              </w:rPr>
              <w:t>Underpinning Research Infrastructure</w:t>
            </w:r>
            <w:r w:rsidR="00AC70B4">
              <w:rPr>
                <w:noProof/>
                <w:webHidden/>
              </w:rPr>
              <w:tab/>
            </w:r>
            <w:r w:rsidR="00AC70B4">
              <w:rPr>
                <w:noProof/>
                <w:webHidden/>
              </w:rPr>
              <w:fldChar w:fldCharType="begin"/>
            </w:r>
            <w:r w:rsidR="00AC70B4">
              <w:rPr>
                <w:noProof/>
                <w:webHidden/>
              </w:rPr>
              <w:instrText xml:space="preserve"> PAGEREF _Toc456449026 \h </w:instrText>
            </w:r>
            <w:r w:rsidR="00AC70B4">
              <w:rPr>
                <w:noProof/>
                <w:webHidden/>
              </w:rPr>
            </w:r>
            <w:r w:rsidR="00AC70B4">
              <w:rPr>
                <w:noProof/>
                <w:webHidden/>
              </w:rPr>
              <w:fldChar w:fldCharType="separate"/>
            </w:r>
            <w:r w:rsidR="007F53A1">
              <w:rPr>
                <w:noProof/>
                <w:webHidden/>
              </w:rPr>
              <w:t>40</w:t>
            </w:r>
            <w:r w:rsidR="00AC70B4">
              <w:rPr>
                <w:noProof/>
                <w:webHidden/>
              </w:rPr>
              <w:fldChar w:fldCharType="end"/>
            </w:r>
          </w:hyperlink>
        </w:p>
        <w:p w:rsidR="00AC70B4" w:rsidRDefault="00E57D48">
          <w:pPr>
            <w:pStyle w:val="TOC1"/>
            <w:rPr>
              <w:noProof/>
              <w:lang w:eastAsia="en-AU"/>
            </w:rPr>
          </w:pPr>
          <w:hyperlink w:anchor="_Toc456449027" w:history="1">
            <w:r w:rsidR="00AC70B4" w:rsidRPr="00F9729C">
              <w:rPr>
                <w:rStyle w:val="Hyperlink"/>
                <w:noProof/>
              </w:rPr>
              <w:t>11</w:t>
            </w:r>
            <w:r w:rsidR="00AC70B4">
              <w:rPr>
                <w:noProof/>
                <w:lang w:eastAsia="en-AU"/>
              </w:rPr>
              <w:tab/>
            </w:r>
            <w:r w:rsidR="00AC70B4" w:rsidRPr="00F9729C">
              <w:rPr>
                <w:rStyle w:val="Hyperlink"/>
                <w:noProof/>
              </w:rPr>
              <w:t>Data for Research and Discoverability</w:t>
            </w:r>
            <w:r w:rsidR="00AC70B4">
              <w:rPr>
                <w:noProof/>
                <w:webHidden/>
              </w:rPr>
              <w:tab/>
            </w:r>
            <w:r w:rsidR="00AC70B4">
              <w:rPr>
                <w:noProof/>
                <w:webHidden/>
              </w:rPr>
              <w:fldChar w:fldCharType="begin"/>
            </w:r>
            <w:r w:rsidR="00AC70B4">
              <w:rPr>
                <w:noProof/>
                <w:webHidden/>
              </w:rPr>
              <w:instrText xml:space="preserve"> PAGEREF _Toc456449027 \h </w:instrText>
            </w:r>
            <w:r w:rsidR="00AC70B4">
              <w:rPr>
                <w:noProof/>
                <w:webHidden/>
              </w:rPr>
            </w:r>
            <w:r w:rsidR="00AC70B4">
              <w:rPr>
                <w:noProof/>
                <w:webHidden/>
              </w:rPr>
              <w:fldChar w:fldCharType="separate"/>
            </w:r>
            <w:r w:rsidR="007F53A1">
              <w:rPr>
                <w:noProof/>
                <w:webHidden/>
              </w:rPr>
              <w:t>46</w:t>
            </w:r>
            <w:r w:rsidR="00AC70B4">
              <w:rPr>
                <w:noProof/>
                <w:webHidden/>
              </w:rPr>
              <w:fldChar w:fldCharType="end"/>
            </w:r>
          </w:hyperlink>
        </w:p>
        <w:p w:rsidR="00AC70B4" w:rsidRDefault="00E57D48">
          <w:pPr>
            <w:pStyle w:val="TOC1"/>
            <w:rPr>
              <w:noProof/>
              <w:lang w:eastAsia="en-AU"/>
            </w:rPr>
          </w:pPr>
          <w:hyperlink w:anchor="_Toc456449028" w:history="1">
            <w:r w:rsidR="00AC70B4" w:rsidRPr="00F9729C">
              <w:rPr>
                <w:rStyle w:val="Hyperlink"/>
                <w:noProof/>
              </w:rPr>
              <w:t xml:space="preserve">Attachment A </w:t>
            </w:r>
            <w:r w:rsidR="00AC70B4" w:rsidRPr="00F9729C">
              <w:rPr>
                <w:rStyle w:val="Hyperlink"/>
                <w:rFonts w:eastAsia="Calibri"/>
                <w:noProof/>
              </w:rPr>
              <w:t xml:space="preserve">– </w:t>
            </w:r>
            <w:r w:rsidR="00AC70B4" w:rsidRPr="00F9729C">
              <w:rPr>
                <w:rStyle w:val="Hyperlink"/>
                <w:noProof/>
              </w:rPr>
              <w:t>Making a Submission</w:t>
            </w:r>
            <w:r w:rsidR="00AC70B4">
              <w:rPr>
                <w:noProof/>
                <w:webHidden/>
              </w:rPr>
              <w:tab/>
            </w:r>
            <w:r w:rsidR="00AC70B4">
              <w:rPr>
                <w:noProof/>
                <w:webHidden/>
              </w:rPr>
              <w:fldChar w:fldCharType="begin"/>
            </w:r>
            <w:r w:rsidR="00AC70B4">
              <w:rPr>
                <w:noProof/>
                <w:webHidden/>
              </w:rPr>
              <w:instrText xml:space="preserve"> PAGEREF _Toc456449028 \h </w:instrText>
            </w:r>
            <w:r w:rsidR="00AC70B4">
              <w:rPr>
                <w:noProof/>
                <w:webHidden/>
              </w:rPr>
            </w:r>
            <w:r w:rsidR="00AC70B4">
              <w:rPr>
                <w:noProof/>
                <w:webHidden/>
              </w:rPr>
              <w:fldChar w:fldCharType="separate"/>
            </w:r>
            <w:r w:rsidR="007F53A1">
              <w:rPr>
                <w:noProof/>
                <w:webHidden/>
              </w:rPr>
              <w:t>50</w:t>
            </w:r>
            <w:r w:rsidR="00AC70B4">
              <w:rPr>
                <w:noProof/>
                <w:webHidden/>
              </w:rPr>
              <w:fldChar w:fldCharType="end"/>
            </w:r>
          </w:hyperlink>
        </w:p>
        <w:p w:rsidR="00AC70B4" w:rsidRDefault="00E57D48" w:rsidP="00676CA8">
          <w:pPr>
            <w:pStyle w:val="TOC1"/>
            <w:ind w:firstLine="0"/>
            <w:rPr>
              <w:noProof/>
              <w:lang w:eastAsia="en-AU"/>
            </w:rPr>
          </w:pPr>
          <w:hyperlink w:anchor="_Toc456449029" w:history="1">
            <w:r w:rsidR="00AC70B4" w:rsidRPr="00F9729C">
              <w:rPr>
                <w:rStyle w:val="Hyperlink"/>
                <w:noProof/>
              </w:rPr>
              <w:t>Submission template</w:t>
            </w:r>
            <w:r w:rsidR="00AC70B4">
              <w:rPr>
                <w:noProof/>
                <w:webHidden/>
              </w:rPr>
              <w:tab/>
            </w:r>
            <w:r w:rsidR="00AC70B4">
              <w:rPr>
                <w:noProof/>
                <w:webHidden/>
              </w:rPr>
              <w:fldChar w:fldCharType="begin"/>
            </w:r>
            <w:r w:rsidR="00AC70B4">
              <w:rPr>
                <w:noProof/>
                <w:webHidden/>
              </w:rPr>
              <w:instrText xml:space="preserve"> PAGEREF _Toc456449029 \h </w:instrText>
            </w:r>
            <w:r w:rsidR="00AC70B4">
              <w:rPr>
                <w:noProof/>
                <w:webHidden/>
              </w:rPr>
            </w:r>
            <w:r w:rsidR="00AC70B4">
              <w:rPr>
                <w:noProof/>
                <w:webHidden/>
              </w:rPr>
              <w:fldChar w:fldCharType="separate"/>
            </w:r>
            <w:r w:rsidR="007F53A1">
              <w:rPr>
                <w:noProof/>
                <w:webHidden/>
              </w:rPr>
              <w:t>51</w:t>
            </w:r>
            <w:r w:rsidR="00AC70B4">
              <w:rPr>
                <w:noProof/>
                <w:webHidden/>
              </w:rPr>
              <w:fldChar w:fldCharType="end"/>
            </w:r>
          </w:hyperlink>
        </w:p>
        <w:p w:rsidR="00AC70B4" w:rsidRDefault="00E57D48">
          <w:pPr>
            <w:pStyle w:val="TOC1"/>
            <w:rPr>
              <w:noProof/>
              <w:lang w:eastAsia="en-AU"/>
            </w:rPr>
          </w:pPr>
          <w:hyperlink w:anchor="_Toc456449030" w:history="1">
            <w:r w:rsidR="00AC70B4" w:rsidRPr="00F9729C">
              <w:rPr>
                <w:rStyle w:val="Hyperlink"/>
                <w:rFonts w:eastAsia="Calibri"/>
                <w:noProof/>
              </w:rPr>
              <w:t>Attachment B – 2016 National Research Infrastructure Roadmap Expert Working Group and Capability Experts</w:t>
            </w:r>
            <w:r w:rsidR="00AC70B4">
              <w:rPr>
                <w:noProof/>
                <w:webHidden/>
              </w:rPr>
              <w:tab/>
            </w:r>
            <w:r w:rsidR="00AC70B4">
              <w:rPr>
                <w:noProof/>
                <w:webHidden/>
              </w:rPr>
              <w:fldChar w:fldCharType="begin"/>
            </w:r>
            <w:r w:rsidR="00AC70B4">
              <w:rPr>
                <w:noProof/>
                <w:webHidden/>
              </w:rPr>
              <w:instrText xml:space="preserve"> PAGEREF _Toc456449030 \h </w:instrText>
            </w:r>
            <w:r w:rsidR="00AC70B4">
              <w:rPr>
                <w:noProof/>
                <w:webHidden/>
              </w:rPr>
            </w:r>
            <w:r w:rsidR="00AC70B4">
              <w:rPr>
                <w:noProof/>
                <w:webHidden/>
              </w:rPr>
              <w:fldChar w:fldCharType="separate"/>
            </w:r>
            <w:r w:rsidR="007F53A1">
              <w:rPr>
                <w:noProof/>
                <w:webHidden/>
              </w:rPr>
              <w:t>54</w:t>
            </w:r>
            <w:r w:rsidR="00AC70B4">
              <w:rPr>
                <w:noProof/>
                <w:webHidden/>
              </w:rPr>
              <w:fldChar w:fldCharType="end"/>
            </w:r>
          </w:hyperlink>
        </w:p>
        <w:p w:rsidR="00AC70B4" w:rsidRDefault="00E57D48">
          <w:pPr>
            <w:pStyle w:val="TOC1"/>
            <w:rPr>
              <w:noProof/>
              <w:lang w:eastAsia="en-AU"/>
            </w:rPr>
          </w:pPr>
          <w:hyperlink w:anchor="_Toc456449031" w:history="1">
            <w:r w:rsidR="00AC70B4" w:rsidRPr="00F9729C">
              <w:rPr>
                <w:rStyle w:val="Hyperlink"/>
                <w:rFonts w:eastAsia="Calibri"/>
                <w:noProof/>
              </w:rPr>
              <w:t>Attachment C – Mapping the research infrastructure capability focus areas against the National Science and Research Priorities</w:t>
            </w:r>
            <w:r w:rsidR="00AC70B4">
              <w:rPr>
                <w:noProof/>
                <w:webHidden/>
              </w:rPr>
              <w:tab/>
            </w:r>
            <w:r w:rsidR="00AC70B4">
              <w:rPr>
                <w:noProof/>
                <w:webHidden/>
              </w:rPr>
              <w:fldChar w:fldCharType="begin"/>
            </w:r>
            <w:r w:rsidR="00AC70B4">
              <w:rPr>
                <w:noProof/>
                <w:webHidden/>
              </w:rPr>
              <w:instrText xml:space="preserve"> PAGEREF _Toc456449031 \h </w:instrText>
            </w:r>
            <w:r w:rsidR="00AC70B4">
              <w:rPr>
                <w:noProof/>
                <w:webHidden/>
              </w:rPr>
            </w:r>
            <w:r w:rsidR="00AC70B4">
              <w:rPr>
                <w:noProof/>
                <w:webHidden/>
              </w:rPr>
              <w:fldChar w:fldCharType="separate"/>
            </w:r>
            <w:r w:rsidR="007F53A1">
              <w:rPr>
                <w:noProof/>
                <w:webHidden/>
              </w:rPr>
              <w:t>56</w:t>
            </w:r>
            <w:r w:rsidR="00AC70B4">
              <w:rPr>
                <w:noProof/>
                <w:webHidden/>
              </w:rPr>
              <w:fldChar w:fldCharType="end"/>
            </w:r>
          </w:hyperlink>
        </w:p>
        <w:p w:rsidR="00EF4A38" w:rsidRDefault="008C7FDD">
          <w:r>
            <w:rPr>
              <w:b/>
              <w:bCs/>
              <w:noProof/>
            </w:rPr>
            <w:fldChar w:fldCharType="end"/>
          </w:r>
        </w:p>
      </w:sdtContent>
    </w:sdt>
    <w:p w:rsidR="00EF4A38" w:rsidRDefault="00EF4A38" w:rsidP="00EF4A38">
      <w:pPr>
        <w:pStyle w:val="numberedpara"/>
        <w:numPr>
          <w:ilvl w:val="0"/>
          <w:numId w:val="0"/>
        </w:numPr>
        <w:tabs>
          <w:tab w:val="left" w:pos="720"/>
        </w:tabs>
        <w:spacing w:before="120" w:after="120"/>
        <w:rPr>
          <w:sz w:val="20"/>
          <w:szCs w:val="20"/>
        </w:rPr>
        <w:sectPr w:rsidR="00EF4A38" w:rsidSect="00EF4A38">
          <w:type w:val="continuous"/>
          <w:pgSz w:w="11906" w:h="16838"/>
          <w:pgMar w:top="3544" w:right="1440" w:bottom="1440" w:left="1440" w:header="708" w:footer="708" w:gutter="0"/>
          <w:cols w:space="708"/>
          <w:docGrid w:linePitch="360"/>
        </w:sectPr>
      </w:pPr>
    </w:p>
    <w:p w:rsidR="00130923" w:rsidRDefault="00130923" w:rsidP="00A255E5">
      <w:pPr>
        <w:rPr>
          <w:rFonts w:ascii="Calibri" w:eastAsiaTheme="majorEastAsia" w:hAnsi="Calibri" w:cstheme="majorBidi"/>
          <w:spacing w:val="5"/>
          <w:sz w:val="56"/>
          <w:szCs w:val="52"/>
        </w:rPr>
      </w:pPr>
      <w:r>
        <w:lastRenderedPageBreak/>
        <w:br w:type="page"/>
      </w:r>
    </w:p>
    <w:p w:rsidR="00C10C19" w:rsidRDefault="00B8025F" w:rsidP="00421609">
      <w:pPr>
        <w:pStyle w:val="Heading1"/>
      </w:pPr>
      <w:bookmarkStart w:id="1" w:name="_Toc456449017"/>
      <w:r>
        <w:lastRenderedPageBreak/>
        <w:t>Introduction</w:t>
      </w:r>
      <w:bookmarkEnd w:id="1"/>
    </w:p>
    <w:p w:rsidR="00073232" w:rsidRDefault="00955F15" w:rsidP="00073232">
      <w:pPr>
        <w:spacing w:before="120"/>
      </w:pPr>
      <w:r>
        <w:t>T</w:t>
      </w:r>
      <w:r w:rsidR="00073232">
        <w:t xml:space="preserve">he Australian Government </w:t>
      </w:r>
      <w:r w:rsidR="00F2358D">
        <w:t>has requested</w:t>
      </w:r>
      <w:r w:rsidR="00073232">
        <w:t xml:space="preserve"> </w:t>
      </w:r>
      <w:r w:rsidR="00F2358D">
        <w:t xml:space="preserve">the development of </w:t>
      </w:r>
      <w:r w:rsidR="00073232">
        <w:t xml:space="preserve">the 2016 National Research Infrastructure Roadmap (2016 Roadmap) to determine Australia’s national research infrastructure needs over the next </w:t>
      </w:r>
      <w:r w:rsidR="004A2722">
        <w:t>decade</w:t>
      </w:r>
      <w:r w:rsidR="00A63AA7">
        <w:t xml:space="preserve"> </w:t>
      </w:r>
      <w:r w:rsidR="00073232">
        <w:t>to underpin our national research effort</w:t>
      </w:r>
      <w:r w:rsidR="008834CA">
        <w:t xml:space="preserve">. </w:t>
      </w:r>
    </w:p>
    <w:p w:rsidR="00E41495" w:rsidRDefault="00073232" w:rsidP="00491022">
      <w:pPr>
        <w:autoSpaceDE w:val="0"/>
        <w:autoSpaceDN w:val="0"/>
        <w:adjustRightInd w:val="0"/>
        <w:rPr>
          <w:rFonts w:ascii="Calibri" w:hAnsi="Calibri"/>
        </w:rPr>
      </w:pPr>
      <w:r w:rsidRPr="0089532C">
        <w:t>The 2016 Roadmap is being developed by an Expert Working Group (EWG)</w:t>
      </w:r>
      <w:r>
        <w:rPr>
          <w:rStyle w:val="FootnoteReference"/>
        </w:rPr>
        <w:footnoteReference w:id="2"/>
      </w:r>
      <w:r w:rsidRPr="0089532C">
        <w:t xml:space="preserve"> </w:t>
      </w:r>
      <w:r>
        <w:t>led</w:t>
      </w:r>
      <w:r w:rsidRPr="0089532C">
        <w:t xml:space="preserve"> by Australia’s Chi</w:t>
      </w:r>
      <w:r>
        <w:t>ef</w:t>
      </w:r>
      <w:r w:rsidR="008A4A45">
        <w:t> </w:t>
      </w:r>
      <w:r>
        <w:t>Scientist, Dr Alan Finkel AO.</w:t>
      </w:r>
      <w:r w:rsidR="001A18CA">
        <w:t xml:space="preserve"> The </w:t>
      </w:r>
      <w:r w:rsidR="00473E4D">
        <w:t xml:space="preserve">EWG and the </w:t>
      </w:r>
      <w:r w:rsidR="001A18CA">
        <w:t xml:space="preserve">2016 Roadmap </w:t>
      </w:r>
      <w:r w:rsidR="00984C38">
        <w:t>are</w:t>
      </w:r>
      <w:r w:rsidR="001A18CA">
        <w:t xml:space="preserve"> supported by a </w:t>
      </w:r>
      <w:r w:rsidR="004A2722">
        <w:t>broad based</w:t>
      </w:r>
      <w:r w:rsidR="001A18CA">
        <w:t xml:space="preserve"> Government Taskforce hosted by the Department of Education and Training with the support of the Department of Industry, Innovation and Science, the Department of Health and the</w:t>
      </w:r>
      <w:r w:rsidR="008A4A45">
        <w:t> </w:t>
      </w:r>
      <w:r w:rsidR="001A18CA">
        <w:t>Department</w:t>
      </w:r>
      <w:r w:rsidR="008A4A45">
        <w:t> </w:t>
      </w:r>
      <w:r w:rsidR="001A18CA">
        <w:t>of</w:t>
      </w:r>
      <w:r w:rsidR="008A4A45">
        <w:t xml:space="preserve"> the </w:t>
      </w:r>
      <w:r w:rsidR="001A18CA">
        <w:t>Environment</w:t>
      </w:r>
      <w:r w:rsidR="00D35175">
        <w:t xml:space="preserve"> and Energy</w:t>
      </w:r>
      <w:r w:rsidR="001A18CA">
        <w:t>.</w:t>
      </w:r>
      <w:r w:rsidR="008A4A45">
        <w:rPr>
          <w:rFonts w:ascii="Calibri" w:hAnsi="Calibri"/>
        </w:rPr>
        <w:t xml:space="preserve"> </w:t>
      </w:r>
    </w:p>
    <w:p w:rsidR="00491022" w:rsidRDefault="00491022" w:rsidP="00491022">
      <w:pPr>
        <w:autoSpaceDE w:val="0"/>
        <w:autoSpaceDN w:val="0"/>
        <w:adjustRightInd w:val="0"/>
        <w:rPr>
          <w:rFonts w:ascii="Calibri" w:hAnsi="Calibri"/>
        </w:rPr>
      </w:pPr>
      <w:r>
        <w:rPr>
          <w:rFonts w:ascii="Calibri" w:hAnsi="Calibri"/>
        </w:rPr>
        <w:t>Since 2005, the Government,</w:t>
      </w:r>
      <w:r w:rsidRPr="00A46200">
        <w:rPr>
          <w:rFonts w:ascii="Calibri" w:hAnsi="Calibri"/>
        </w:rPr>
        <w:t xml:space="preserve"> </w:t>
      </w:r>
      <w:r w:rsidRPr="00AA4603">
        <w:rPr>
          <w:rFonts w:ascii="Calibri" w:hAnsi="Calibri"/>
        </w:rPr>
        <w:t>in conjunction with stakeholders</w:t>
      </w:r>
      <w:r>
        <w:rPr>
          <w:rFonts w:ascii="Calibri" w:hAnsi="Calibri"/>
        </w:rPr>
        <w:t>, ha</w:t>
      </w:r>
      <w:r w:rsidR="00073232">
        <w:rPr>
          <w:rFonts w:ascii="Calibri" w:hAnsi="Calibri"/>
        </w:rPr>
        <w:t>s</w:t>
      </w:r>
      <w:r>
        <w:rPr>
          <w:rFonts w:ascii="Calibri" w:hAnsi="Calibri"/>
        </w:rPr>
        <w:t xml:space="preserve"> developed three strategic </w:t>
      </w:r>
      <w:r w:rsidR="00FB1C09">
        <w:rPr>
          <w:rFonts w:ascii="Calibri" w:hAnsi="Calibri"/>
        </w:rPr>
        <w:t xml:space="preserve">research infrastructure </w:t>
      </w:r>
      <w:r>
        <w:rPr>
          <w:rFonts w:ascii="Calibri" w:hAnsi="Calibri"/>
        </w:rPr>
        <w:t>roadmaps</w:t>
      </w:r>
      <w:r w:rsidR="00F36403">
        <w:rPr>
          <w:rStyle w:val="FootnoteReference"/>
          <w:rFonts w:ascii="Calibri" w:hAnsi="Calibri"/>
        </w:rPr>
        <w:footnoteReference w:id="3"/>
      </w:r>
      <w:r>
        <w:rPr>
          <w:rFonts w:ascii="Calibri" w:hAnsi="Calibri"/>
        </w:rPr>
        <w:t xml:space="preserve"> to guide national investment in research infrastructure. </w:t>
      </w:r>
      <w:r w:rsidR="002A0184">
        <w:rPr>
          <w:rFonts w:ascii="Calibri" w:hAnsi="Calibri"/>
        </w:rPr>
        <w:t>E</w:t>
      </w:r>
      <w:r>
        <w:rPr>
          <w:rFonts w:ascii="Calibri" w:hAnsi="Calibri"/>
        </w:rPr>
        <w:t xml:space="preserve">ach roadmap </w:t>
      </w:r>
      <w:r w:rsidR="002A0184">
        <w:rPr>
          <w:rFonts w:ascii="Calibri" w:hAnsi="Calibri"/>
        </w:rPr>
        <w:t xml:space="preserve">has </w:t>
      </w:r>
      <w:r>
        <w:rPr>
          <w:rFonts w:ascii="Calibri" w:hAnsi="Calibri"/>
        </w:rPr>
        <w:t>look</w:t>
      </w:r>
      <w:r w:rsidR="002A0184">
        <w:rPr>
          <w:rFonts w:ascii="Calibri" w:hAnsi="Calibri"/>
        </w:rPr>
        <w:t>ed</w:t>
      </w:r>
      <w:r>
        <w:rPr>
          <w:rFonts w:ascii="Calibri" w:hAnsi="Calibri"/>
        </w:rPr>
        <w:t xml:space="preserve"> forward over </w:t>
      </w:r>
      <w:r w:rsidR="00A63AA7">
        <w:rPr>
          <w:rFonts w:ascii="Calibri" w:hAnsi="Calibri"/>
        </w:rPr>
        <w:t>a</w:t>
      </w:r>
      <w:r>
        <w:rPr>
          <w:rFonts w:ascii="Calibri" w:hAnsi="Calibri"/>
        </w:rPr>
        <w:t xml:space="preserve"> ten</w:t>
      </w:r>
      <w:r w:rsidR="008839B6">
        <w:rPr>
          <w:rFonts w:ascii="Calibri" w:hAnsi="Calibri"/>
        </w:rPr>
        <w:t xml:space="preserve"> </w:t>
      </w:r>
      <w:r>
        <w:rPr>
          <w:rFonts w:ascii="Calibri" w:hAnsi="Calibri"/>
        </w:rPr>
        <w:t xml:space="preserve">year horizon, </w:t>
      </w:r>
      <w:r w:rsidR="00F36403">
        <w:rPr>
          <w:rFonts w:ascii="Calibri" w:hAnsi="Calibri"/>
        </w:rPr>
        <w:t>and it is now time</w:t>
      </w:r>
      <w:r>
        <w:rPr>
          <w:rFonts w:ascii="Calibri" w:hAnsi="Calibri"/>
        </w:rPr>
        <w:t xml:space="preserve"> to consider new and emerging areas in the research environment requiring national scale investment.</w:t>
      </w:r>
      <w:r w:rsidR="006D7E4A">
        <w:rPr>
          <w:rFonts w:ascii="Calibri" w:hAnsi="Calibri"/>
        </w:rPr>
        <w:t xml:space="preserve"> </w:t>
      </w:r>
    </w:p>
    <w:p w:rsidR="000E3F53" w:rsidRPr="008B7001" w:rsidRDefault="000E3F53" w:rsidP="000E3F53">
      <w:pPr>
        <w:autoSpaceDE w:val="0"/>
        <w:autoSpaceDN w:val="0"/>
        <w:adjustRightInd w:val="0"/>
        <w:spacing w:after="120"/>
        <w:ind w:right="-188"/>
        <w:rPr>
          <w:rFonts w:ascii="Calibri" w:hAnsi="Calibri"/>
        </w:rPr>
      </w:pPr>
      <w:r>
        <w:rPr>
          <w:rFonts w:ascii="Calibri" w:hAnsi="Calibri"/>
        </w:rPr>
        <w:t>Stakeholder engagement has been key to the development of earlier research infrastructure roadmaps, which have kept Australian research at the leading edge and internationally competitive. This collaborative approach to identifying Australia’s national research infrastructure needs has created a network of highly effective and efficient</w:t>
      </w:r>
      <w:r>
        <w:rPr>
          <w:rStyle w:val="FootnoteReference"/>
        </w:rPr>
        <w:footnoteReference w:id="4"/>
      </w:r>
      <w:r>
        <w:rPr>
          <w:rFonts w:ascii="Calibri" w:hAnsi="Calibri"/>
        </w:rPr>
        <w:t xml:space="preserve"> facilities that are strategic and cross-disciplinary. </w:t>
      </w:r>
    </w:p>
    <w:p w:rsidR="00E41495" w:rsidRDefault="00491022" w:rsidP="00491022">
      <w:pPr>
        <w:spacing w:after="120"/>
        <w:rPr>
          <w:rFonts w:ascii="Calibri" w:hAnsi="Calibri"/>
        </w:rPr>
      </w:pPr>
      <w:r w:rsidRPr="00491022">
        <w:rPr>
          <w:rFonts w:ascii="Calibri" w:hAnsi="Calibri"/>
        </w:rPr>
        <w:t xml:space="preserve">The 2016 Roadmap will build on previous roadmaps </w:t>
      </w:r>
      <w:r w:rsidR="007E2BFA">
        <w:rPr>
          <w:rFonts w:ascii="Calibri" w:hAnsi="Calibri"/>
        </w:rPr>
        <w:t xml:space="preserve">by </w:t>
      </w:r>
      <w:r w:rsidRPr="00491022">
        <w:rPr>
          <w:rFonts w:ascii="Calibri" w:hAnsi="Calibri"/>
        </w:rPr>
        <w:t>develop</w:t>
      </w:r>
      <w:r w:rsidR="007E2BFA">
        <w:rPr>
          <w:rFonts w:ascii="Calibri" w:hAnsi="Calibri"/>
        </w:rPr>
        <w:t>ing</w:t>
      </w:r>
      <w:r w:rsidRPr="00491022">
        <w:rPr>
          <w:rFonts w:ascii="Calibri" w:hAnsi="Calibri"/>
        </w:rPr>
        <w:t xml:space="preserve"> a shared vision for national research infrastructure to ensure Australia remains competitive in </w:t>
      </w:r>
      <w:r w:rsidR="007E2BFA">
        <w:rPr>
          <w:rFonts w:ascii="Calibri" w:hAnsi="Calibri"/>
        </w:rPr>
        <w:t xml:space="preserve">a </w:t>
      </w:r>
      <w:r w:rsidR="00073232">
        <w:rPr>
          <w:rFonts w:ascii="Calibri" w:hAnsi="Calibri"/>
        </w:rPr>
        <w:t xml:space="preserve">rapidly evolving </w:t>
      </w:r>
      <w:r w:rsidRPr="00491022">
        <w:rPr>
          <w:rFonts w:ascii="Calibri" w:hAnsi="Calibri"/>
        </w:rPr>
        <w:t xml:space="preserve">global environment. </w:t>
      </w:r>
      <w:r w:rsidR="00E41495">
        <w:rPr>
          <w:rFonts w:ascii="Calibri" w:hAnsi="Calibri"/>
        </w:rPr>
        <w:br w:type="page"/>
      </w:r>
    </w:p>
    <w:p w:rsidR="00C10C19" w:rsidRDefault="00B8025F" w:rsidP="00602B3B">
      <w:pPr>
        <w:pStyle w:val="Heading1"/>
      </w:pPr>
      <w:bookmarkStart w:id="2" w:name="_Toc456257324"/>
      <w:bookmarkStart w:id="3" w:name="_Toc456276828"/>
      <w:bookmarkStart w:id="4" w:name="_Toc456257325"/>
      <w:bookmarkStart w:id="5" w:name="_Toc456276829"/>
      <w:bookmarkStart w:id="6" w:name="_Toc456449018"/>
      <w:bookmarkEnd w:id="2"/>
      <w:bookmarkEnd w:id="3"/>
      <w:bookmarkEnd w:id="4"/>
      <w:bookmarkEnd w:id="5"/>
      <w:r>
        <w:lastRenderedPageBreak/>
        <w:t xml:space="preserve">2016 </w:t>
      </w:r>
      <w:r w:rsidR="00491022">
        <w:t xml:space="preserve">National Research Infrastructure </w:t>
      </w:r>
      <w:r>
        <w:t>Roadmap</w:t>
      </w:r>
      <w:bookmarkEnd w:id="6"/>
    </w:p>
    <w:p w:rsidR="00532E20" w:rsidRDefault="00532E20" w:rsidP="00515F25">
      <w:pPr>
        <w:pStyle w:val="Heading2"/>
        <w:ind w:left="567"/>
      </w:pPr>
      <w:r>
        <w:t>Scope</w:t>
      </w:r>
    </w:p>
    <w:p w:rsidR="005127D6" w:rsidRDefault="005127D6" w:rsidP="00C15254">
      <w:pPr>
        <w:spacing w:before="120" w:after="60"/>
      </w:pPr>
      <w:r>
        <w:t>For the purpose of the 2016 Roadmap:</w:t>
      </w:r>
    </w:p>
    <w:p w:rsidR="008834CA" w:rsidRDefault="0083540F" w:rsidP="00955F15">
      <w:pPr>
        <w:ind w:left="284"/>
      </w:pPr>
      <w:r>
        <w:t>National r</w:t>
      </w:r>
      <w:r w:rsidR="008834CA">
        <w:t xml:space="preserve">esearch </w:t>
      </w:r>
      <w:r>
        <w:t>i</w:t>
      </w:r>
      <w:r w:rsidR="008834CA">
        <w:t>nfrastructure comprises the assets, facilities and services to support research that drive</w:t>
      </w:r>
      <w:r w:rsidR="00671FDB">
        <w:t>s</w:t>
      </w:r>
      <w:r w:rsidR="008834CA">
        <w:t xml:space="preserve"> leading-edge innovation</w:t>
      </w:r>
      <w:r w:rsidR="008839B6">
        <w:t xml:space="preserve"> in Australia</w:t>
      </w:r>
      <w:r w:rsidR="008834CA">
        <w:t xml:space="preserve">. It is equally accessible to publicly and privately funded users across the country, and internationally. </w:t>
      </w:r>
    </w:p>
    <w:p w:rsidR="00B8025F" w:rsidRPr="00AA4603" w:rsidRDefault="00532E20" w:rsidP="00C15254">
      <w:pPr>
        <w:spacing w:before="120" w:after="60"/>
        <w:ind w:right="-329"/>
        <w:rPr>
          <w:rFonts w:ascii="Calibri" w:hAnsi="Calibri"/>
        </w:rPr>
      </w:pPr>
      <w:r>
        <w:t>T</w:t>
      </w:r>
      <w:r w:rsidR="00B8025F">
        <w:t>he 2016 Roadmap will guide future</w:t>
      </w:r>
      <w:r w:rsidR="006D7E4A">
        <w:t xml:space="preserve"> </w:t>
      </w:r>
      <w:r w:rsidR="00B8025F">
        <w:t xml:space="preserve">investment </w:t>
      </w:r>
      <w:r w:rsidR="000C5439">
        <w:rPr>
          <w:rFonts w:ascii="Calibri" w:hAnsi="Calibri"/>
        </w:rPr>
        <w:t>i</w:t>
      </w:r>
      <w:r w:rsidR="00636003">
        <w:rPr>
          <w:rFonts w:ascii="Calibri" w:hAnsi="Calibri"/>
        </w:rPr>
        <w:t>n national</w:t>
      </w:r>
      <w:r w:rsidR="00636003" w:rsidRPr="00AA4603">
        <w:rPr>
          <w:rFonts w:ascii="Calibri" w:hAnsi="Calibri"/>
        </w:rPr>
        <w:t xml:space="preserve"> </w:t>
      </w:r>
      <w:r w:rsidR="00636003">
        <w:rPr>
          <w:rFonts w:ascii="Calibri" w:hAnsi="Calibri"/>
        </w:rPr>
        <w:t xml:space="preserve">research </w:t>
      </w:r>
      <w:r w:rsidR="00636003" w:rsidRPr="00AA4603">
        <w:rPr>
          <w:rFonts w:ascii="Calibri" w:hAnsi="Calibri"/>
        </w:rPr>
        <w:t>infrastructure</w:t>
      </w:r>
      <w:r w:rsidR="00B8025F">
        <w:t xml:space="preserve"> </w:t>
      </w:r>
      <w:r w:rsidR="00636003">
        <w:t xml:space="preserve">by ensuring </w:t>
      </w:r>
      <w:r w:rsidR="00B8025F">
        <w:t>a</w:t>
      </w:r>
      <w:r w:rsidR="00B8025F" w:rsidRPr="00AA4603">
        <w:rPr>
          <w:rFonts w:ascii="Calibri" w:hAnsi="Calibri"/>
        </w:rPr>
        <w:t xml:space="preserve"> coordinated approach </w:t>
      </w:r>
      <w:r w:rsidR="00B8025F">
        <w:rPr>
          <w:rFonts w:ascii="Calibri" w:hAnsi="Calibri"/>
        </w:rPr>
        <w:t xml:space="preserve">across </w:t>
      </w:r>
      <w:r w:rsidR="00332BD1">
        <w:rPr>
          <w:rFonts w:ascii="Calibri" w:hAnsi="Calibri"/>
        </w:rPr>
        <w:t>G</w:t>
      </w:r>
      <w:r w:rsidR="00B8025F">
        <w:rPr>
          <w:rFonts w:ascii="Calibri" w:hAnsi="Calibri"/>
        </w:rPr>
        <w:t>overnment and key stakeholder</w:t>
      </w:r>
      <w:r w:rsidR="006B32A4">
        <w:rPr>
          <w:rFonts w:ascii="Calibri" w:hAnsi="Calibri"/>
        </w:rPr>
        <w:t>s</w:t>
      </w:r>
      <w:r w:rsidR="00B8025F">
        <w:rPr>
          <w:rFonts w:ascii="Calibri" w:hAnsi="Calibri"/>
        </w:rPr>
        <w:t xml:space="preserve"> </w:t>
      </w:r>
      <w:r w:rsidR="00636003">
        <w:rPr>
          <w:rFonts w:ascii="Calibri" w:hAnsi="Calibri"/>
        </w:rPr>
        <w:t xml:space="preserve">that </w:t>
      </w:r>
      <w:r w:rsidR="00B8025F">
        <w:rPr>
          <w:rFonts w:ascii="Calibri" w:hAnsi="Calibri"/>
        </w:rPr>
        <w:t>will</w:t>
      </w:r>
      <w:r w:rsidR="00B8025F" w:rsidRPr="00AA4603">
        <w:rPr>
          <w:rFonts w:ascii="Calibri" w:hAnsi="Calibri"/>
        </w:rPr>
        <w:t>:</w:t>
      </w:r>
    </w:p>
    <w:p w:rsidR="00B8025F" w:rsidRPr="00AA4603" w:rsidRDefault="00B8025F" w:rsidP="00726F0F">
      <w:pPr>
        <w:pStyle w:val="ListParagraph"/>
        <w:numPr>
          <w:ilvl w:val="0"/>
          <w:numId w:val="4"/>
        </w:numPr>
        <w:autoSpaceDE w:val="0"/>
        <w:autoSpaceDN w:val="0"/>
        <w:adjustRightInd w:val="0"/>
        <w:spacing w:after="40" w:line="240" w:lineRule="auto"/>
        <w:ind w:left="284" w:hanging="284"/>
        <w:contextualSpacing w:val="0"/>
        <w:rPr>
          <w:rFonts w:ascii="Calibri" w:hAnsi="Calibri"/>
        </w:rPr>
      </w:pPr>
      <w:r w:rsidRPr="00AA4603">
        <w:rPr>
          <w:rFonts w:ascii="Calibri" w:hAnsi="Calibri"/>
        </w:rPr>
        <w:t>concentrate effort nationally on are</w:t>
      </w:r>
      <w:r w:rsidR="007E2BFA">
        <w:rPr>
          <w:rFonts w:ascii="Calibri" w:hAnsi="Calibri"/>
        </w:rPr>
        <w:t>as of greatest strategic impact</w:t>
      </w:r>
    </w:p>
    <w:p w:rsidR="00B8025F" w:rsidRPr="00AA4603" w:rsidRDefault="00B8025F" w:rsidP="00726F0F">
      <w:pPr>
        <w:pStyle w:val="ListParagraph"/>
        <w:numPr>
          <w:ilvl w:val="0"/>
          <w:numId w:val="4"/>
        </w:numPr>
        <w:autoSpaceDE w:val="0"/>
        <w:autoSpaceDN w:val="0"/>
        <w:adjustRightInd w:val="0"/>
        <w:spacing w:after="40" w:line="240" w:lineRule="auto"/>
        <w:ind w:left="284" w:hanging="284"/>
        <w:contextualSpacing w:val="0"/>
        <w:rPr>
          <w:rFonts w:ascii="Calibri" w:hAnsi="Calibri"/>
        </w:rPr>
      </w:pPr>
      <w:r w:rsidRPr="00AA4603">
        <w:rPr>
          <w:rFonts w:ascii="Calibri" w:hAnsi="Calibri"/>
        </w:rPr>
        <w:t>increase collaboration within the research system</w:t>
      </w:r>
      <w:r>
        <w:rPr>
          <w:rFonts w:ascii="Calibri" w:hAnsi="Calibri"/>
        </w:rPr>
        <w:t xml:space="preserve"> </w:t>
      </w:r>
      <w:r w:rsidRPr="00AA4603">
        <w:rPr>
          <w:rFonts w:ascii="Calibri" w:hAnsi="Calibri"/>
        </w:rPr>
        <w:t xml:space="preserve">and between it and </w:t>
      </w:r>
      <w:r>
        <w:rPr>
          <w:rFonts w:ascii="Calibri" w:hAnsi="Calibri"/>
        </w:rPr>
        <w:t xml:space="preserve">end users of research such as industry and business and </w:t>
      </w:r>
      <w:r w:rsidR="007E2BFA">
        <w:rPr>
          <w:rFonts w:ascii="Calibri" w:hAnsi="Calibri"/>
        </w:rPr>
        <w:t>the wider community, and</w:t>
      </w:r>
    </w:p>
    <w:p w:rsidR="00B8025F" w:rsidRDefault="00B8025F" w:rsidP="00726F0F">
      <w:pPr>
        <w:pStyle w:val="ListParagraph"/>
        <w:numPr>
          <w:ilvl w:val="0"/>
          <w:numId w:val="4"/>
        </w:numPr>
        <w:autoSpaceDE w:val="0"/>
        <w:autoSpaceDN w:val="0"/>
        <w:adjustRightInd w:val="0"/>
        <w:spacing w:after="0" w:line="240" w:lineRule="auto"/>
        <w:ind w:left="284" w:hanging="284"/>
        <w:contextualSpacing w:val="0"/>
        <w:rPr>
          <w:rFonts w:ascii="Calibri" w:hAnsi="Calibri"/>
        </w:rPr>
      </w:pPr>
      <w:proofErr w:type="gramStart"/>
      <w:r w:rsidRPr="00AA4603">
        <w:rPr>
          <w:rFonts w:ascii="Calibri" w:hAnsi="Calibri"/>
        </w:rPr>
        <w:t>reduce</w:t>
      </w:r>
      <w:proofErr w:type="gramEnd"/>
      <w:r w:rsidRPr="00AA4603">
        <w:rPr>
          <w:rFonts w:ascii="Calibri" w:hAnsi="Calibri"/>
        </w:rPr>
        <w:t xml:space="preserve"> duplication and sub-optimal use of resources arising from lack of coordination.</w:t>
      </w:r>
      <w:r w:rsidR="00D87CC5">
        <w:rPr>
          <w:rFonts w:ascii="Calibri" w:hAnsi="Calibri"/>
        </w:rPr>
        <w:t xml:space="preserve"> </w:t>
      </w:r>
    </w:p>
    <w:p w:rsidR="00F2358D" w:rsidRPr="00602B3B" w:rsidRDefault="00F2358D" w:rsidP="00676CA8">
      <w:pPr>
        <w:spacing w:before="200"/>
        <w:ind w:right="-188"/>
      </w:pPr>
      <w:r>
        <w:t xml:space="preserve">As in earlier roadmaps, consultation with </w:t>
      </w:r>
      <w:r>
        <w:rPr>
          <w:rFonts w:ascii="Calibri" w:hAnsi="Calibri"/>
        </w:rPr>
        <w:t>the research community and other key stakeholders</w:t>
      </w:r>
      <w:r>
        <w:t xml:space="preserve"> will help the </w:t>
      </w:r>
      <w:r w:rsidR="00EF4C0D">
        <w:t>EWG</w:t>
      </w:r>
      <w:r>
        <w:t xml:space="preserve"> to identify the priority </w:t>
      </w:r>
      <w:r w:rsidR="00E93250">
        <w:t>research infrastructure investments needed to support innovative research in fields of strategic priority</w:t>
      </w:r>
      <w:r>
        <w:t xml:space="preserve"> that will enable Australia to optimise its research effort.</w:t>
      </w:r>
    </w:p>
    <w:p w:rsidR="00382533" w:rsidRDefault="00382533" w:rsidP="00382533">
      <w:pPr>
        <w:pStyle w:val="Heading2"/>
        <w:ind w:left="567"/>
      </w:pPr>
      <w:r>
        <w:t>Purpose of this Issues Paper</w:t>
      </w:r>
    </w:p>
    <w:p w:rsidR="00F572E8" w:rsidRDefault="00B51FA8" w:rsidP="00AF21E5">
      <w:pPr>
        <w:spacing w:after="120"/>
      </w:pPr>
      <w:r>
        <w:rPr>
          <w:rFonts w:ascii="Calibri" w:hAnsi="Calibri"/>
        </w:rPr>
        <w:t>Th</w:t>
      </w:r>
      <w:r w:rsidR="00FB1C09">
        <w:rPr>
          <w:rFonts w:ascii="Calibri" w:hAnsi="Calibri"/>
        </w:rPr>
        <w:t>is</w:t>
      </w:r>
      <w:r w:rsidRPr="00B51FA8">
        <w:t xml:space="preserve"> </w:t>
      </w:r>
      <w:r>
        <w:t>National Research Infrastructure Capability</w:t>
      </w:r>
      <w:r w:rsidRPr="0089532C">
        <w:t xml:space="preserve"> </w:t>
      </w:r>
      <w:r w:rsidR="0051190F">
        <w:t>Issues Paper</w:t>
      </w:r>
      <w:r w:rsidRPr="0089532C">
        <w:t xml:space="preserve"> </w:t>
      </w:r>
      <w:r>
        <w:t>(</w:t>
      </w:r>
      <w:r w:rsidR="0051190F">
        <w:t>Issues Paper</w:t>
      </w:r>
      <w:r>
        <w:t xml:space="preserve">) </w:t>
      </w:r>
      <w:r w:rsidR="00AF21E5">
        <w:rPr>
          <w:rFonts w:ascii="Calibri" w:hAnsi="Calibri"/>
        </w:rPr>
        <w:t xml:space="preserve">sets out the </w:t>
      </w:r>
      <w:r w:rsidR="003B7636">
        <w:rPr>
          <w:rFonts w:ascii="Calibri" w:hAnsi="Calibri"/>
        </w:rPr>
        <w:t xml:space="preserve">proposed </w:t>
      </w:r>
      <w:r w:rsidR="00AF21E5">
        <w:rPr>
          <w:rFonts w:ascii="Calibri" w:hAnsi="Calibri"/>
        </w:rPr>
        <w:t xml:space="preserve">capability requirements that will </w:t>
      </w:r>
      <w:r w:rsidR="000C5439">
        <w:rPr>
          <w:rFonts w:ascii="Calibri" w:hAnsi="Calibri"/>
        </w:rPr>
        <w:t xml:space="preserve">inform </w:t>
      </w:r>
      <w:r w:rsidR="00AF21E5">
        <w:rPr>
          <w:rFonts w:ascii="Calibri" w:hAnsi="Calibri"/>
        </w:rPr>
        <w:t>the development of the 2016 Roadmap.</w:t>
      </w:r>
      <w:r w:rsidR="00AF21E5" w:rsidRPr="00AF21E5">
        <w:t xml:space="preserve"> </w:t>
      </w:r>
      <w:r w:rsidR="00F572E8">
        <w:t xml:space="preserve">This will be </w:t>
      </w:r>
      <w:r w:rsidR="00EF4C0D">
        <w:t xml:space="preserve">accompanied </w:t>
      </w:r>
      <w:r w:rsidR="00582C0F">
        <w:t xml:space="preserve">by extensive consultation </w:t>
      </w:r>
      <w:r w:rsidR="005C01F4">
        <w:t xml:space="preserve">with key stakeholders, </w:t>
      </w:r>
      <w:r w:rsidR="00582C0F">
        <w:t xml:space="preserve">from late July to early </w:t>
      </w:r>
      <w:r w:rsidR="00382533">
        <w:t>September </w:t>
      </w:r>
      <w:r w:rsidR="00582C0F">
        <w:t>2016</w:t>
      </w:r>
      <w:r w:rsidR="005C01F4">
        <w:t>,</w:t>
      </w:r>
      <w:r w:rsidR="00582C0F">
        <w:t xml:space="preserve"> </w:t>
      </w:r>
      <w:r w:rsidR="00F572E8">
        <w:t xml:space="preserve">leading to the development of </w:t>
      </w:r>
      <w:r w:rsidR="00532E20">
        <w:t xml:space="preserve">a </w:t>
      </w:r>
      <w:r w:rsidR="000C5439">
        <w:t xml:space="preserve">2016 </w:t>
      </w:r>
      <w:r w:rsidR="00F572E8">
        <w:t>National Research Infrastructure Roadmap Exposure Draft</w:t>
      </w:r>
      <w:r w:rsidR="00582C0F">
        <w:t xml:space="preserve">. The 2016 Roadmap </w:t>
      </w:r>
      <w:r w:rsidR="000C5439">
        <w:t>Exposure D</w:t>
      </w:r>
      <w:r w:rsidR="00582C0F">
        <w:t>raft will</w:t>
      </w:r>
      <w:r w:rsidR="00F572E8">
        <w:t xml:space="preserve"> </w:t>
      </w:r>
      <w:r w:rsidR="00582C0F">
        <w:t>set</w:t>
      </w:r>
      <w:r w:rsidR="00F572E8">
        <w:t xml:space="preserve"> out the key priority areas </w:t>
      </w:r>
      <w:r w:rsidR="000C5439">
        <w:t xml:space="preserve">for </w:t>
      </w:r>
      <w:r w:rsidR="00F572E8">
        <w:t>investment</w:t>
      </w:r>
      <w:r w:rsidR="00671FDB">
        <w:t>s</w:t>
      </w:r>
      <w:r w:rsidR="005C01F4">
        <w:t xml:space="preserve"> in</w:t>
      </w:r>
      <w:r w:rsidR="00671FDB">
        <w:t xml:space="preserve"> </w:t>
      </w:r>
      <w:r w:rsidR="00671FDB" w:rsidRPr="00671FDB">
        <w:t>creation</w:t>
      </w:r>
      <w:r w:rsidR="005C01F4" w:rsidRPr="00671FDB">
        <w:t>, re</w:t>
      </w:r>
      <w:r w:rsidR="005C01F4">
        <w:t>-investment</w:t>
      </w:r>
      <w:r w:rsidR="00671FDB">
        <w:t>, decommissioning</w:t>
      </w:r>
      <w:r w:rsidR="005C01F4">
        <w:t xml:space="preserve"> o</w:t>
      </w:r>
      <w:r w:rsidR="000C5439">
        <w:t>r</w:t>
      </w:r>
      <w:r w:rsidR="005C01F4">
        <w:t xml:space="preserve"> defunding</w:t>
      </w:r>
      <w:r w:rsidR="00671FDB">
        <w:t xml:space="preserve"> of projects and facilities</w:t>
      </w:r>
      <w:r w:rsidR="005C01F4">
        <w:t>. Following further consultation in the later part of 2016, the final 2016 Roadmap</w:t>
      </w:r>
      <w:r w:rsidR="000E3F53">
        <w:t>,</w:t>
      </w:r>
      <w:r w:rsidR="005C01F4">
        <w:t xml:space="preserve"> setting </w:t>
      </w:r>
      <w:r w:rsidR="0082087E">
        <w:t>out a framework and investment strategy for</w:t>
      </w:r>
      <w:r w:rsidR="00F572E8">
        <w:t xml:space="preserve"> the next ten years</w:t>
      </w:r>
      <w:r w:rsidR="0082087E">
        <w:t>,</w:t>
      </w:r>
      <w:r w:rsidR="00582C0F">
        <w:t xml:space="preserve"> </w:t>
      </w:r>
      <w:r w:rsidR="005C01F4">
        <w:t>will be provided to Government</w:t>
      </w:r>
      <w:r w:rsidR="00582C0F">
        <w:t>.</w:t>
      </w:r>
    </w:p>
    <w:p w:rsidR="00AF21E5" w:rsidRDefault="00AF21E5" w:rsidP="00AF21E5">
      <w:pPr>
        <w:spacing w:after="120"/>
      </w:pPr>
      <w:r>
        <w:t xml:space="preserve">To assist with </w:t>
      </w:r>
      <w:r w:rsidR="006B32A4">
        <w:t xml:space="preserve">the development of </w:t>
      </w:r>
      <w:r w:rsidR="00EF4C0D">
        <w:t xml:space="preserve">the </w:t>
      </w:r>
      <w:r w:rsidR="00A52706">
        <w:t>I</w:t>
      </w:r>
      <w:r w:rsidR="0082087E">
        <w:t xml:space="preserve">ssues </w:t>
      </w:r>
      <w:r w:rsidR="00A52706">
        <w:t>P</w:t>
      </w:r>
      <w:r w:rsidR="0082087E">
        <w:t>aper</w:t>
      </w:r>
      <w:r>
        <w:t>, the EWG brought together team</w:t>
      </w:r>
      <w:r w:rsidR="00532E20">
        <w:t>s</w:t>
      </w:r>
      <w:r>
        <w:t xml:space="preserve"> of experts drawn from across the research community to provide advice on capability focus areas</w:t>
      </w:r>
      <w:r>
        <w:rPr>
          <w:rStyle w:val="FootnoteReference"/>
        </w:rPr>
        <w:footnoteReference w:id="5"/>
      </w:r>
      <w:r>
        <w:t xml:space="preserve">. The capability </w:t>
      </w:r>
      <w:r w:rsidR="0093004F">
        <w:t>experts, through</w:t>
      </w:r>
      <w:r w:rsidR="003B7636">
        <w:t xml:space="preserve"> their extensive </w:t>
      </w:r>
      <w:r w:rsidR="00EF4C0D">
        <w:t>know-how</w:t>
      </w:r>
      <w:r w:rsidR="00EF4C0D" w:rsidDel="00EF4C0D">
        <w:t xml:space="preserve"> </w:t>
      </w:r>
      <w:r w:rsidR="003B7636">
        <w:t>and</w:t>
      </w:r>
      <w:r w:rsidR="0093004F">
        <w:t xml:space="preserve"> targeted consultations with the research community and other key stakeholders, have made a significant contribution to the development of </w:t>
      </w:r>
      <w:r w:rsidR="00EF4C0D">
        <w:t>this Issues Paper</w:t>
      </w:r>
      <w:r w:rsidR="0093004F">
        <w:t>.</w:t>
      </w:r>
    </w:p>
    <w:p w:rsidR="00382533" w:rsidRDefault="00382533" w:rsidP="00382533">
      <w:pPr>
        <w:autoSpaceDE w:val="0"/>
        <w:autoSpaceDN w:val="0"/>
        <w:adjustRightInd w:val="0"/>
        <w:spacing w:before="200"/>
        <w:rPr>
          <w:rFonts w:ascii="Calibri" w:hAnsi="Calibri"/>
        </w:rPr>
      </w:pPr>
      <w:r>
        <w:t xml:space="preserve">The purpose of this Issues Paper and requested submissions is to make sure the capability areas are the right ones and that the areas for future development, which may include ongoing support of existing activity, as appropriate. This stage is not about funding or governance, or the identification of facilities, projects or </w:t>
      </w:r>
      <w:r w:rsidRPr="00BA0E51">
        <w:t>specific</w:t>
      </w:r>
      <w:r>
        <w:t xml:space="preserve"> items of</w:t>
      </w:r>
      <w:r w:rsidRPr="00BA0E51">
        <w:t xml:space="preserve"> in</w:t>
      </w:r>
      <w:r>
        <w:t xml:space="preserve">frastructure, or </w:t>
      </w:r>
      <w:r>
        <w:rPr>
          <w:rFonts w:ascii="Calibri" w:hAnsi="Calibri"/>
        </w:rPr>
        <w:t>where they should be located, or which organisations might operate or contribute. These elements are important and will be explored in the coming months with the development of the 2016 Roadmap.</w:t>
      </w:r>
    </w:p>
    <w:p w:rsidR="00382533" w:rsidRDefault="00382533" w:rsidP="00382533">
      <w:pPr>
        <w:autoSpaceDE w:val="0"/>
        <w:autoSpaceDN w:val="0"/>
        <w:adjustRightInd w:val="0"/>
        <w:spacing w:before="200"/>
        <w:ind w:right="-188"/>
      </w:pPr>
      <w:r>
        <w:rPr>
          <w:rFonts w:ascii="Calibri" w:hAnsi="Calibri"/>
        </w:rPr>
        <w:lastRenderedPageBreak/>
        <w:t xml:space="preserve">It is not possible to discuss capability without reflecting on existing national facilities and their current and future role in underpinning Australia’s future research needs. As a result, </w:t>
      </w:r>
      <w:r w:rsidRPr="00BA0E51">
        <w:t>capability areas</w:t>
      </w:r>
      <w:r>
        <w:t xml:space="preserve"> have been aligned with existing national research infrastructure. This has assisted in identifying new capability requirements and areas of future national research infrastructure development.</w:t>
      </w:r>
    </w:p>
    <w:p w:rsidR="0054611D" w:rsidRDefault="00266F0C" w:rsidP="00250BCC">
      <w:pPr>
        <w:spacing w:after="120"/>
      </w:pPr>
      <w:r>
        <w:t>One of the aims of th</w:t>
      </w:r>
      <w:r w:rsidR="004A53A0">
        <w:t>is</w:t>
      </w:r>
      <w:r w:rsidR="00367A71">
        <w:t xml:space="preserve"> </w:t>
      </w:r>
      <w:r w:rsidR="0051190F">
        <w:t>Issues Paper</w:t>
      </w:r>
      <w:r w:rsidR="00367A71">
        <w:t xml:space="preserve"> and the associated consultation </w:t>
      </w:r>
      <w:r>
        <w:t>process</w:t>
      </w:r>
      <w:r w:rsidR="00367A71">
        <w:t xml:space="preserve"> </w:t>
      </w:r>
      <w:r>
        <w:t xml:space="preserve">is to gain a shared understanding of how </w:t>
      </w:r>
      <w:r w:rsidR="00250BCC" w:rsidRPr="00BA0E51">
        <w:t>public invest</w:t>
      </w:r>
      <w:r>
        <w:t>ment in research infrastructure</w:t>
      </w:r>
      <w:r w:rsidR="003B7636">
        <w:t xml:space="preserve"> will be prioritised</w:t>
      </w:r>
      <w:r>
        <w:t xml:space="preserve"> so as to </w:t>
      </w:r>
      <w:r w:rsidR="00250BCC" w:rsidRPr="00BA0E51">
        <w:t>make a significant difference to Australia’s research and innovation outcomes</w:t>
      </w:r>
      <w:r w:rsidR="00250BCC">
        <w:t xml:space="preserve"> </w:t>
      </w:r>
      <w:r w:rsidR="002250B1">
        <w:t xml:space="preserve">aligned to our </w:t>
      </w:r>
      <w:r w:rsidR="00A5375B">
        <w:t>N</w:t>
      </w:r>
      <w:r w:rsidR="00250BCC">
        <w:t xml:space="preserve">ational </w:t>
      </w:r>
      <w:r w:rsidR="00A5375B">
        <w:t>S</w:t>
      </w:r>
      <w:r w:rsidR="002250B1">
        <w:t xml:space="preserve">cience and </w:t>
      </w:r>
      <w:r w:rsidR="00A5375B">
        <w:t>R</w:t>
      </w:r>
      <w:r w:rsidR="002250B1">
        <w:t xml:space="preserve">esearch </w:t>
      </w:r>
      <w:r w:rsidR="00A5375B">
        <w:t>P</w:t>
      </w:r>
      <w:r w:rsidR="006B32A4">
        <w:t>riorities</w:t>
      </w:r>
      <w:r w:rsidR="00C80235">
        <w:rPr>
          <w:rStyle w:val="FootnoteReference"/>
        </w:rPr>
        <w:footnoteReference w:id="6"/>
      </w:r>
      <w:r w:rsidR="00B51FA8">
        <w:t xml:space="preserve">. This will be followed-up in the next stage of the </w:t>
      </w:r>
      <w:r w:rsidR="00FB1C09">
        <w:t xml:space="preserve">2016 </w:t>
      </w:r>
      <w:r w:rsidR="00B51FA8">
        <w:t>Roadmap as we explore the</w:t>
      </w:r>
      <w:r w:rsidR="00250BCC" w:rsidRPr="00BA0E51">
        <w:t xml:space="preserve"> identification of the </w:t>
      </w:r>
      <w:r w:rsidR="00250BCC">
        <w:t>specific</w:t>
      </w:r>
      <w:r w:rsidR="00A52706">
        <w:t xml:space="preserve"> research</w:t>
      </w:r>
      <w:r w:rsidR="00250BCC">
        <w:t xml:space="preserve"> </w:t>
      </w:r>
      <w:r w:rsidR="00250BCC" w:rsidRPr="00BA0E51">
        <w:t>infrastructure required</w:t>
      </w:r>
      <w:r w:rsidR="00250BCC">
        <w:t>,</w:t>
      </w:r>
      <w:r w:rsidR="00250BCC" w:rsidRPr="00BA0E51">
        <w:t xml:space="preserve"> and the most efficient and effective way to provide it</w:t>
      </w:r>
      <w:r>
        <w:t>.</w:t>
      </w:r>
      <w:r w:rsidR="005127D6">
        <w:t xml:space="preserve"> </w:t>
      </w:r>
    </w:p>
    <w:p w:rsidR="00250BCC" w:rsidRPr="00491022" w:rsidRDefault="005127D6" w:rsidP="00250BCC">
      <w:pPr>
        <w:spacing w:after="120"/>
        <w:rPr>
          <w:rFonts w:ascii="Calibri" w:hAnsi="Calibri"/>
        </w:rPr>
      </w:pPr>
      <w:r>
        <w:t>Ultim</w:t>
      </w:r>
      <w:r w:rsidR="0054611D">
        <w:t>ately</w:t>
      </w:r>
      <w:r w:rsidR="00AC45DD">
        <w:t>,</w:t>
      </w:r>
      <w:r w:rsidR="0054611D">
        <w:t xml:space="preserve"> future funding </w:t>
      </w:r>
      <w:r w:rsidR="002E48AD">
        <w:t xml:space="preserve">to renew, </w:t>
      </w:r>
      <w:r w:rsidR="00256E43">
        <w:t xml:space="preserve">expand </w:t>
      </w:r>
      <w:r w:rsidR="002E48AD">
        <w:t xml:space="preserve">or improve existing investments under the National Collaborative Research Infrastructure Strategy (NCRIS) </w:t>
      </w:r>
      <w:r w:rsidR="0054611D">
        <w:t xml:space="preserve">or </w:t>
      </w:r>
      <w:r w:rsidR="00883ADE">
        <w:t xml:space="preserve">other national </w:t>
      </w:r>
      <w:r w:rsidR="0054611D">
        <w:t xml:space="preserve">infrastructure </w:t>
      </w:r>
      <w:r w:rsidR="00D21DF8">
        <w:t xml:space="preserve">such as the </w:t>
      </w:r>
      <w:proofErr w:type="spellStart"/>
      <w:r w:rsidR="002E48AD">
        <w:t>ANSTO</w:t>
      </w:r>
      <w:proofErr w:type="spellEnd"/>
      <w:r w:rsidR="002E48AD">
        <w:t xml:space="preserve"> </w:t>
      </w:r>
      <w:r w:rsidR="00FB1C09">
        <w:t xml:space="preserve">OPAL </w:t>
      </w:r>
      <w:r w:rsidR="00D21DF8">
        <w:t xml:space="preserve">Reactor, </w:t>
      </w:r>
      <w:r w:rsidR="0054611D">
        <w:t xml:space="preserve">will </w:t>
      </w:r>
      <w:r w:rsidR="00256E43">
        <w:t>depend on the strategic investment decisions</w:t>
      </w:r>
      <w:r w:rsidR="0054611D">
        <w:t xml:space="preserve"> of the Government.</w:t>
      </w:r>
      <w:r w:rsidR="00532E20">
        <w:t xml:space="preserve"> </w:t>
      </w:r>
    </w:p>
    <w:p w:rsidR="00AF21E5" w:rsidRDefault="00AF21E5" w:rsidP="004D0132">
      <w:pPr>
        <w:spacing w:before="120"/>
        <w:rPr>
          <w:rFonts w:cstheme="minorHAnsi"/>
        </w:rPr>
      </w:pPr>
      <w:r w:rsidRPr="0089532C">
        <w:t>This</w:t>
      </w:r>
      <w:r>
        <w:t xml:space="preserve"> </w:t>
      </w:r>
      <w:r w:rsidR="0051190F">
        <w:t>Issues Paper</w:t>
      </w:r>
      <w:r>
        <w:t xml:space="preserve"> </w:t>
      </w:r>
      <w:r w:rsidR="0093004F">
        <w:t xml:space="preserve">is the first step in establishing a shared view </w:t>
      </w:r>
      <w:r w:rsidR="00B534A7">
        <w:t xml:space="preserve">of the </w:t>
      </w:r>
      <w:r>
        <w:rPr>
          <w:rFonts w:cstheme="minorHAnsi"/>
        </w:rPr>
        <w:t>capabilities</w:t>
      </w:r>
      <w:r w:rsidR="00B534A7">
        <w:rPr>
          <w:rFonts w:cstheme="minorHAnsi"/>
        </w:rPr>
        <w:t xml:space="preserve"> that</w:t>
      </w:r>
      <w:r>
        <w:rPr>
          <w:rFonts w:cstheme="minorHAnsi"/>
        </w:rPr>
        <w:t xml:space="preserve"> require</w:t>
      </w:r>
      <w:r w:rsidR="00B534A7">
        <w:rPr>
          <w:rFonts w:cstheme="minorHAnsi"/>
        </w:rPr>
        <w:t xml:space="preserve"> national research infrastructure</w:t>
      </w:r>
      <w:r w:rsidRPr="00461205">
        <w:rPr>
          <w:rFonts w:cstheme="minorHAnsi"/>
        </w:rPr>
        <w:t xml:space="preserve"> to support current, new and emerging areas of research. </w:t>
      </w:r>
      <w:r w:rsidR="00382533">
        <w:rPr>
          <w:rFonts w:cstheme="minorHAnsi"/>
        </w:rPr>
        <w:t>In framing this</w:t>
      </w:r>
      <w:r w:rsidR="0054030D">
        <w:rPr>
          <w:rFonts w:cstheme="minorHAnsi"/>
        </w:rPr>
        <w:t xml:space="preserve"> </w:t>
      </w:r>
      <w:r w:rsidR="0051190F">
        <w:rPr>
          <w:rFonts w:cstheme="minorHAnsi"/>
        </w:rPr>
        <w:t>Issues Paper</w:t>
      </w:r>
      <w:r w:rsidR="0054030D">
        <w:rPr>
          <w:rFonts w:cstheme="minorHAnsi"/>
        </w:rPr>
        <w:t>, the EWG has considered the</w:t>
      </w:r>
      <w:r w:rsidR="0093004F">
        <w:rPr>
          <w:rFonts w:cstheme="minorHAnsi"/>
        </w:rPr>
        <w:t xml:space="preserve"> advice provided by the capability experts, </w:t>
      </w:r>
      <w:r w:rsidRPr="00123442">
        <w:rPr>
          <w:rFonts w:cstheme="minorHAnsi"/>
        </w:rPr>
        <w:t xml:space="preserve">international </w:t>
      </w:r>
      <w:r>
        <w:rPr>
          <w:rFonts w:cstheme="minorHAnsi"/>
        </w:rPr>
        <w:t xml:space="preserve">trends, </w:t>
      </w:r>
      <w:r w:rsidRPr="00123442">
        <w:rPr>
          <w:rFonts w:cstheme="minorHAnsi"/>
        </w:rPr>
        <w:t xml:space="preserve">the collaborative nature of </w:t>
      </w:r>
      <w:r>
        <w:rPr>
          <w:rFonts w:cstheme="minorHAnsi"/>
        </w:rPr>
        <w:t>cross</w:t>
      </w:r>
      <w:r w:rsidR="00486755">
        <w:rPr>
          <w:rFonts w:cstheme="minorHAnsi"/>
        </w:rPr>
        <w:t>-</w:t>
      </w:r>
      <w:r>
        <w:rPr>
          <w:rFonts w:cstheme="minorHAnsi"/>
        </w:rPr>
        <w:t>disciplinary</w:t>
      </w:r>
      <w:r w:rsidRPr="00123442">
        <w:rPr>
          <w:rFonts w:cstheme="minorHAnsi"/>
        </w:rPr>
        <w:t xml:space="preserve"> research and the important role of research infrastructure in </w:t>
      </w:r>
      <w:r>
        <w:rPr>
          <w:rFonts w:cstheme="minorHAnsi"/>
        </w:rPr>
        <w:t>fostering collaboration and innovation</w:t>
      </w:r>
      <w:r w:rsidRPr="00123442">
        <w:rPr>
          <w:rFonts w:cstheme="minorHAnsi"/>
        </w:rPr>
        <w:t>.</w:t>
      </w:r>
    </w:p>
    <w:p w:rsidR="003C6AFB" w:rsidRDefault="00382533" w:rsidP="00676CA8">
      <w:pPr>
        <w:ind w:right="-330"/>
      </w:pPr>
      <w:r>
        <w:rPr>
          <w:rFonts w:cstheme="minorHAnsi"/>
        </w:rPr>
        <w:t xml:space="preserve">This Issues Paper </w:t>
      </w:r>
      <w:r w:rsidRPr="0089532C">
        <w:t xml:space="preserve">has been developed </w:t>
      </w:r>
      <w:r>
        <w:t xml:space="preserve">to encourage </w:t>
      </w:r>
      <w:r w:rsidRPr="0089532C">
        <w:t xml:space="preserve">discussion </w:t>
      </w:r>
      <w:r>
        <w:t xml:space="preserve">and to ensure that stakeholder views are considered in the development of the </w:t>
      </w:r>
      <w:r w:rsidRPr="0089532C">
        <w:t>2016 Roadmap.</w:t>
      </w:r>
      <w:r>
        <w:rPr>
          <w:rFonts w:cstheme="minorHAnsi"/>
        </w:rPr>
        <w:t xml:space="preserve"> Your views on the national research infrastructure capability requirements outlined in this Issues Paper </w:t>
      </w:r>
      <w:r w:rsidRPr="0091434F">
        <w:rPr>
          <w:rFonts w:cstheme="minorHAnsi"/>
        </w:rPr>
        <w:t xml:space="preserve">are important. You are encouraged to provide a submission and details </w:t>
      </w:r>
      <w:r>
        <w:rPr>
          <w:rFonts w:cstheme="minorHAnsi"/>
        </w:rPr>
        <w:t xml:space="preserve">regarding how to make a submission </w:t>
      </w:r>
      <w:r w:rsidRPr="0091434F">
        <w:rPr>
          <w:rFonts w:cstheme="minorHAnsi"/>
        </w:rPr>
        <w:t xml:space="preserve">are </w:t>
      </w:r>
      <w:r w:rsidRPr="00620F1A">
        <w:rPr>
          <w:rFonts w:cstheme="minorHAnsi"/>
        </w:rPr>
        <w:t xml:space="preserve">available in </w:t>
      </w:r>
      <w:r w:rsidRPr="00620F1A">
        <w:rPr>
          <w:rFonts w:cstheme="minorHAnsi"/>
          <w:b/>
        </w:rPr>
        <w:t>Attachment A</w:t>
      </w:r>
      <w:r w:rsidRPr="00620F1A">
        <w:rPr>
          <w:rFonts w:cstheme="minorHAnsi"/>
        </w:rPr>
        <w:t>.</w:t>
      </w:r>
    </w:p>
    <w:p w:rsidR="00E41495" w:rsidRDefault="00E41495" w:rsidP="004D0132">
      <w:pPr>
        <w:spacing w:before="120" w:after="120"/>
        <w:rPr>
          <w:rFonts w:cstheme="minorHAnsi"/>
        </w:rPr>
        <w:sectPr w:rsidR="00E41495" w:rsidSect="008C7FDD">
          <w:headerReference w:type="even" r:id="rId20"/>
          <w:headerReference w:type="default" r:id="rId21"/>
          <w:footerReference w:type="default" r:id="rId22"/>
          <w:headerReference w:type="first" r:id="rId23"/>
          <w:type w:val="continuous"/>
          <w:pgSz w:w="11906" w:h="16838"/>
          <w:pgMar w:top="1985" w:right="1440" w:bottom="1134" w:left="1440" w:header="708" w:footer="1011" w:gutter="0"/>
          <w:cols w:space="708"/>
          <w:docGrid w:linePitch="360"/>
        </w:sectPr>
      </w:pPr>
    </w:p>
    <w:p w:rsidR="00B8025F" w:rsidRPr="00B8025F" w:rsidRDefault="00B8025F" w:rsidP="007F2FC5">
      <w:pPr>
        <w:pStyle w:val="Heading1"/>
        <w:spacing w:after="120"/>
        <w:ind w:left="431" w:hanging="431"/>
      </w:pPr>
      <w:bookmarkStart w:id="7" w:name="_Toc456257327"/>
      <w:bookmarkStart w:id="8" w:name="_Toc456276831"/>
      <w:bookmarkStart w:id="9" w:name="_Toc455414550"/>
      <w:bookmarkStart w:id="10" w:name="_Toc456449019"/>
      <w:bookmarkEnd w:id="7"/>
      <w:bookmarkEnd w:id="8"/>
      <w:r w:rsidRPr="00B8025F">
        <w:lastRenderedPageBreak/>
        <w:t xml:space="preserve">National </w:t>
      </w:r>
      <w:r w:rsidR="00691EA6">
        <w:t>R</w:t>
      </w:r>
      <w:r w:rsidR="00691EA6" w:rsidRPr="00B8025F">
        <w:t xml:space="preserve">esearch </w:t>
      </w:r>
      <w:r w:rsidR="00691EA6">
        <w:t>I</w:t>
      </w:r>
      <w:r w:rsidR="00691EA6" w:rsidRPr="00B8025F">
        <w:t xml:space="preserve">nfrastructure </w:t>
      </w:r>
      <w:r w:rsidR="00691EA6">
        <w:t>P</w:t>
      </w:r>
      <w:r w:rsidR="00691EA6" w:rsidRPr="00B8025F">
        <w:t xml:space="preserve">olicy </w:t>
      </w:r>
      <w:r w:rsidR="00691EA6">
        <w:t>I</w:t>
      </w:r>
      <w:r w:rsidR="00691EA6" w:rsidRPr="00B8025F">
        <w:t>ssues</w:t>
      </w:r>
      <w:bookmarkEnd w:id="9"/>
      <w:bookmarkEnd w:id="10"/>
    </w:p>
    <w:p w:rsidR="00386822" w:rsidRDefault="00386822" w:rsidP="00515F25">
      <w:pPr>
        <w:pStyle w:val="Heading2"/>
        <w:ind w:left="567"/>
      </w:pPr>
      <w:r>
        <w:t>Capability areas</w:t>
      </w:r>
    </w:p>
    <w:p w:rsidR="00A86A04" w:rsidRDefault="008863CD" w:rsidP="007F2FC5">
      <w:pPr>
        <w:spacing w:before="120" w:after="60"/>
      </w:pPr>
      <w:r>
        <w:t xml:space="preserve">The </w:t>
      </w:r>
      <w:r w:rsidR="00A86A04">
        <w:t xml:space="preserve">capability focus </w:t>
      </w:r>
      <w:r w:rsidR="00A86A04" w:rsidRPr="004A34E1">
        <w:t xml:space="preserve">areas </w:t>
      </w:r>
      <w:r w:rsidR="005824B7">
        <w:t xml:space="preserve">which have been informed by the capability experts are </w:t>
      </w:r>
      <w:r w:rsidR="00A86A04">
        <w:t xml:space="preserve">based on the National </w:t>
      </w:r>
      <w:r w:rsidR="00A86A04" w:rsidRPr="0089532C">
        <w:t>Science and Research Priorities</w:t>
      </w:r>
      <w:r w:rsidR="00B766AF">
        <w:t xml:space="preserve"> </w:t>
      </w:r>
      <w:r w:rsidR="008A6437">
        <w:t xml:space="preserve">and </w:t>
      </w:r>
      <w:r w:rsidR="00DE25B1">
        <w:t xml:space="preserve">are </w:t>
      </w:r>
      <w:r w:rsidR="008C7FDD">
        <w:rPr>
          <w:rFonts w:cstheme="minorHAnsi"/>
        </w:rPr>
        <w:t xml:space="preserve">explored in the </w:t>
      </w:r>
      <w:r w:rsidR="0051190F">
        <w:rPr>
          <w:rFonts w:cstheme="minorHAnsi"/>
        </w:rPr>
        <w:t>Issues Paper</w:t>
      </w:r>
      <w:r w:rsidR="008C7FDD">
        <w:rPr>
          <w:rFonts w:cstheme="minorHAnsi"/>
        </w:rPr>
        <w:t xml:space="preserve"> a</w:t>
      </w:r>
      <w:r w:rsidR="005824B7">
        <w:rPr>
          <w:rFonts w:cstheme="minorHAnsi"/>
        </w:rPr>
        <w:t>s</w:t>
      </w:r>
      <w:r w:rsidR="00A86A04">
        <w:t>:</w:t>
      </w:r>
    </w:p>
    <w:p w:rsidR="006215F1" w:rsidRDefault="00F843C9" w:rsidP="006215F1">
      <w:pPr>
        <w:pStyle w:val="ListParagraph"/>
        <w:numPr>
          <w:ilvl w:val="0"/>
          <w:numId w:val="22"/>
        </w:numPr>
        <w:spacing w:before="200" w:after="60"/>
      </w:pPr>
      <w:r>
        <w:t xml:space="preserve">Health and </w:t>
      </w:r>
      <w:r w:rsidR="008C7FDD">
        <w:t>m</w:t>
      </w:r>
      <w:r>
        <w:t xml:space="preserve">edical </w:t>
      </w:r>
      <w:r w:rsidR="008C7FDD">
        <w:t>s</w:t>
      </w:r>
      <w:r>
        <w:t>cience</w:t>
      </w:r>
      <w:r w:rsidR="006215F1" w:rsidRPr="006215F1">
        <w:t xml:space="preserve"> </w:t>
      </w:r>
    </w:p>
    <w:p w:rsidR="006215F1" w:rsidRDefault="006215F1" w:rsidP="006215F1">
      <w:pPr>
        <w:pStyle w:val="ListParagraph"/>
        <w:numPr>
          <w:ilvl w:val="0"/>
          <w:numId w:val="22"/>
        </w:numPr>
        <w:spacing w:before="200" w:after="60"/>
      </w:pPr>
      <w:r>
        <w:t>Environment and natural resource management</w:t>
      </w:r>
    </w:p>
    <w:p w:rsidR="006215F1" w:rsidRDefault="006215F1" w:rsidP="006215F1">
      <w:pPr>
        <w:pStyle w:val="ListParagraph"/>
        <w:numPr>
          <w:ilvl w:val="0"/>
          <w:numId w:val="22"/>
        </w:numPr>
        <w:spacing w:before="200" w:after="60"/>
      </w:pPr>
      <w:r>
        <w:t>Advanced physics, chemistry, mathematics and materials</w:t>
      </w:r>
    </w:p>
    <w:p w:rsidR="00F843C9" w:rsidRDefault="006215F1" w:rsidP="00532E20">
      <w:pPr>
        <w:pStyle w:val="ListParagraph"/>
        <w:numPr>
          <w:ilvl w:val="0"/>
          <w:numId w:val="22"/>
        </w:numPr>
        <w:spacing w:before="200" w:after="60"/>
      </w:pPr>
      <w:r>
        <w:t>Understanding cultures and communities</w:t>
      </w:r>
    </w:p>
    <w:p w:rsidR="00F843C9" w:rsidRDefault="00F843C9" w:rsidP="00726F0F">
      <w:pPr>
        <w:pStyle w:val="ListParagraph"/>
        <w:numPr>
          <w:ilvl w:val="0"/>
          <w:numId w:val="22"/>
        </w:numPr>
        <w:spacing w:before="200" w:after="60"/>
      </w:pPr>
      <w:r>
        <w:t xml:space="preserve">National </w:t>
      </w:r>
      <w:r w:rsidR="008C7FDD">
        <w:t>s</w:t>
      </w:r>
      <w:r>
        <w:t>ecurity</w:t>
      </w:r>
    </w:p>
    <w:p w:rsidR="00F843C9" w:rsidRDefault="00F843C9" w:rsidP="00726F0F">
      <w:pPr>
        <w:pStyle w:val="ListParagraph"/>
        <w:numPr>
          <w:ilvl w:val="0"/>
          <w:numId w:val="22"/>
        </w:numPr>
        <w:spacing w:before="200" w:after="60"/>
      </w:pPr>
      <w:r>
        <w:t xml:space="preserve">Underpinning </w:t>
      </w:r>
      <w:r w:rsidR="008C7FDD">
        <w:t>r</w:t>
      </w:r>
      <w:r>
        <w:t xml:space="preserve">esearch </w:t>
      </w:r>
      <w:r w:rsidR="008C7FDD">
        <w:t>i</w:t>
      </w:r>
      <w:r>
        <w:t>nfrastructure</w:t>
      </w:r>
    </w:p>
    <w:p w:rsidR="004C4A14" w:rsidRDefault="000E3F53" w:rsidP="00515F25">
      <w:pPr>
        <w:pStyle w:val="ListParagraph"/>
        <w:numPr>
          <w:ilvl w:val="0"/>
          <w:numId w:val="22"/>
        </w:numPr>
        <w:spacing w:before="120" w:after="60"/>
      </w:pPr>
      <w:r>
        <w:t>Data for research and discoverability</w:t>
      </w:r>
    </w:p>
    <w:tbl>
      <w:tblPr>
        <w:tblStyle w:val="TableGrid"/>
        <w:tblW w:w="0" w:type="auto"/>
        <w:shd w:val="clear" w:color="auto" w:fill="FFC000"/>
        <w:tblLook w:val="04A0" w:firstRow="1" w:lastRow="0" w:firstColumn="1" w:lastColumn="0" w:noHBand="0" w:noVBand="1"/>
        <w:tblCaption w:val="Table containing Question 1."/>
        <w:tblDescription w:val="Are there other capability areas that should be considered?"/>
      </w:tblPr>
      <w:tblGrid>
        <w:gridCol w:w="9242"/>
      </w:tblGrid>
      <w:tr w:rsidR="001D7AE5" w:rsidTr="00515F25">
        <w:tc>
          <w:tcPr>
            <w:tcW w:w="9242" w:type="dxa"/>
            <w:shd w:val="clear" w:color="auto" w:fill="FFC000"/>
          </w:tcPr>
          <w:p w:rsidR="001D7AE5" w:rsidRDefault="001D7AE5" w:rsidP="00515F25">
            <w:pPr>
              <w:autoSpaceDE w:val="0"/>
              <w:autoSpaceDN w:val="0"/>
              <w:adjustRightInd w:val="0"/>
              <w:spacing w:before="180" w:after="180"/>
              <w:ind w:left="1418" w:hanging="1276"/>
            </w:pPr>
            <w:r w:rsidRPr="00E70C42">
              <w:rPr>
                <w:rFonts w:cstheme="minorHAnsi"/>
                <w:b/>
              </w:rPr>
              <w:t>Question 1:</w:t>
            </w:r>
            <w:r w:rsidRPr="00E70C42">
              <w:rPr>
                <w:rFonts w:cstheme="minorHAnsi"/>
                <w:b/>
              </w:rPr>
              <w:tab/>
              <w:t>Are there other capability areas that should be considered?</w:t>
            </w:r>
          </w:p>
        </w:tc>
      </w:tr>
    </w:tbl>
    <w:p w:rsidR="0054611D" w:rsidRPr="00B81C2A" w:rsidRDefault="0054611D" w:rsidP="00620F1A">
      <w:pPr>
        <w:pStyle w:val="Heading2"/>
        <w:ind w:left="567"/>
      </w:pPr>
      <w:r w:rsidRPr="00B81C2A">
        <w:t>Governance</w:t>
      </w:r>
    </w:p>
    <w:p w:rsidR="002B12C2" w:rsidRDefault="0054611D" w:rsidP="0054611D">
      <w:pPr>
        <w:widowControl w:val="0"/>
        <w:suppressAutoHyphens/>
        <w:spacing w:after="120"/>
        <w:rPr>
          <w:rFonts w:cstheme="minorHAnsi"/>
        </w:rPr>
      </w:pPr>
      <w:r>
        <w:rPr>
          <w:rFonts w:cstheme="minorHAnsi"/>
        </w:rPr>
        <w:t xml:space="preserve">There is a strong emerging theme around leadership </w:t>
      </w:r>
      <w:r w:rsidR="002B12C2">
        <w:rPr>
          <w:rFonts w:cstheme="minorHAnsi"/>
        </w:rPr>
        <w:t>to determine priorities for research infrastructure. In some disciplines this ha</w:t>
      </w:r>
      <w:r w:rsidR="005824B7">
        <w:rPr>
          <w:rFonts w:cstheme="minorHAnsi"/>
        </w:rPr>
        <w:t>s</w:t>
      </w:r>
      <w:r w:rsidR="002B12C2">
        <w:rPr>
          <w:rFonts w:cstheme="minorHAnsi"/>
        </w:rPr>
        <w:t xml:space="preserve"> been in part addressed through decadal plans.</w:t>
      </w:r>
      <w:r w:rsidR="006D7E4A">
        <w:rPr>
          <w:rFonts w:cstheme="minorHAnsi"/>
        </w:rPr>
        <w:t xml:space="preserve"> </w:t>
      </w:r>
      <w:r w:rsidR="002B12C2">
        <w:rPr>
          <w:rFonts w:cstheme="minorHAnsi"/>
        </w:rPr>
        <w:t xml:space="preserve">However the outcomes are often </w:t>
      </w:r>
      <w:r w:rsidR="006B02F9">
        <w:rPr>
          <w:rFonts w:cstheme="minorHAnsi"/>
        </w:rPr>
        <w:t xml:space="preserve">intentionally </w:t>
      </w:r>
      <w:r w:rsidR="002B12C2">
        <w:rPr>
          <w:rFonts w:cstheme="minorHAnsi"/>
        </w:rPr>
        <w:t>aspirational</w:t>
      </w:r>
      <w:r w:rsidR="005824B7">
        <w:rPr>
          <w:rFonts w:cstheme="minorHAnsi"/>
        </w:rPr>
        <w:t xml:space="preserve"> and outline objectives for the discipline,</w:t>
      </w:r>
      <w:r w:rsidR="002B12C2">
        <w:rPr>
          <w:rFonts w:cstheme="minorHAnsi"/>
        </w:rPr>
        <w:t xml:space="preserve"> rather than </w:t>
      </w:r>
      <w:r w:rsidR="005824B7">
        <w:rPr>
          <w:rFonts w:cstheme="minorHAnsi"/>
        </w:rPr>
        <w:t xml:space="preserve">providing </w:t>
      </w:r>
      <w:r w:rsidR="002B12C2">
        <w:rPr>
          <w:rFonts w:cstheme="minorHAnsi"/>
        </w:rPr>
        <w:t xml:space="preserve">a prioritised list </w:t>
      </w:r>
      <w:r w:rsidR="002E48AD">
        <w:rPr>
          <w:rFonts w:cstheme="minorHAnsi"/>
        </w:rPr>
        <w:t>for</w:t>
      </w:r>
      <w:r w:rsidR="002B12C2">
        <w:rPr>
          <w:rFonts w:cstheme="minorHAnsi"/>
        </w:rPr>
        <w:t xml:space="preserve"> </w:t>
      </w:r>
      <w:r w:rsidR="006B02F9">
        <w:rPr>
          <w:rFonts w:cstheme="minorHAnsi"/>
        </w:rPr>
        <w:t xml:space="preserve">infrastructure </w:t>
      </w:r>
      <w:r w:rsidR="002B12C2">
        <w:rPr>
          <w:rFonts w:cstheme="minorHAnsi"/>
        </w:rPr>
        <w:t xml:space="preserve">investment. </w:t>
      </w:r>
    </w:p>
    <w:p w:rsidR="00003877" w:rsidRDefault="00040065" w:rsidP="0054611D">
      <w:pPr>
        <w:widowControl w:val="0"/>
        <w:suppressAutoHyphens/>
        <w:spacing w:after="120"/>
        <w:rPr>
          <w:rFonts w:cstheme="minorHAnsi"/>
        </w:rPr>
      </w:pPr>
      <w:r>
        <w:rPr>
          <w:rFonts w:cstheme="minorHAnsi"/>
        </w:rPr>
        <w:t>A</w:t>
      </w:r>
      <w:r w:rsidR="002B12C2">
        <w:rPr>
          <w:rFonts w:cstheme="minorHAnsi"/>
        </w:rPr>
        <w:t xml:space="preserve">reas such as </w:t>
      </w:r>
      <w:r w:rsidR="00691EA6">
        <w:rPr>
          <w:rFonts w:cstheme="minorHAnsi"/>
        </w:rPr>
        <w:t xml:space="preserve">data for research and discoverability </w:t>
      </w:r>
      <w:r>
        <w:rPr>
          <w:rFonts w:cstheme="minorHAnsi"/>
        </w:rPr>
        <w:t>have been identified as pervasive across the research system. Ensuring that the</w:t>
      </w:r>
      <w:r w:rsidR="00DC68C7">
        <w:rPr>
          <w:rFonts w:cstheme="minorHAnsi"/>
        </w:rPr>
        <w:t>re is</w:t>
      </w:r>
      <w:r>
        <w:rPr>
          <w:rFonts w:cstheme="minorHAnsi"/>
        </w:rPr>
        <w:t xml:space="preserve"> cooperation and consultation across capability areas to provide a whole</w:t>
      </w:r>
      <w:r w:rsidR="00FB1C09">
        <w:rPr>
          <w:rFonts w:cstheme="minorHAnsi"/>
        </w:rPr>
        <w:t>-</w:t>
      </w:r>
      <w:r>
        <w:rPr>
          <w:rFonts w:cstheme="minorHAnsi"/>
        </w:rPr>
        <w:t>of</w:t>
      </w:r>
      <w:r w:rsidR="00FB1C09">
        <w:rPr>
          <w:rFonts w:cstheme="minorHAnsi"/>
        </w:rPr>
        <w:t>-</w:t>
      </w:r>
      <w:r>
        <w:rPr>
          <w:rFonts w:cstheme="minorHAnsi"/>
        </w:rPr>
        <w:t>research system response in areas such as the environment</w:t>
      </w:r>
      <w:r w:rsidR="00DC68C7">
        <w:rPr>
          <w:rFonts w:cstheme="minorHAnsi"/>
        </w:rPr>
        <w:t>,</w:t>
      </w:r>
      <w:r>
        <w:rPr>
          <w:rFonts w:cstheme="minorHAnsi"/>
        </w:rPr>
        <w:t xml:space="preserve"> cultures </w:t>
      </w:r>
      <w:r w:rsidR="00FB1C09">
        <w:rPr>
          <w:rFonts w:cstheme="minorHAnsi"/>
        </w:rPr>
        <w:t xml:space="preserve">and </w:t>
      </w:r>
      <w:r>
        <w:rPr>
          <w:rFonts w:cstheme="minorHAnsi"/>
        </w:rPr>
        <w:t>commun</w:t>
      </w:r>
      <w:r w:rsidR="00DC68C7">
        <w:rPr>
          <w:rFonts w:cstheme="minorHAnsi"/>
        </w:rPr>
        <w:t>ities, characterisation and fabrication has also emerged as a key theme.</w:t>
      </w:r>
    </w:p>
    <w:p w:rsidR="00DC68C7" w:rsidRDefault="004A659D" w:rsidP="008C7FDD">
      <w:pPr>
        <w:widowControl w:val="0"/>
        <w:suppressAutoHyphens/>
        <w:spacing w:after="120"/>
        <w:rPr>
          <w:rFonts w:cstheme="minorHAnsi"/>
        </w:rPr>
      </w:pPr>
      <w:r>
        <w:rPr>
          <w:rFonts w:cstheme="minorHAnsi"/>
        </w:rPr>
        <w:t>In defining the optimal governance model key characteristics could include:</w:t>
      </w:r>
    </w:p>
    <w:p w:rsidR="004A659D" w:rsidRPr="00421609" w:rsidRDefault="004A659D" w:rsidP="008C7FDD">
      <w:pPr>
        <w:pStyle w:val="ListParagraph"/>
        <w:numPr>
          <w:ilvl w:val="0"/>
          <w:numId w:val="22"/>
        </w:numPr>
        <w:spacing w:before="120" w:after="60"/>
        <w:ind w:left="357" w:hanging="357"/>
      </w:pPr>
      <w:r>
        <w:rPr>
          <w:rFonts w:cstheme="minorHAnsi"/>
        </w:rPr>
        <w:t xml:space="preserve">Focus on benefits and </w:t>
      </w:r>
      <w:r w:rsidRPr="00421609">
        <w:t>outcome</w:t>
      </w:r>
      <w:r w:rsidR="00FB1C09">
        <w:t>s</w:t>
      </w:r>
      <w:r w:rsidRPr="00421609">
        <w:t xml:space="preserve"> </w:t>
      </w:r>
    </w:p>
    <w:p w:rsidR="004A659D" w:rsidRDefault="004A659D" w:rsidP="00421609">
      <w:pPr>
        <w:pStyle w:val="ListParagraph"/>
        <w:numPr>
          <w:ilvl w:val="0"/>
          <w:numId w:val="22"/>
        </w:numPr>
        <w:spacing w:before="200" w:after="60"/>
        <w:rPr>
          <w:rFonts w:cstheme="minorHAnsi"/>
        </w:rPr>
      </w:pPr>
      <w:r w:rsidRPr="00421609">
        <w:t xml:space="preserve">Access </w:t>
      </w:r>
      <w:r w:rsidR="002B3C4D">
        <w:t>models</w:t>
      </w:r>
      <w:r w:rsidR="00C162BD">
        <w:t>,</w:t>
      </w:r>
      <w:r w:rsidR="002B3C4D">
        <w:t xml:space="preserve"> </w:t>
      </w:r>
      <w:r w:rsidRPr="00421609">
        <w:t>both private and</w:t>
      </w:r>
      <w:r>
        <w:rPr>
          <w:rFonts w:cstheme="minorHAnsi"/>
        </w:rPr>
        <w:t xml:space="preserve"> public</w:t>
      </w:r>
    </w:p>
    <w:p w:rsidR="004A659D" w:rsidRPr="008C7FDD" w:rsidRDefault="004A659D" w:rsidP="00421609">
      <w:pPr>
        <w:pStyle w:val="ListParagraph"/>
        <w:numPr>
          <w:ilvl w:val="0"/>
          <w:numId w:val="22"/>
        </w:numPr>
        <w:spacing w:before="200" w:after="60"/>
      </w:pPr>
      <w:r>
        <w:rPr>
          <w:rFonts w:cstheme="minorHAnsi"/>
        </w:rPr>
        <w:t xml:space="preserve">Level of </w:t>
      </w:r>
      <w:r w:rsidRPr="00421609">
        <w:t>interoperability</w:t>
      </w:r>
      <w:r w:rsidRPr="008C7FDD">
        <w:t xml:space="preserve"> across the research infrastructure system</w:t>
      </w:r>
    </w:p>
    <w:p w:rsidR="004A659D" w:rsidRPr="008C7FDD" w:rsidRDefault="004A659D" w:rsidP="008C7FDD">
      <w:pPr>
        <w:pStyle w:val="ListParagraph"/>
        <w:numPr>
          <w:ilvl w:val="0"/>
          <w:numId w:val="22"/>
        </w:numPr>
        <w:spacing w:before="200" w:after="60"/>
      </w:pPr>
      <w:r w:rsidRPr="008C7FDD">
        <w:t>Strateg</w:t>
      </w:r>
      <w:r w:rsidR="00C162BD">
        <w:t>ic</w:t>
      </w:r>
      <w:r w:rsidRPr="008C7FDD">
        <w:t xml:space="preserve"> approach to whole</w:t>
      </w:r>
      <w:r w:rsidR="00FB1C09">
        <w:t>-</w:t>
      </w:r>
      <w:r w:rsidRPr="008C7FDD">
        <w:t>of</w:t>
      </w:r>
      <w:r w:rsidR="00FB1C09">
        <w:t>-</w:t>
      </w:r>
      <w:r w:rsidRPr="008C7FDD">
        <w:t>life costs</w:t>
      </w:r>
      <w:r w:rsidR="00644454">
        <w:t xml:space="preserve"> including </w:t>
      </w:r>
      <w:r w:rsidR="00C162BD">
        <w:t xml:space="preserve">defunding or </w:t>
      </w:r>
      <w:r w:rsidR="00883ADE">
        <w:t>decommissioning</w:t>
      </w:r>
    </w:p>
    <w:p w:rsidR="004A659D" w:rsidRDefault="004A659D" w:rsidP="008C7FDD">
      <w:pPr>
        <w:pStyle w:val="ListParagraph"/>
        <w:numPr>
          <w:ilvl w:val="0"/>
          <w:numId w:val="22"/>
        </w:numPr>
        <w:spacing w:before="200" w:after="60"/>
        <w:rPr>
          <w:rFonts w:cstheme="minorHAnsi"/>
        </w:rPr>
      </w:pPr>
      <w:r w:rsidRPr="008C7FDD">
        <w:t>Collaboration</w:t>
      </w:r>
      <w:r>
        <w:rPr>
          <w:rFonts w:cstheme="minorHAnsi"/>
        </w:rPr>
        <w:t xml:space="preserve"> and network</w:t>
      </w:r>
      <w:r w:rsidR="00C162BD">
        <w:rPr>
          <w:rFonts w:cstheme="minorHAnsi"/>
        </w:rPr>
        <w:t>ing</w:t>
      </w:r>
    </w:p>
    <w:p w:rsidR="003A1B99" w:rsidRDefault="003A1B99" w:rsidP="008C7FDD">
      <w:pPr>
        <w:pStyle w:val="ListParagraph"/>
        <w:numPr>
          <w:ilvl w:val="0"/>
          <w:numId w:val="22"/>
        </w:numPr>
        <w:spacing w:before="200" w:after="60"/>
        <w:rPr>
          <w:rFonts w:cstheme="minorHAnsi"/>
        </w:rPr>
      </w:pPr>
      <w:r>
        <w:rPr>
          <w:rFonts w:cstheme="minorHAnsi"/>
        </w:rPr>
        <w:t>Intellectual property and moral rights</w:t>
      </w:r>
    </w:p>
    <w:p w:rsidR="002B3C4D" w:rsidRDefault="004A659D" w:rsidP="008C7FDD">
      <w:pPr>
        <w:pStyle w:val="ListParagraph"/>
        <w:numPr>
          <w:ilvl w:val="0"/>
          <w:numId w:val="22"/>
        </w:numPr>
        <w:spacing w:before="200" w:after="60"/>
        <w:rPr>
          <w:rFonts w:cstheme="minorHAnsi"/>
        </w:rPr>
      </w:pPr>
      <w:r>
        <w:rPr>
          <w:rFonts w:cstheme="minorHAnsi"/>
        </w:rPr>
        <w:t>Resource management including co-investment</w:t>
      </w:r>
      <w:r w:rsidR="00E93250">
        <w:rPr>
          <w:rFonts w:cstheme="minorHAnsi"/>
        </w:rPr>
        <w:t xml:space="preserve">, </w:t>
      </w:r>
      <w:r w:rsidR="00691EA6">
        <w:rPr>
          <w:rFonts w:cstheme="minorHAnsi"/>
        </w:rPr>
        <w:t>skills</w:t>
      </w:r>
      <w:r w:rsidR="00E93250">
        <w:rPr>
          <w:rFonts w:cstheme="minorHAnsi"/>
        </w:rPr>
        <w:t xml:space="preserve"> and training</w:t>
      </w:r>
      <w:r w:rsidR="00D77CC3">
        <w:rPr>
          <w:rFonts w:cstheme="minorHAnsi"/>
        </w:rPr>
        <w:t>, and</w:t>
      </w:r>
    </w:p>
    <w:p w:rsidR="00352B82" w:rsidRDefault="00D33FB1" w:rsidP="004D0132">
      <w:pPr>
        <w:pStyle w:val="ListParagraph"/>
        <w:numPr>
          <w:ilvl w:val="0"/>
          <w:numId w:val="22"/>
        </w:numPr>
        <w:spacing w:before="200" w:after="60"/>
        <w:rPr>
          <w:rFonts w:cstheme="minorHAnsi"/>
        </w:rPr>
      </w:pPr>
      <w:r>
        <w:rPr>
          <w:rFonts w:cstheme="minorHAnsi"/>
        </w:rPr>
        <w:t>Frameworks for a</w:t>
      </w:r>
      <w:r w:rsidR="002B3C4D">
        <w:rPr>
          <w:rFonts w:cstheme="minorHAnsi"/>
        </w:rPr>
        <w:t>ccountab</w:t>
      </w:r>
      <w:r w:rsidR="00C162BD">
        <w:rPr>
          <w:rFonts w:cstheme="minorHAnsi"/>
        </w:rPr>
        <w:t>ility</w:t>
      </w:r>
      <w:r w:rsidR="004A659D">
        <w:rPr>
          <w:rFonts w:cstheme="minorHAnsi"/>
        </w:rPr>
        <w:t>.</w:t>
      </w:r>
    </w:p>
    <w:tbl>
      <w:tblPr>
        <w:tblStyle w:val="TableGrid"/>
        <w:tblW w:w="0" w:type="auto"/>
        <w:shd w:val="clear" w:color="auto" w:fill="FFC000"/>
        <w:tblLook w:val="04A0" w:firstRow="1" w:lastRow="0" w:firstColumn="1" w:lastColumn="0" w:noHBand="0" w:noVBand="1"/>
        <w:tblCaption w:val="Table cell containing question 2."/>
        <w:tblDescription w:val="Are these governance characteristics appropriate and are there other factors that should be considered for optimal governance for nationl research infrastructure?"/>
      </w:tblPr>
      <w:tblGrid>
        <w:gridCol w:w="9242"/>
      </w:tblGrid>
      <w:tr w:rsidR="001D7AE5" w:rsidTr="00532E20">
        <w:tc>
          <w:tcPr>
            <w:tcW w:w="9242" w:type="dxa"/>
            <w:shd w:val="clear" w:color="auto" w:fill="FFC000"/>
          </w:tcPr>
          <w:p w:rsidR="001D7AE5" w:rsidRDefault="001D7AE5" w:rsidP="00676CA8">
            <w:pPr>
              <w:autoSpaceDE w:val="0"/>
              <w:autoSpaceDN w:val="0"/>
              <w:adjustRightInd w:val="0"/>
              <w:spacing w:before="180" w:after="180" w:line="276" w:lineRule="auto"/>
              <w:ind w:left="1418" w:hanging="1276"/>
            </w:pPr>
            <w:r w:rsidRPr="001D7AE5">
              <w:rPr>
                <w:rFonts w:cstheme="minorHAnsi"/>
                <w:b/>
              </w:rPr>
              <w:t>Question 2:</w:t>
            </w:r>
            <w:r w:rsidRPr="001D7AE5">
              <w:rPr>
                <w:rFonts w:cstheme="minorHAnsi"/>
                <w:b/>
              </w:rPr>
              <w:tab/>
              <w:t>Are these governance characteristics appropriate and are there other factors that should be considered for optimal governance for national research infrastructure</w:t>
            </w:r>
            <w:r>
              <w:rPr>
                <w:rFonts w:cstheme="minorHAnsi"/>
                <w:b/>
              </w:rPr>
              <w:t>?</w:t>
            </w:r>
          </w:p>
        </w:tc>
      </w:tr>
    </w:tbl>
    <w:p w:rsidR="001D7AE5" w:rsidRDefault="001D7AE5" w:rsidP="00515F25">
      <w:pPr>
        <w:spacing w:before="200" w:after="60"/>
        <w:rPr>
          <w:rFonts w:cstheme="minorHAnsi"/>
        </w:rPr>
      </w:pPr>
    </w:p>
    <w:p w:rsidR="001D7AE5" w:rsidRDefault="001D7AE5" w:rsidP="00515F25">
      <w:pPr>
        <w:spacing w:before="200" w:after="60"/>
        <w:rPr>
          <w:rFonts w:cstheme="minorHAnsi"/>
        </w:rPr>
      </w:pPr>
    </w:p>
    <w:p w:rsidR="00B766AF" w:rsidRDefault="00B766AF" w:rsidP="007235FE">
      <w:pPr>
        <w:pStyle w:val="Heading2"/>
        <w:spacing w:before="0"/>
        <w:ind w:left="578" w:hanging="578"/>
      </w:pPr>
      <w:r>
        <w:lastRenderedPageBreak/>
        <w:t>International</w:t>
      </w:r>
    </w:p>
    <w:p w:rsidR="00B766AF" w:rsidRDefault="00B766AF" w:rsidP="00F843C9">
      <w:pPr>
        <w:widowControl w:val="0"/>
        <w:suppressAutoHyphens/>
        <w:spacing w:after="120"/>
        <w:rPr>
          <w:rFonts w:cstheme="minorHAnsi"/>
        </w:rPr>
      </w:pPr>
      <w:r>
        <w:rPr>
          <w:rFonts w:cstheme="minorHAnsi"/>
        </w:rPr>
        <w:t xml:space="preserve">The international dimension of research infrastructure is of ever increasing importance. Cutting edge research in numerous research domains requires access to globally unique research infrastructure that cannot be replicated nationally. Additionally, </w:t>
      </w:r>
      <w:r w:rsidR="006B0407">
        <w:rPr>
          <w:rFonts w:cstheme="minorHAnsi"/>
        </w:rPr>
        <w:t>maximising Australia’s investments in research infrastructure often requires linking into international projects and consortia</w:t>
      </w:r>
      <w:r w:rsidR="00D33FB1">
        <w:rPr>
          <w:rFonts w:cstheme="minorHAnsi"/>
        </w:rPr>
        <w:t>.</w:t>
      </w:r>
      <w:r w:rsidR="006B0407">
        <w:rPr>
          <w:rFonts w:cstheme="minorHAnsi"/>
        </w:rPr>
        <w:t xml:space="preserve"> </w:t>
      </w:r>
      <w:r w:rsidR="00D33FB1">
        <w:rPr>
          <w:rFonts w:cstheme="minorHAnsi"/>
        </w:rPr>
        <w:t xml:space="preserve">For </w:t>
      </w:r>
      <w:r w:rsidR="006B0407">
        <w:rPr>
          <w:rFonts w:cstheme="minorHAnsi"/>
        </w:rPr>
        <w:t>example, Australia’s Integrated Marine Observing System is greatly enhanced by its integration into the Global Ocean Observing System.</w:t>
      </w:r>
    </w:p>
    <w:p w:rsidR="006B0407" w:rsidRDefault="006B0407" w:rsidP="00C15254">
      <w:pPr>
        <w:widowControl w:val="0"/>
        <w:suppressAutoHyphens/>
        <w:spacing w:after="0"/>
        <w:rPr>
          <w:rFonts w:cstheme="minorHAnsi"/>
        </w:rPr>
      </w:pPr>
      <w:r>
        <w:rPr>
          <w:rFonts w:cstheme="minorHAnsi"/>
        </w:rPr>
        <w:t>Australia</w:t>
      </w:r>
      <w:r w:rsidR="00FB1C09">
        <w:rPr>
          <w:rFonts w:cstheme="minorHAnsi"/>
        </w:rPr>
        <w:t>’s</w:t>
      </w:r>
      <w:r>
        <w:rPr>
          <w:rFonts w:cstheme="minorHAnsi"/>
        </w:rPr>
        <w:t xml:space="preserve"> engagement in international research infrastructure </w:t>
      </w:r>
      <w:r w:rsidR="005824B7">
        <w:rPr>
          <w:rFonts w:cstheme="minorHAnsi"/>
        </w:rPr>
        <w:t xml:space="preserve">includes </w:t>
      </w:r>
      <w:r w:rsidR="001F4138">
        <w:rPr>
          <w:rFonts w:cstheme="minorHAnsi"/>
        </w:rPr>
        <w:t>a number of</w:t>
      </w:r>
      <w:r>
        <w:rPr>
          <w:rFonts w:cstheme="minorHAnsi"/>
        </w:rPr>
        <w:t xml:space="preserve"> dimensions:</w:t>
      </w:r>
    </w:p>
    <w:p w:rsidR="006B0407" w:rsidRDefault="00D33FB1" w:rsidP="00C15254">
      <w:pPr>
        <w:pStyle w:val="ListParagraph"/>
        <w:numPr>
          <w:ilvl w:val="0"/>
          <w:numId w:val="22"/>
        </w:numPr>
        <w:spacing w:before="60" w:after="60"/>
        <w:ind w:left="357" w:hanging="357"/>
        <w:rPr>
          <w:rFonts w:cstheme="minorHAnsi"/>
        </w:rPr>
      </w:pPr>
      <w:r>
        <w:rPr>
          <w:rFonts w:cstheme="minorHAnsi"/>
        </w:rPr>
        <w:t>Global n</w:t>
      </w:r>
      <w:r w:rsidR="006B0407">
        <w:rPr>
          <w:rFonts w:cstheme="minorHAnsi"/>
        </w:rPr>
        <w:t>etworks –</w:t>
      </w:r>
      <w:r w:rsidR="00E41495">
        <w:rPr>
          <w:rFonts w:cstheme="minorHAnsi"/>
        </w:rPr>
        <w:t xml:space="preserve"> </w:t>
      </w:r>
      <w:r w:rsidR="00CF5657">
        <w:rPr>
          <w:rFonts w:cstheme="minorHAnsi"/>
        </w:rPr>
        <w:t>T</w:t>
      </w:r>
      <w:r w:rsidR="00691EA6">
        <w:rPr>
          <w:rFonts w:cstheme="minorHAnsi"/>
        </w:rPr>
        <w:t xml:space="preserve">o </w:t>
      </w:r>
      <w:r w:rsidR="006B0407">
        <w:rPr>
          <w:rFonts w:cstheme="minorHAnsi"/>
        </w:rPr>
        <w:t>maximise</w:t>
      </w:r>
      <w:r w:rsidR="00883ADE">
        <w:rPr>
          <w:rFonts w:cstheme="minorHAnsi"/>
        </w:rPr>
        <w:t xml:space="preserve"> Australia’s</w:t>
      </w:r>
      <w:r w:rsidR="006B0407">
        <w:rPr>
          <w:rFonts w:cstheme="minorHAnsi"/>
        </w:rPr>
        <w:t xml:space="preserve"> investments in research infrastructure by linking to comparative international projects</w:t>
      </w:r>
      <w:r w:rsidR="003A1B99">
        <w:rPr>
          <w:rFonts w:cstheme="minorHAnsi"/>
        </w:rPr>
        <w:t xml:space="preserve"> and leverag</w:t>
      </w:r>
      <w:r w:rsidR="00824065">
        <w:rPr>
          <w:rFonts w:cstheme="minorHAnsi"/>
        </w:rPr>
        <w:t>ing</w:t>
      </w:r>
      <w:r w:rsidR="003A1B99">
        <w:rPr>
          <w:rFonts w:cstheme="minorHAnsi"/>
        </w:rPr>
        <w:t xml:space="preserve"> international funding</w:t>
      </w:r>
      <w:r w:rsidR="00883ADE">
        <w:rPr>
          <w:rFonts w:cstheme="minorHAnsi"/>
        </w:rPr>
        <w:t>.</w:t>
      </w:r>
    </w:p>
    <w:p w:rsidR="006B0407" w:rsidRDefault="00D33FB1" w:rsidP="00421609">
      <w:pPr>
        <w:pStyle w:val="ListParagraph"/>
        <w:numPr>
          <w:ilvl w:val="0"/>
          <w:numId w:val="22"/>
        </w:numPr>
        <w:spacing w:before="200" w:after="60"/>
        <w:rPr>
          <w:rFonts w:cstheme="minorHAnsi"/>
        </w:rPr>
      </w:pPr>
      <w:r>
        <w:rPr>
          <w:rFonts w:cstheme="minorHAnsi"/>
        </w:rPr>
        <w:t>A s</w:t>
      </w:r>
      <w:r w:rsidR="006B0407">
        <w:rPr>
          <w:rFonts w:cstheme="minorHAnsi"/>
        </w:rPr>
        <w:t xml:space="preserve">eat at the table – </w:t>
      </w:r>
      <w:r w:rsidR="00CF5657">
        <w:rPr>
          <w:rFonts w:cstheme="minorHAnsi"/>
        </w:rPr>
        <w:t>T</w:t>
      </w:r>
      <w:r w:rsidR="00691EA6">
        <w:rPr>
          <w:rFonts w:cstheme="minorHAnsi"/>
        </w:rPr>
        <w:t xml:space="preserve">o </w:t>
      </w:r>
      <w:r w:rsidR="00726F0F">
        <w:rPr>
          <w:rFonts w:cstheme="minorHAnsi"/>
        </w:rPr>
        <w:t>participat</w:t>
      </w:r>
      <w:r w:rsidR="00691EA6">
        <w:rPr>
          <w:rFonts w:cstheme="minorHAnsi"/>
        </w:rPr>
        <w:t>e</w:t>
      </w:r>
      <w:r w:rsidR="00726F0F">
        <w:rPr>
          <w:rFonts w:cstheme="minorHAnsi"/>
        </w:rPr>
        <w:t xml:space="preserve"> </w:t>
      </w:r>
      <w:r w:rsidR="00691EA6">
        <w:rPr>
          <w:rFonts w:cstheme="minorHAnsi"/>
        </w:rPr>
        <w:t>and</w:t>
      </w:r>
      <w:r w:rsidR="00726F0F">
        <w:rPr>
          <w:rFonts w:cstheme="minorHAnsi"/>
        </w:rPr>
        <w:t xml:space="preserve"> to influence decisions, in some international projects requires investment in that area, either in international projects or equivalent national projects.</w:t>
      </w:r>
    </w:p>
    <w:p w:rsidR="006B0407" w:rsidRDefault="00D33FB1" w:rsidP="00676CA8">
      <w:pPr>
        <w:pStyle w:val="ListParagraph"/>
        <w:numPr>
          <w:ilvl w:val="0"/>
          <w:numId w:val="22"/>
        </w:numPr>
        <w:spacing w:before="200" w:after="60"/>
        <w:ind w:right="-188"/>
        <w:rPr>
          <w:rFonts w:cstheme="minorHAnsi"/>
        </w:rPr>
      </w:pPr>
      <w:r>
        <w:rPr>
          <w:rFonts w:cstheme="minorHAnsi"/>
        </w:rPr>
        <w:t>The n</w:t>
      </w:r>
      <w:r w:rsidR="00E519FC">
        <w:rPr>
          <w:rFonts w:cstheme="minorHAnsi"/>
        </w:rPr>
        <w:t>ational interest</w:t>
      </w:r>
      <w:r w:rsidR="006B0407">
        <w:rPr>
          <w:rFonts w:cstheme="minorHAnsi"/>
        </w:rPr>
        <w:t xml:space="preserve"> – Australia can often provide a unique perspective to global problems, while international projects can help Australia see its own research problems with a fresh perspective.</w:t>
      </w:r>
    </w:p>
    <w:p w:rsidR="006B0407" w:rsidRDefault="006B0407" w:rsidP="00421609">
      <w:pPr>
        <w:pStyle w:val="ListParagraph"/>
        <w:numPr>
          <w:ilvl w:val="0"/>
          <w:numId w:val="22"/>
        </w:numPr>
        <w:spacing w:before="200" w:after="60"/>
        <w:rPr>
          <w:rFonts w:cstheme="minorHAnsi"/>
        </w:rPr>
      </w:pPr>
      <w:r>
        <w:rPr>
          <w:rFonts w:cstheme="minorHAnsi"/>
        </w:rPr>
        <w:t>Meeting</w:t>
      </w:r>
      <w:r w:rsidR="00D33FB1">
        <w:rPr>
          <w:rFonts w:cstheme="minorHAnsi"/>
        </w:rPr>
        <w:t xml:space="preserve"> the nation’s</w:t>
      </w:r>
      <w:r>
        <w:rPr>
          <w:rFonts w:cstheme="minorHAnsi"/>
        </w:rPr>
        <w:t xml:space="preserve"> obligations </w:t>
      </w:r>
      <w:r w:rsidR="00726F0F">
        <w:rPr>
          <w:rFonts w:cstheme="minorHAnsi"/>
        </w:rPr>
        <w:t>–</w:t>
      </w:r>
      <w:r>
        <w:rPr>
          <w:rFonts w:cstheme="minorHAnsi"/>
        </w:rPr>
        <w:t xml:space="preserve"> </w:t>
      </w:r>
      <w:r w:rsidR="00824065">
        <w:rPr>
          <w:rFonts w:cstheme="minorHAnsi"/>
        </w:rPr>
        <w:t xml:space="preserve">Contributing to international </w:t>
      </w:r>
      <w:r w:rsidR="00D33FB1">
        <w:rPr>
          <w:rFonts w:cstheme="minorHAnsi"/>
        </w:rPr>
        <w:t xml:space="preserve">research infrastructure and </w:t>
      </w:r>
      <w:r w:rsidR="00824065">
        <w:rPr>
          <w:rFonts w:cstheme="minorHAnsi"/>
        </w:rPr>
        <w:t xml:space="preserve">projects </w:t>
      </w:r>
      <w:r>
        <w:rPr>
          <w:rFonts w:cstheme="minorHAnsi"/>
        </w:rPr>
        <w:t xml:space="preserve">in order to draw on the </w:t>
      </w:r>
      <w:r w:rsidR="00D33FB1">
        <w:rPr>
          <w:rFonts w:cstheme="minorHAnsi"/>
        </w:rPr>
        <w:t>broader outcomes and benefits</w:t>
      </w:r>
      <w:r>
        <w:rPr>
          <w:rFonts w:cstheme="minorHAnsi"/>
        </w:rPr>
        <w:t>.</w:t>
      </w:r>
    </w:p>
    <w:p w:rsidR="00691EA6" w:rsidRPr="00691EA6" w:rsidRDefault="004A53A0" w:rsidP="00676CA8">
      <w:pPr>
        <w:pStyle w:val="ListParagraph"/>
        <w:widowControl w:val="0"/>
        <w:numPr>
          <w:ilvl w:val="0"/>
          <w:numId w:val="22"/>
        </w:numPr>
        <w:suppressAutoHyphens/>
        <w:spacing w:after="120"/>
        <w:ind w:right="-330"/>
        <w:rPr>
          <w:rFonts w:cstheme="minorHAnsi"/>
        </w:rPr>
      </w:pPr>
      <w:r>
        <w:rPr>
          <w:rFonts w:cstheme="minorHAnsi"/>
        </w:rPr>
        <w:t>R</w:t>
      </w:r>
      <w:r w:rsidR="00691EA6" w:rsidRPr="00691EA6">
        <w:rPr>
          <w:rFonts w:cstheme="minorHAnsi"/>
        </w:rPr>
        <w:t xml:space="preserve">esearcher access </w:t>
      </w:r>
      <w:r>
        <w:rPr>
          <w:rFonts w:cstheme="minorHAnsi"/>
        </w:rPr>
        <w:t xml:space="preserve">– Access to </w:t>
      </w:r>
      <w:r w:rsidR="00691EA6" w:rsidRPr="00691EA6">
        <w:rPr>
          <w:rFonts w:cstheme="minorHAnsi"/>
        </w:rPr>
        <w:t>international research infrastructure has been handled on a by</w:t>
      </w:r>
      <w:r w:rsidR="00984C38">
        <w:rPr>
          <w:rFonts w:cstheme="minorHAnsi"/>
        </w:rPr>
        <w:t xml:space="preserve"> </w:t>
      </w:r>
      <w:r w:rsidR="00691EA6" w:rsidRPr="00691EA6">
        <w:rPr>
          <w:rFonts w:cstheme="minorHAnsi"/>
        </w:rPr>
        <w:t>researcher basis, except where a research sector or international facility requires more binding and substantial agreements</w:t>
      </w:r>
      <w:r w:rsidR="00691EA6">
        <w:rPr>
          <w:rStyle w:val="FootnoteReference"/>
          <w:rFonts w:cstheme="minorHAnsi"/>
        </w:rPr>
        <w:footnoteReference w:id="7"/>
      </w:r>
      <w:r w:rsidR="00691EA6" w:rsidRPr="00691EA6">
        <w:rPr>
          <w:rFonts w:cstheme="minorHAnsi"/>
        </w:rPr>
        <w:t>. However, with no general international research infrastructure access program, and the increasing internationalisation of research infrastructure, the need for research infrastructure funding to enable access to international facilities must be considered and prioritised.</w:t>
      </w:r>
    </w:p>
    <w:tbl>
      <w:tblPr>
        <w:tblStyle w:val="TableGrid"/>
        <w:tblW w:w="0" w:type="auto"/>
        <w:shd w:val="clear" w:color="auto" w:fill="FFC000"/>
        <w:tblLook w:val="04A0" w:firstRow="1" w:lastRow="0" w:firstColumn="1" w:lastColumn="0" w:noHBand="0" w:noVBand="1"/>
        <w:tblCaption w:val="Table cell containing Questions 3 and 4."/>
        <w:tblDescription w:val="Q3: Should national research infrastructure investment assist with access to international facilities?&#10;Q4: What are the conditions or scenarios where access to international facilities should be prioritised over developing national facilities?"/>
      </w:tblPr>
      <w:tblGrid>
        <w:gridCol w:w="9242"/>
      </w:tblGrid>
      <w:tr w:rsidR="001D7AE5" w:rsidTr="00532E20">
        <w:tc>
          <w:tcPr>
            <w:tcW w:w="9242" w:type="dxa"/>
            <w:shd w:val="clear" w:color="auto" w:fill="FFC000"/>
          </w:tcPr>
          <w:p w:rsidR="001D7AE5" w:rsidRPr="00E70C42" w:rsidRDefault="001D7AE5" w:rsidP="00676CA8">
            <w:pPr>
              <w:autoSpaceDE w:val="0"/>
              <w:autoSpaceDN w:val="0"/>
              <w:adjustRightInd w:val="0"/>
              <w:spacing w:before="180" w:after="180" w:line="276" w:lineRule="auto"/>
              <w:ind w:left="1418" w:hanging="1276"/>
              <w:rPr>
                <w:rFonts w:cstheme="minorHAnsi"/>
                <w:b/>
              </w:rPr>
            </w:pPr>
            <w:r w:rsidRPr="00E70C42">
              <w:rPr>
                <w:rFonts w:cstheme="minorHAnsi"/>
                <w:b/>
              </w:rPr>
              <w:t>Question 3:</w:t>
            </w:r>
            <w:r w:rsidRPr="00E70C42">
              <w:rPr>
                <w:rFonts w:cstheme="minorHAnsi"/>
                <w:b/>
              </w:rPr>
              <w:tab/>
              <w:t>Should national research infrastructure investment assist with access to international facilities?</w:t>
            </w:r>
          </w:p>
          <w:p w:rsidR="001D7AE5" w:rsidRDefault="001D7AE5" w:rsidP="00676CA8">
            <w:pPr>
              <w:autoSpaceDE w:val="0"/>
              <w:autoSpaceDN w:val="0"/>
              <w:adjustRightInd w:val="0"/>
              <w:spacing w:before="180" w:after="180" w:line="276" w:lineRule="auto"/>
              <w:ind w:left="1418" w:hanging="1276"/>
            </w:pPr>
            <w:r w:rsidRPr="00E70C42">
              <w:rPr>
                <w:rFonts w:cstheme="minorHAnsi"/>
                <w:b/>
              </w:rPr>
              <w:t>Question 4:</w:t>
            </w:r>
            <w:r w:rsidRPr="00E70C42">
              <w:rPr>
                <w:rFonts w:cstheme="minorHAnsi"/>
                <w:b/>
              </w:rPr>
              <w:tab/>
              <w:t>What are the conditions or scenarios w</w:t>
            </w:r>
            <w:r w:rsidRPr="00CF5657">
              <w:rPr>
                <w:rFonts w:cstheme="minorHAnsi"/>
                <w:b/>
              </w:rPr>
              <w:t xml:space="preserve">here access to international facilities should be prioritised over developing </w:t>
            </w:r>
            <w:r w:rsidRPr="00676CA8">
              <w:rPr>
                <w:b/>
              </w:rPr>
              <w:t>national</w:t>
            </w:r>
            <w:r w:rsidRPr="00E70C42">
              <w:rPr>
                <w:rFonts w:cstheme="minorHAnsi"/>
                <w:b/>
              </w:rPr>
              <w:t xml:space="preserve"> facilities?</w:t>
            </w:r>
          </w:p>
        </w:tc>
      </w:tr>
    </w:tbl>
    <w:p w:rsidR="00B8025F" w:rsidRPr="00B81C2A" w:rsidRDefault="00523F4A" w:rsidP="00620F1A">
      <w:pPr>
        <w:pStyle w:val="Heading2"/>
        <w:spacing w:before="120"/>
        <w:ind w:left="578" w:hanging="578"/>
      </w:pPr>
      <w:r>
        <w:t xml:space="preserve">Skills and </w:t>
      </w:r>
      <w:r w:rsidR="00094B90">
        <w:t>t</w:t>
      </w:r>
      <w:r>
        <w:t>raining</w:t>
      </w:r>
    </w:p>
    <w:p w:rsidR="00523F4A" w:rsidRDefault="00523F4A" w:rsidP="008A6437">
      <w:pPr>
        <w:widowControl w:val="0"/>
        <w:suppressAutoHyphens/>
        <w:spacing w:after="120"/>
        <w:rPr>
          <w:rFonts w:cstheme="minorHAnsi"/>
        </w:rPr>
      </w:pPr>
      <w:r>
        <w:rPr>
          <w:rFonts w:cstheme="minorHAnsi"/>
        </w:rPr>
        <w:t>The ongoing sustainability of national research infrastructure capability is largely driven by the</w:t>
      </w:r>
      <w:r w:rsidR="00D04C9C">
        <w:rPr>
          <w:rFonts w:cstheme="minorHAnsi"/>
        </w:rPr>
        <w:t xml:space="preserve"> specialised</w:t>
      </w:r>
      <w:r w:rsidR="00F17CF1">
        <w:rPr>
          <w:rFonts w:cstheme="minorHAnsi"/>
        </w:rPr>
        <w:t xml:space="preserve"> skill and</w:t>
      </w:r>
      <w:r>
        <w:rPr>
          <w:rFonts w:cstheme="minorHAnsi"/>
        </w:rPr>
        <w:t xml:space="preserve"> quality of the staff support</w:t>
      </w:r>
      <w:r w:rsidR="005D135F">
        <w:rPr>
          <w:rFonts w:cstheme="minorHAnsi"/>
        </w:rPr>
        <w:t>ing</w:t>
      </w:r>
      <w:r>
        <w:rPr>
          <w:rFonts w:cstheme="minorHAnsi"/>
        </w:rPr>
        <w:t xml:space="preserve"> the project or facility and the</w:t>
      </w:r>
      <w:r w:rsidR="00D04C9C">
        <w:rPr>
          <w:rFonts w:cstheme="minorHAnsi"/>
        </w:rPr>
        <w:t xml:space="preserve"> effective engagement of</w:t>
      </w:r>
      <w:r>
        <w:rPr>
          <w:rFonts w:cstheme="minorHAnsi"/>
        </w:rPr>
        <w:t xml:space="preserve"> researchers using the facility</w:t>
      </w:r>
      <w:r w:rsidR="00B8025F" w:rsidRPr="00B81C2A">
        <w:rPr>
          <w:rFonts w:cstheme="minorHAnsi"/>
        </w:rPr>
        <w:t>.</w:t>
      </w:r>
    </w:p>
    <w:p w:rsidR="00523F4A" w:rsidRDefault="00523F4A" w:rsidP="008A6437">
      <w:pPr>
        <w:widowControl w:val="0"/>
        <w:suppressAutoHyphens/>
        <w:spacing w:after="120"/>
        <w:rPr>
          <w:rFonts w:cstheme="minorHAnsi"/>
        </w:rPr>
      </w:pPr>
      <w:r>
        <w:rPr>
          <w:rFonts w:cstheme="minorHAnsi"/>
        </w:rPr>
        <w:t>A key issue identified across the capabilit</w:t>
      </w:r>
      <w:r w:rsidR="00C85A4C">
        <w:rPr>
          <w:rFonts w:cstheme="minorHAnsi"/>
        </w:rPr>
        <w:t xml:space="preserve">y areas </w:t>
      </w:r>
      <w:r w:rsidR="00FB1C09">
        <w:rPr>
          <w:rFonts w:cstheme="minorHAnsi"/>
        </w:rPr>
        <w:t xml:space="preserve">is </w:t>
      </w:r>
      <w:r w:rsidR="00C85A4C">
        <w:rPr>
          <w:rFonts w:cstheme="minorHAnsi"/>
        </w:rPr>
        <w:t>that</w:t>
      </w:r>
      <w:r w:rsidR="00824065">
        <w:rPr>
          <w:rFonts w:cstheme="minorHAnsi"/>
        </w:rPr>
        <w:t xml:space="preserve"> the </w:t>
      </w:r>
      <w:r w:rsidR="00C85A4C">
        <w:rPr>
          <w:rFonts w:cstheme="minorHAnsi"/>
        </w:rPr>
        <w:t xml:space="preserve">demand for highly skilled technical and research staff </w:t>
      </w:r>
      <w:r w:rsidR="00B534A7">
        <w:rPr>
          <w:rFonts w:cstheme="minorHAnsi"/>
        </w:rPr>
        <w:t xml:space="preserve">has </w:t>
      </w:r>
      <w:r w:rsidR="00C85A4C">
        <w:rPr>
          <w:rFonts w:cstheme="minorHAnsi"/>
        </w:rPr>
        <w:t>not</w:t>
      </w:r>
      <w:r w:rsidR="00B534A7">
        <w:rPr>
          <w:rFonts w:cstheme="minorHAnsi"/>
        </w:rPr>
        <w:t xml:space="preserve"> been</w:t>
      </w:r>
      <w:r w:rsidR="00C85A4C">
        <w:rPr>
          <w:rFonts w:cstheme="minorHAnsi"/>
        </w:rPr>
        <w:t xml:space="preserve"> met by the supply. While there is some commonality across the capability areas such as dat</w:t>
      </w:r>
      <w:r w:rsidR="00824065">
        <w:rPr>
          <w:rFonts w:cstheme="minorHAnsi"/>
        </w:rPr>
        <w:t>a</w:t>
      </w:r>
      <w:r w:rsidR="00C85A4C">
        <w:rPr>
          <w:rFonts w:cstheme="minorHAnsi"/>
        </w:rPr>
        <w:t xml:space="preserve"> management and analysis, there are also pockets of highly specialised </w:t>
      </w:r>
      <w:r w:rsidR="00E038F8">
        <w:rPr>
          <w:rFonts w:cstheme="minorHAnsi"/>
        </w:rPr>
        <w:t xml:space="preserve">capability </w:t>
      </w:r>
      <w:r w:rsidR="00C85A4C">
        <w:rPr>
          <w:rFonts w:cstheme="minorHAnsi"/>
        </w:rPr>
        <w:t>that service relatively small research communities such as some areas of characterisation</w:t>
      </w:r>
      <w:r w:rsidR="00F17CF1">
        <w:rPr>
          <w:rStyle w:val="FootnoteReference"/>
          <w:rFonts w:cstheme="minorHAnsi"/>
        </w:rPr>
        <w:footnoteReference w:id="8"/>
      </w:r>
      <w:r w:rsidR="00C85A4C">
        <w:rPr>
          <w:rFonts w:cstheme="minorHAnsi"/>
        </w:rPr>
        <w:t>.</w:t>
      </w:r>
    </w:p>
    <w:p w:rsidR="00E038F8" w:rsidRDefault="00B1136F" w:rsidP="008A6437">
      <w:pPr>
        <w:widowControl w:val="0"/>
        <w:suppressAutoHyphens/>
        <w:spacing w:after="120"/>
        <w:rPr>
          <w:rFonts w:cstheme="minorHAnsi"/>
        </w:rPr>
      </w:pPr>
      <w:r>
        <w:rPr>
          <w:rFonts w:cstheme="minorHAnsi"/>
        </w:rPr>
        <w:t>Similarly, training researchers</w:t>
      </w:r>
      <w:r w:rsidR="00D04C9C">
        <w:rPr>
          <w:rFonts w:cstheme="minorHAnsi"/>
        </w:rPr>
        <w:t>, particularly early</w:t>
      </w:r>
      <w:r w:rsidR="00B534A7">
        <w:rPr>
          <w:rFonts w:cstheme="minorHAnsi"/>
        </w:rPr>
        <w:t xml:space="preserve"> </w:t>
      </w:r>
      <w:r w:rsidR="00D04C9C">
        <w:rPr>
          <w:rFonts w:cstheme="minorHAnsi"/>
        </w:rPr>
        <w:t>career researchers,</w:t>
      </w:r>
      <w:r>
        <w:rPr>
          <w:rFonts w:cstheme="minorHAnsi"/>
        </w:rPr>
        <w:t xml:space="preserve"> to take advantage of national </w:t>
      </w:r>
      <w:r>
        <w:rPr>
          <w:rFonts w:cstheme="minorHAnsi"/>
        </w:rPr>
        <w:lastRenderedPageBreak/>
        <w:t>research infrastructure investments</w:t>
      </w:r>
      <w:r w:rsidR="00691EA6">
        <w:rPr>
          <w:rFonts w:cstheme="minorHAnsi"/>
        </w:rPr>
        <w:t xml:space="preserve"> is</w:t>
      </w:r>
      <w:r>
        <w:rPr>
          <w:rFonts w:cstheme="minorHAnsi"/>
        </w:rPr>
        <w:t xml:space="preserve"> increasing</w:t>
      </w:r>
      <w:r w:rsidR="00984C38">
        <w:rPr>
          <w:rFonts w:cstheme="minorHAnsi"/>
        </w:rPr>
        <w:t>ly</w:t>
      </w:r>
      <w:r>
        <w:rPr>
          <w:rFonts w:cstheme="minorHAnsi"/>
        </w:rPr>
        <w:t xml:space="preserve"> </w:t>
      </w:r>
      <w:r w:rsidR="00D04C9C">
        <w:rPr>
          <w:rFonts w:cstheme="minorHAnsi"/>
        </w:rPr>
        <w:t>critical</w:t>
      </w:r>
      <w:r>
        <w:rPr>
          <w:rFonts w:cstheme="minorHAnsi"/>
        </w:rPr>
        <w:t>. Historically this has been considered an issue related to the development of the research workforce rather than a research infrastructure issue</w:t>
      </w:r>
      <w:r w:rsidR="00B766AF">
        <w:rPr>
          <w:rFonts w:cstheme="minorHAnsi"/>
        </w:rPr>
        <w:t>.</w:t>
      </w:r>
      <w:r>
        <w:rPr>
          <w:rFonts w:cstheme="minorHAnsi"/>
        </w:rPr>
        <w:t xml:space="preserve"> </w:t>
      </w:r>
    </w:p>
    <w:p w:rsidR="00B1136F" w:rsidRDefault="00E038F8" w:rsidP="008A6437">
      <w:pPr>
        <w:widowControl w:val="0"/>
        <w:suppressAutoHyphens/>
        <w:spacing w:after="120"/>
        <w:rPr>
          <w:rFonts w:cstheme="minorHAnsi"/>
        </w:rPr>
      </w:pPr>
      <w:r>
        <w:rPr>
          <w:rFonts w:cstheme="minorHAnsi"/>
        </w:rPr>
        <w:t>A</w:t>
      </w:r>
      <w:r w:rsidR="00B1136F">
        <w:rPr>
          <w:rFonts w:cstheme="minorHAnsi"/>
        </w:rPr>
        <w:t>s research</w:t>
      </w:r>
      <w:r w:rsidR="00D04C9C">
        <w:rPr>
          <w:rFonts w:cstheme="minorHAnsi"/>
        </w:rPr>
        <w:t xml:space="preserve"> outcomes </w:t>
      </w:r>
      <w:r w:rsidR="00B1136F">
        <w:rPr>
          <w:rFonts w:cstheme="minorHAnsi"/>
        </w:rPr>
        <w:t>become increasing</w:t>
      </w:r>
      <w:r w:rsidR="00D04C9C">
        <w:rPr>
          <w:rFonts w:cstheme="minorHAnsi"/>
        </w:rPr>
        <w:t>ly</w:t>
      </w:r>
      <w:r w:rsidR="00B1136F">
        <w:rPr>
          <w:rFonts w:cstheme="minorHAnsi"/>
        </w:rPr>
        <w:t xml:space="preserve"> driven by</w:t>
      </w:r>
      <w:r w:rsidR="00D04C9C">
        <w:rPr>
          <w:rFonts w:cstheme="minorHAnsi"/>
        </w:rPr>
        <w:t xml:space="preserve"> access to</w:t>
      </w:r>
      <w:r w:rsidR="00B1136F">
        <w:rPr>
          <w:rFonts w:cstheme="minorHAnsi"/>
        </w:rPr>
        <w:t xml:space="preserve"> complex research infrastructure</w:t>
      </w:r>
      <w:r w:rsidR="00AC49FF">
        <w:rPr>
          <w:rFonts w:cstheme="minorHAnsi"/>
        </w:rPr>
        <w:t>,</w:t>
      </w:r>
      <w:r w:rsidR="00B1136F">
        <w:rPr>
          <w:rFonts w:cstheme="minorHAnsi"/>
        </w:rPr>
        <w:t xml:space="preserve"> </w:t>
      </w:r>
      <w:r w:rsidR="00AC49FF">
        <w:rPr>
          <w:rFonts w:cstheme="minorHAnsi"/>
        </w:rPr>
        <w:t xml:space="preserve">the Government’s investments will be maximised by providing access and training to researchers, who in turn are skilled in utilising the data generated from </w:t>
      </w:r>
      <w:r w:rsidR="00B1136F">
        <w:rPr>
          <w:rFonts w:cstheme="minorHAnsi"/>
        </w:rPr>
        <w:t xml:space="preserve">these complex </w:t>
      </w:r>
      <w:r w:rsidR="001D7AE5">
        <w:rPr>
          <w:rFonts w:cstheme="minorHAnsi"/>
        </w:rPr>
        <w:t>analytical tools and services</w:t>
      </w:r>
      <w:r w:rsidR="00B1136F">
        <w:rPr>
          <w:rFonts w:cstheme="minorHAnsi"/>
        </w:rPr>
        <w:t>.</w:t>
      </w:r>
    </w:p>
    <w:tbl>
      <w:tblPr>
        <w:tblStyle w:val="TableGrid"/>
        <w:tblW w:w="0" w:type="auto"/>
        <w:shd w:val="clear" w:color="auto" w:fill="FFC000"/>
        <w:tblLook w:val="04A0" w:firstRow="1" w:lastRow="0" w:firstColumn="1" w:lastColumn="0" w:noHBand="0" w:noVBand="1"/>
        <w:tblCaption w:val="Table cell containing Questions 5, 6, and 7"/>
        <w:tblDescription w:val="Q5: Should research workforce skills be considered a research infrastructure issue?&#10;Q6: How can national research infrastructure assist in training and skills development?&#10;Q7: What responsibility should research institutions have in supporting the development of infrastructure ready researchers and technical specialists?"/>
      </w:tblPr>
      <w:tblGrid>
        <w:gridCol w:w="9242"/>
      </w:tblGrid>
      <w:tr w:rsidR="001D7AE5" w:rsidTr="00532E20">
        <w:tc>
          <w:tcPr>
            <w:tcW w:w="9242" w:type="dxa"/>
            <w:shd w:val="clear" w:color="auto" w:fill="FFC000"/>
          </w:tcPr>
          <w:p w:rsidR="001D7AE5" w:rsidRPr="00E70C42" w:rsidRDefault="001D7AE5" w:rsidP="001D7AE5">
            <w:pPr>
              <w:autoSpaceDE w:val="0"/>
              <w:autoSpaceDN w:val="0"/>
              <w:adjustRightInd w:val="0"/>
              <w:spacing w:before="180" w:after="180"/>
              <w:ind w:left="1418" w:hanging="1276"/>
              <w:rPr>
                <w:rFonts w:cstheme="minorHAnsi"/>
                <w:b/>
              </w:rPr>
            </w:pPr>
            <w:r w:rsidRPr="00E70C42">
              <w:rPr>
                <w:rFonts w:cstheme="minorHAnsi"/>
                <w:b/>
              </w:rPr>
              <w:t>Question 5:</w:t>
            </w:r>
            <w:r w:rsidRPr="00E70C42">
              <w:rPr>
                <w:rFonts w:cstheme="minorHAnsi"/>
                <w:b/>
              </w:rPr>
              <w:tab/>
              <w:t xml:space="preserve">Should research workforce skills be considered a research infrastructure issue? </w:t>
            </w:r>
          </w:p>
          <w:p w:rsidR="001D7AE5" w:rsidRPr="00E70C42" w:rsidRDefault="001D7AE5" w:rsidP="001D7AE5">
            <w:pPr>
              <w:autoSpaceDE w:val="0"/>
              <w:autoSpaceDN w:val="0"/>
              <w:adjustRightInd w:val="0"/>
              <w:spacing w:before="180" w:after="180"/>
              <w:ind w:left="1418" w:hanging="1276"/>
              <w:rPr>
                <w:rFonts w:cstheme="minorHAnsi"/>
                <w:b/>
              </w:rPr>
            </w:pPr>
            <w:r w:rsidRPr="00E70C42">
              <w:rPr>
                <w:rFonts w:cstheme="minorHAnsi"/>
                <w:b/>
              </w:rPr>
              <w:t>Question 6:</w:t>
            </w:r>
            <w:r w:rsidRPr="00E70C42">
              <w:rPr>
                <w:rFonts w:cstheme="minorHAnsi"/>
                <w:b/>
              </w:rPr>
              <w:tab/>
              <w:t>How can national research infrastructure assist in training and skills development?</w:t>
            </w:r>
          </w:p>
          <w:p w:rsidR="001D7AE5" w:rsidRDefault="001D7AE5" w:rsidP="00676CA8">
            <w:pPr>
              <w:autoSpaceDE w:val="0"/>
              <w:autoSpaceDN w:val="0"/>
              <w:adjustRightInd w:val="0"/>
              <w:spacing w:before="180" w:after="180" w:line="276" w:lineRule="auto"/>
              <w:ind w:left="1418" w:hanging="1276"/>
            </w:pPr>
            <w:r w:rsidRPr="00E70C42">
              <w:rPr>
                <w:rFonts w:cstheme="minorHAnsi"/>
                <w:b/>
              </w:rPr>
              <w:t>Question 7:</w:t>
            </w:r>
            <w:r w:rsidRPr="00E70C42">
              <w:rPr>
                <w:rFonts w:cstheme="minorHAnsi"/>
                <w:b/>
              </w:rPr>
              <w:tab/>
              <w:t>What responsibility should research institutions have in supporting the development of infrastructure ready researchers and technical specialists?</w:t>
            </w:r>
          </w:p>
        </w:tc>
      </w:tr>
    </w:tbl>
    <w:p w:rsidR="00124A7E" w:rsidRPr="002D0EB8" w:rsidRDefault="00124A7E" w:rsidP="00955F15">
      <w:pPr>
        <w:pStyle w:val="Heading2"/>
        <w:spacing w:before="120"/>
        <w:ind w:left="578" w:hanging="578"/>
      </w:pPr>
      <w:r w:rsidRPr="002D0EB8">
        <w:t xml:space="preserve">Access </w:t>
      </w:r>
    </w:p>
    <w:p w:rsidR="00912E2E" w:rsidRDefault="00124A7E" w:rsidP="00955F15">
      <w:pPr>
        <w:ind w:right="-330"/>
      </w:pPr>
      <w:r>
        <w:t>The value of the national research infrastructure system is derived, in large part, through access to research infrastructure by researchers</w:t>
      </w:r>
      <w:r w:rsidR="005D135F">
        <w:t xml:space="preserve"> and other end users of research such as industry</w:t>
      </w:r>
      <w:r>
        <w:t xml:space="preserve">. Broad accessibility enables the greatest possible use of research infrastructure facilities, and maximises the value of the Government’s investment in these facilities. </w:t>
      </w:r>
    </w:p>
    <w:p w:rsidR="00124A7E" w:rsidRDefault="00B977DB" w:rsidP="00124A7E">
      <w:r>
        <w:t>C</w:t>
      </w:r>
      <w:r w:rsidR="00124A7E">
        <w:t>onsideration</w:t>
      </w:r>
      <w:r w:rsidR="00855727">
        <w:t>s</w:t>
      </w:r>
      <w:r w:rsidR="00124A7E">
        <w:t xml:space="preserve"> of research trends and </w:t>
      </w:r>
      <w:r>
        <w:t xml:space="preserve">capabilities </w:t>
      </w:r>
      <w:r w:rsidR="00124A7E">
        <w:t xml:space="preserve">in this </w:t>
      </w:r>
      <w:r w:rsidR="0051190F">
        <w:t>Issues Paper</w:t>
      </w:r>
      <w:r w:rsidR="00124A7E">
        <w:t xml:space="preserve"> </w:t>
      </w:r>
      <w:r w:rsidR="00855727">
        <w:t xml:space="preserve">have </w:t>
      </w:r>
      <w:r w:rsidR="00124A7E">
        <w:t xml:space="preserve">been developed through the prism of accessibility </w:t>
      </w:r>
      <w:r w:rsidR="00855727">
        <w:t>for</w:t>
      </w:r>
      <w:r w:rsidR="008126AD">
        <w:t>:</w:t>
      </w:r>
      <w:r w:rsidR="00124A7E">
        <w:t xml:space="preserve"> </w:t>
      </w:r>
      <w:r>
        <w:t xml:space="preserve">merit-based </w:t>
      </w:r>
      <w:r w:rsidR="00D7185A">
        <w:t xml:space="preserve">public-sector </w:t>
      </w:r>
      <w:r>
        <w:t>Australian research</w:t>
      </w:r>
      <w:r w:rsidR="008126AD">
        <w:t xml:space="preserve">; </w:t>
      </w:r>
      <w:r w:rsidR="00D7185A">
        <w:t xml:space="preserve">merit-based or partial cost recovery based public-sector </w:t>
      </w:r>
      <w:r w:rsidR="008126AD">
        <w:t xml:space="preserve">international research; and </w:t>
      </w:r>
      <w:r w:rsidR="00F901A8">
        <w:t xml:space="preserve">the </w:t>
      </w:r>
      <w:r w:rsidR="004F5622">
        <w:t xml:space="preserve">private sector </w:t>
      </w:r>
      <w:r w:rsidR="00691EA6">
        <w:t xml:space="preserve">at partial </w:t>
      </w:r>
      <w:r w:rsidR="00F901A8">
        <w:t xml:space="preserve">or full </w:t>
      </w:r>
      <w:r w:rsidR="00691EA6">
        <w:t>cost recovery</w:t>
      </w:r>
      <w:r w:rsidR="00124A7E">
        <w:t xml:space="preserve">. </w:t>
      </w:r>
    </w:p>
    <w:p w:rsidR="004F5622" w:rsidRDefault="004F5622" w:rsidP="00124A7E">
      <w:r>
        <w:t>The principles that underpin access to national research infrastructure need to be transparent and equitable while</w:t>
      </w:r>
      <w:r w:rsidR="007A741A">
        <w:t xml:space="preserve"> maintaining priority for the very best </w:t>
      </w:r>
      <w:r w:rsidR="00B1376B">
        <w:t>research, in</w:t>
      </w:r>
      <w:r w:rsidR="007A741A">
        <w:t xml:space="preserve"> the national interest. </w:t>
      </w:r>
    </w:p>
    <w:tbl>
      <w:tblPr>
        <w:tblStyle w:val="TableGrid"/>
        <w:tblW w:w="0" w:type="auto"/>
        <w:shd w:val="clear" w:color="auto" w:fill="FFC000"/>
        <w:tblLook w:val="04A0" w:firstRow="1" w:lastRow="0" w:firstColumn="1" w:lastColumn="0" w:noHBand="0" w:noVBand="1"/>
        <w:tblCaption w:val="Table cell containing Question 8."/>
        <w:tblDescription w:val="Q8: What principles should be applied for access to national research infrastructure, and are there situations when these should not apply?"/>
      </w:tblPr>
      <w:tblGrid>
        <w:gridCol w:w="9242"/>
      </w:tblGrid>
      <w:tr w:rsidR="001D7AE5" w:rsidTr="00532E20">
        <w:tc>
          <w:tcPr>
            <w:tcW w:w="9242" w:type="dxa"/>
            <w:shd w:val="clear" w:color="auto" w:fill="FFC000"/>
          </w:tcPr>
          <w:p w:rsidR="001D7AE5" w:rsidRDefault="001D7AE5" w:rsidP="00676CA8">
            <w:pPr>
              <w:autoSpaceDE w:val="0"/>
              <w:autoSpaceDN w:val="0"/>
              <w:adjustRightInd w:val="0"/>
              <w:spacing w:before="180" w:after="180" w:line="276" w:lineRule="auto"/>
              <w:ind w:left="1418" w:hanging="1276"/>
            </w:pPr>
            <w:r w:rsidRPr="00E70C42">
              <w:rPr>
                <w:rFonts w:cstheme="minorHAnsi"/>
                <w:b/>
              </w:rPr>
              <w:t>Question 8:</w:t>
            </w:r>
            <w:r w:rsidRPr="00E70C42">
              <w:rPr>
                <w:rFonts w:cstheme="minorHAnsi"/>
                <w:b/>
              </w:rPr>
              <w:tab/>
            </w:r>
            <w:r>
              <w:rPr>
                <w:rFonts w:cstheme="minorHAnsi"/>
                <w:b/>
              </w:rPr>
              <w:t>W</w:t>
            </w:r>
            <w:r w:rsidRPr="00E70C42">
              <w:rPr>
                <w:rFonts w:cstheme="minorHAnsi"/>
                <w:b/>
              </w:rPr>
              <w:t>hat principles should be applied for access to national research infrastructure, and are there situations when these should not apply?</w:t>
            </w:r>
          </w:p>
        </w:tc>
      </w:tr>
    </w:tbl>
    <w:p w:rsidR="00FA7E12" w:rsidRDefault="00FA7E12" w:rsidP="00620F1A">
      <w:pPr>
        <w:pStyle w:val="Heading2"/>
        <w:spacing w:before="120"/>
        <w:ind w:left="578" w:hanging="578"/>
      </w:pPr>
      <w:bookmarkStart w:id="11" w:name="_Ref455565483"/>
      <w:r>
        <w:t>Defunding and decommissioning</w:t>
      </w:r>
      <w:bookmarkEnd w:id="11"/>
    </w:p>
    <w:p w:rsidR="00EE1D95" w:rsidRDefault="00FA7E12" w:rsidP="00FA7E12">
      <w:r>
        <w:t xml:space="preserve">Defunding and decommissioning national research infrastructure is an area where governments both nationally and internationally have struggled to develop </w:t>
      </w:r>
      <w:r w:rsidR="004E1273">
        <w:t>practical approaches</w:t>
      </w:r>
      <w:r>
        <w:t xml:space="preserve">. </w:t>
      </w:r>
      <w:r w:rsidR="004E1273">
        <w:t xml:space="preserve">These are critical elements to </w:t>
      </w:r>
      <w:r w:rsidR="00F13833">
        <w:t xml:space="preserve">the </w:t>
      </w:r>
      <w:r w:rsidR="004E1273">
        <w:t>whole</w:t>
      </w:r>
      <w:r w:rsidR="009C2D8A">
        <w:t>-</w:t>
      </w:r>
      <w:r w:rsidR="004E1273">
        <w:t>of</w:t>
      </w:r>
      <w:r w:rsidR="009C2D8A">
        <w:t>-</w:t>
      </w:r>
      <w:r w:rsidR="004E1273">
        <w:t xml:space="preserve">life costs of research </w:t>
      </w:r>
      <w:r>
        <w:t xml:space="preserve">infrastructure </w:t>
      </w:r>
      <w:r w:rsidR="004E1273">
        <w:t>as</w:t>
      </w:r>
      <w:r>
        <w:t xml:space="preserve"> governments have finite </w:t>
      </w:r>
      <w:r w:rsidR="004E1273">
        <w:t>resources to support research overall</w:t>
      </w:r>
      <w:r>
        <w:t xml:space="preserve">. </w:t>
      </w:r>
      <w:r w:rsidR="0027608E">
        <w:t>In the context of the 2016 Roadmap, the level of priority given to a capability and the associated research infrastructure could result in defunding or decommissioning of existing activity.</w:t>
      </w:r>
    </w:p>
    <w:p w:rsidR="00FA7E12" w:rsidRDefault="00FA7E12" w:rsidP="00FA7E12">
      <w:r>
        <w:t xml:space="preserve">Defunding, for the purposes of this </w:t>
      </w:r>
      <w:r w:rsidR="009C2D8A">
        <w:t>Issues P</w:t>
      </w:r>
      <w:r>
        <w:t xml:space="preserve">aper, refers to the cessation of Australian Government funding </w:t>
      </w:r>
      <w:r w:rsidR="009C2D8A">
        <w:t xml:space="preserve">for </w:t>
      </w:r>
      <w:r>
        <w:t>a particular project</w:t>
      </w:r>
      <w:r w:rsidR="004E1273">
        <w:t xml:space="preserve">, acknowledging that </w:t>
      </w:r>
      <w:r w:rsidR="00691EA6">
        <w:t>this</w:t>
      </w:r>
      <w:r w:rsidR="004E1273">
        <w:t xml:space="preserve"> funding is critical to attracting </w:t>
      </w:r>
      <w:r w:rsidR="00B526B8">
        <w:br/>
      </w:r>
      <w:r w:rsidR="004E1273">
        <w:t>co-investment</w:t>
      </w:r>
      <w:r>
        <w:t xml:space="preserve">. </w:t>
      </w:r>
      <w:r w:rsidR="004E1273">
        <w:t>In this context it would</w:t>
      </w:r>
      <w:r w:rsidR="009B7F54">
        <w:t xml:space="preserve"> be</w:t>
      </w:r>
      <w:r w:rsidR="004E1273">
        <w:t xml:space="preserve"> important to identify an appropriate pathway and timeframe that may result in alternative funding</w:t>
      </w:r>
      <w:r w:rsidR="009B7F54">
        <w:t xml:space="preserve"> or transition to another facility or project</w:t>
      </w:r>
      <w:r w:rsidR="004E1273">
        <w:t xml:space="preserve"> or transition to a single institution </w:t>
      </w:r>
      <w:r w:rsidR="009B7F54">
        <w:t>or termination of activity</w:t>
      </w:r>
      <w:r w:rsidR="004E1273">
        <w:t>.</w:t>
      </w:r>
      <w:r w:rsidR="009B7F54">
        <w:t xml:space="preserve"> </w:t>
      </w:r>
    </w:p>
    <w:p w:rsidR="00FA7E12" w:rsidRDefault="00FA7E12" w:rsidP="00676CA8">
      <w:pPr>
        <w:spacing w:before="120"/>
        <w:ind w:right="-188"/>
      </w:pPr>
      <w:r>
        <w:lastRenderedPageBreak/>
        <w:t xml:space="preserve">Decommissioning, on the other hand, is a specific decision to shut down a piece of research infrastructure. For the Australian Government, this is usually related to facilities it owns and operates through the publicly funded research agencies. By </w:t>
      </w:r>
      <w:r w:rsidR="009B7F54">
        <w:t xml:space="preserve">taking the decision to decommission </w:t>
      </w:r>
      <w:r>
        <w:t xml:space="preserve">a research infrastructure facility, the Australian Government is stating </w:t>
      </w:r>
      <w:r w:rsidR="009B7F54">
        <w:t>th</w:t>
      </w:r>
      <w:r w:rsidR="009C2D8A">
        <w:t>at</w:t>
      </w:r>
      <w:r w:rsidR="009B7F54">
        <w:t xml:space="preserve"> activity is no longer</w:t>
      </w:r>
      <w:r w:rsidR="0027608E">
        <w:t xml:space="preserve"> wanted</w:t>
      </w:r>
      <w:r>
        <w:t>.</w:t>
      </w:r>
    </w:p>
    <w:p w:rsidR="00F13833" w:rsidRDefault="00F13833" w:rsidP="00FA7E12">
      <w:pPr>
        <w:spacing w:before="120"/>
      </w:pPr>
      <w:r>
        <w:t xml:space="preserve">Decommissioning and defunding can both be considered as part of </w:t>
      </w:r>
      <w:r w:rsidR="00F17CF1">
        <w:t xml:space="preserve">the </w:t>
      </w:r>
      <w:r>
        <w:t>normal life cycle of</w:t>
      </w:r>
      <w:r w:rsidR="00771F9F">
        <w:t xml:space="preserve"> </w:t>
      </w:r>
      <w:r w:rsidR="00C36643">
        <w:t xml:space="preserve">national </w:t>
      </w:r>
      <w:r>
        <w:t>research infrastructure</w:t>
      </w:r>
      <w:r w:rsidR="000E3F53">
        <w:t>. For example, over time</w:t>
      </w:r>
      <w:r>
        <w:t xml:space="preserve"> </w:t>
      </w:r>
      <w:r w:rsidR="00C36643">
        <w:t>equipment, technology, processes or facilities become obsolete</w:t>
      </w:r>
      <w:r w:rsidR="000E3F53">
        <w:t>,</w:t>
      </w:r>
      <w:r w:rsidR="00C36643">
        <w:t xml:space="preserve"> </w:t>
      </w:r>
      <w:r w:rsidR="000E3F53">
        <w:t>ubiquitous or are</w:t>
      </w:r>
      <w:r w:rsidR="00C36643">
        <w:t xml:space="preserve"> superseded.</w:t>
      </w:r>
    </w:p>
    <w:p w:rsidR="001D7AE5" w:rsidRDefault="009B7F54" w:rsidP="00FA7E12">
      <w:pPr>
        <w:spacing w:before="120"/>
      </w:pPr>
      <w:r>
        <w:t>Under both decommissioning and defunding, it is important</w:t>
      </w:r>
      <w:r w:rsidR="0027608E">
        <w:t xml:space="preserve"> to</w:t>
      </w:r>
      <w:r>
        <w:t xml:space="preserve"> negotiate an exit strategy with key stakeholders and</w:t>
      </w:r>
      <w:r w:rsidR="00E04024">
        <w:t>, importantly,</w:t>
      </w:r>
      <w:r>
        <w:t xml:space="preserve"> </w:t>
      </w:r>
      <w:r w:rsidR="00E04024">
        <w:t>ensure the transition of key skills.</w:t>
      </w:r>
    </w:p>
    <w:tbl>
      <w:tblPr>
        <w:tblStyle w:val="TableGrid"/>
        <w:tblW w:w="0" w:type="auto"/>
        <w:shd w:val="clear" w:color="auto" w:fill="FFC000"/>
        <w:tblLook w:val="04A0" w:firstRow="1" w:lastRow="0" w:firstColumn="1" w:lastColumn="0" w:noHBand="0" w:noVBand="1"/>
        <w:tblCaption w:val="Table cell containing Question 9."/>
        <w:tblDescription w:val="Q9: What should the criteria and funding arrangements for defunding or decommissioning look like?"/>
      </w:tblPr>
      <w:tblGrid>
        <w:gridCol w:w="9242"/>
      </w:tblGrid>
      <w:tr w:rsidR="001D7AE5" w:rsidTr="00532E20">
        <w:tc>
          <w:tcPr>
            <w:tcW w:w="9242" w:type="dxa"/>
            <w:shd w:val="clear" w:color="auto" w:fill="FFC000"/>
          </w:tcPr>
          <w:p w:rsidR="001D7AE5" w:rsidRDefault="001D7AE5" w:rsidP="00676CA8">
            <w:pPr>
              <w:autoSpaceDE w:val="0"/>
              <w:autoSpaceDN w:val="0"/>
              <w:adjustRightInd w:val="0"/>
              <w:spacing w:before="180" w:after="180" w:line="276" w:lineRule="auto"/>
              <w:ind w:left="1418" w:hanging="1276"/>
            </w:pPr>
            <w:r w:rsidRPr="00E70C42">
              <w:rPr>
                <w:rFonts w:cstheme="minorHAnsi"/>
                <w:b/>
              </w:rPr>
              <w:t>Question 9:</w:t>
            </w:r>
            <w:r w:rsidRPr="00E70C42">
              <w:rPr>
                <w:rFonts w:cstheme="minorHAnsi"/>
                <w:b/>
              </w:rPr>
              <w:tab/>
              <w:t>What should the criteria and funding arrangements for defunding or decommissioning look like?</w:t>
            </w:r>
          </w:p>
        </w:tc>
      </w:tr>
    </w:tbl>
    <w:p w:rsidR="00FA7E12" w:rsidRDefault="00FA7E12" w:rsidP="00292940">
      <w:pPr>
        <w:pStyle w:val="Heading2"/>
        <w:spacing w:before="120"/>
        <w:ind w:left="578" w:hanging="578"/>
      </w:pPr>
      <w:r>
        <w:t>Funding for research infrastructure</w:t>
      </w:r>
    </w:p>
    <w:p w:rsidR="00FA7E12" w:rsidRDefault="00FA7E12" w:rsidP="00FA7E12">
      <w:r>
        <w:t>Research infrastructure represents large financial investments, both in initial capital investment and in operational costs</w:t>
      </w:r>
      <w:r w:rsidR="009B7F54">
        <w:t>. The role of</w:t>
      </w:r>
      <w:r>
        <w:t xml:space="preserve"> Government </w:t>
      </w:r>
      <w:r w:rsidR="009B7F54">
        <w:t>is as key investor with patient capital that will</w:t>
      </w:r>
      <w:r w:rsidR="003548AF">
        <w:t>,</w:t>
      </w:r>
      <w:r w:rsidR="009B7F54">
        <w:t xml:space="preserve"> over long timeframes</w:t>
      </w:r>
      <w:r w:rsidR="003548AF">
        <w:t>,</w:t>
      </w:r>
      <w:r w:rsidR="009B7F54">
        <w:t xml:space="preserve"> achieve significant</w:t>
      </w:r>
      <w:r>
        <w:t xml:space="preserve"> return</w:t>
      </w:r>
      <w:r w:rsidR="009B7F54">
        <w:t>s</w:t>
      </w:r>
      <w:r>
        <w:t xml:space="preserve"> on investment</w:t>
      </w:r>
      <w:r w:rsidR="009B7F54">
        <w:t xml:space="preserve"> and spill</w:t>
      </w:r>
      <w:r w:rsidR="003548AF">
        <w:t>-</w:t>
      </w:r>
      <w:r w:rsidR="009B7F54">
        <w:t>over benefits</w:t>
      </w:r>
      <w:r>
        <w:t xml:space="preserve">. Historically, Australian national research infrastructure investment has been made through </w:t>
      </w:r>
      <w:r w:rsidR="00E04024">
        <w:t xml:space="preserve">Australian </w:t>
      </w:r>
      <w:r>
        <w:t>Government grants, supported b</w:t>
      </w:r>
      <w:r w:rsidR="009B7F54">
        <w:t>y significant co-investment by s</w:t>
      </w:r>
      <w:r>
        <w:t xml:space="preserve">tate </w:t>
      </w:r>
      <w:r w:rsidR="009B7F54">
        <w:t>and territory g</w:t>
      </w:r>
      <w:r>
        <w:t>overnments, universities and the private sector.</w:t>
      </w:r>
    </w:p>
    <w:p w:rsidR="00FA7E12" w:rsidRDefault="009B7F54" w:rsidP="009E2040">
      <w:pPr>
        <w:ind w:right="-188"/>
      </w:pPr>
      <w:r>
        <w:t>In December 2015</w:t>
      </w:r>
      <w:r w:rsidR="00FA7E12">
        <w:t>, the Australian Government announced the National Innovation and Science Agenda, p</w:t>
      </w:r>
      <w:r>
        <w:t>roviding</w:t>
      </w:r>
      <w:r w:rsidR="00FA7E12">
        <w:t xml:space="preserve"> ongoing operational funding for the </w:t>
      </w:r>
      <w:r w:rsidR="00E04024">
        <w:t xml:space="preserve">existing </w:t>
      </w:r>
      <w:r>
        <w:t xml:space="preserve">National Collaborative Research Infrastructure Strategy (NCRIS) </w:t>
      </w:r>
      <w:r w:rsidR="001D7AE5">
        <w:t>network</w:t>
      </w:r>
      <w:r w:rsidR="00E04024">
        <w:t xml:space="preserve"> </w:t>
      </w:r>
      <w:r>
        <w:t xml:space="preserve">and funding over a ten year timeframe for the </w:t>
      </w:r>
      <w:r w:rsidR="00FA7E12">
        <w:t>Austral</w:t>
      </w:r>
      <w:r>
        <w:t>ian Synchrotron and the Square Kilometre Array (SKA)</w:t>
      </w:r>
      <w:r w:rsidR="00FA7E12">
        <w:t xml:space="preserve">. </w:t>
      </w:r>
      <w:r>
        <w:t>On the basis that a National Research Infrastructure Roadmap would provide a strategic and prioritised approach to future investment,</w:t>
      </w:r>
      <w:r w:rsidR="00FA7E12">
        <w:t xml:space="preserve"> capital funding</w:t>
      </w:r>
      <w:r>
        <w:t xml:space="preserve"> was not included</w:t>
      </w:r>
      <w:r w:rsidR="00FA7E12">
        <w:t>.</w:t>
      </w:r>
    </w:p>
    <w:p w:rsidR="009F4A8E" w:rsidRDefault="00E04024" w:rsidP="004D0132">
      <w:r>
        <w:t xml:space="preserve">In </w:t>
      </w:r>
      <w:r w:rsidR="00FA7E12">
        <w:t xml:space="preserve">times of fiscal constraint, governments internationally are looking at </w:t>
      </w:r>
      <w:r w:rsidR="007938EB">
        <w:t>new</w:t>
      </w:r>
      <w:r w:rsidR="00FA7E12">
        <w:t xml:space="preserve"> ways to fund research infrastructure outside the traditional grants paradigm.</w:t>
      </w:r>
    </w:p>
    <w:tbl>
      <w:tblPr>
        <w:tblStyle w:val="TableGrid"/>
        <w:tblW w:w="0" w:type="auto"/>
        <w:shd w:val="clear" w:color="auto" w:fill="FFC000"/>
        <w:tblLook w:val="04A0" w:firstRow="1" w:lastRow="0" w:firstColumn="1" w:lastColumn="0" w:noHBand="0" w:noVBand="1"/>
        <w:tblCaption w:val="Table cell containing Question 10."/>
        <w:tblDescription w:val="Q10: What financing models should the Government consider to support investment in national research infrastructure?"/>
      </w:tblPr>
      <w:tblGrid>
        <w:gridCol w:w="9242"/>
      </w:tblGrid>
      <w:tr w:rsidR="001D7AE5" w:rsidTr="00532E20">
        <w:tc>
          <w:tcPr>
            <w:tcW w:w="9242" w:type="dxa"/>
            <w:shd w:val="clear" w:color="auto" w:fill="FFC000"/>
          </w:tcPr>
          <w:p w:rsidR="0038255D" w:rsidRDefault="001D7AE5" w:rsidP="00984C38">
            <w:pPr>
              <w:autoSpaceDE w:val="0"/>
              <w:autoSpaceDN w:val="0"/>
              <w:adjustRightInd w:val="0"/>
              <w:spacing w:before="180" w:after="180" w:line="276" w:lineRule="auto"/>
              <w:ind w:left="1418" w:hanging="1276"/>
            </w:pPr>
            <w:r w:rsidRPr="00E70C42">
              <w:rPr>
                <w:rFonts w:cstheme="minorHAnsi"/>
                <w:b/>
              </w:rPr>
              <w:t>Question 1</w:t>
            </w:r>
            <w:r w:rsidR="00DE7B22">
              <w:rPr>
                <w:rFonts w:cstheme="minorHAnsi"/>
                <w:b/>
              </w:rPr>
              <w:t>0</w:t>
            </w:r>
            <w:r w:rsidRPr="00E70C42">
              <w:rPr>
                <w:rFonts w:cstheme="minorHAnsi"/>
                <w:b/>
              </w:rPr>
              <w:t>:</w:t>
            </w:r>
            <w:r w:rsidRPr="00E70C42">
              <w:rPr>
                <w:rFonts w:cstheme="minorHAnsi"/>
                <w:b/>
              </w:rPr>
              <w:tab/>
            </w:r>
            <w:r w:rsidR="00E11E06">
              <w:rPr>
                <w:rFonts w:cstheme="minorHAnsi"/>
                <w:b/>
              </w:rPr>
              <w:t xml:space="preserve">What </w:t>
            </w:r>
            <w:r w:rsidRPr="00E70C42">
              <w:rPr>
                <w:rFonts w:cstheme="minorHAnsi"/>
                <w:b/>
              </w:rPr>
              <w:t xml:space="preserve">financing models </w:t>
            </w:r>
            <w:r w:rsidR="00E11E06">
              <w:rPr>
                <w:rFonts w:cstheme="minorHAnsi"/>
                <w:b/>
              </w:rPr>
              <w:t xml:space="preserve">should </w:t>
            </w:r>
            <w:r w:rsidRPr="00E70C42">
              <w:rPr>
                <w:rFonts w:cstheme="minorHAnsi"/>
                <w:b/>
              </w:rPr>
              <w:t>the Government consider to support investment in national research infrastructure?</w:t>
            </w:r>
          </w:p>
        </w:tc>
      </w:tr>
    </w:tbl>
    <w:p w:rsidR="00E05CE6" w:rsidRDefault="00E05CE6" w:rsidP="00E05CE6">
      <w:pPr>
        <w:rPr>
          <w:rFonts w:ascii="Calibri" w:eastAsiaTheme="majorEastAsia" w:hAnsi="Calibri" w:cstheme="majorBidi"/>
          <w:sz w:val="28"/>
          <w:szCs w:val="26"/>
        </w:rPr>
      </w:pPr>
      <w:r>
        <w:br w:type="page"/>
      </w:r>
    </w:p>
    <w:p w:rsidR="00E11170" w:rsidRDefault="00706279" w:rsidP="00620F1A">
      <w:pPr>
        <w:pStyle w:val="Heading2"/>
        <w:spacing w:before="120"/>
        <w:ind w:left="578" w:hanging="578"/>
      </w:pPr>
      <w:r>
        <w:lastRenderedPageBreak/>
        <w:t xml:space="preserve">Standards and </w:t>
      </w:r>
      <w:r w:rsidR="003548AF">
        <w:t>a</w:t>
      </w:r>
      <w:r>
        <w:t>ccreditation</w:t>
      </w:r>
    </w:p>
    <w:p w:rsidR="00AB654A" w:rsidRDefault="005125C3" w:rsidP="00AB654A">
      <w:pPr>
        <w:rPr>
          <w:rFonts w:cstheme="minorHAnsi"/>
        </w:rPr>
      </w:pPr>
      <w:r>
        <w:rPr>
          <w:rFonts w:cstheme="minorHAnsi"/>
        </w:rPr>
        <w:t xml:space="preserve">As the focus on maximising the benefits of research has intensified, ensuring that </w:t>
      </w:r>
      <w:r w:rsidR="007E246D">
        <w:rPr>
          <w:rFonts w:cstheme="minorHAnsi"/>
        </w:rPr>
        <w:t xml:space="preserve">relevant </w:t>
      </w:r>
      <w:r w:rsidR="00550D88">
        <w:rPr>
          <w:rFonts w:cstheme="minorHAnsi"/>
        </w:rPr>
        <w:t xml:space="preserve">industry </w:t>
      </w:r>
      <w:r w:rsidR="00B043CB">
        <w:rPr>
          <w:rFonts w:cstheme="minorHAnsi"/>
        </w:rPr>
        <w:t xml:space="preserve">standards and accreditation </w:t>
      </w:r>
      <w:r w:rsidR="00D26D3E">
        <w:rPr>
          <w:rFonts w:cstheme="minorHAnsi"/>
        </w:rPr>
        <w:t xml:space="preserve">are </w:t>
      </w:r>
      <w:r w:rsidR="00C55769">
        <w:rPr>
          <w:rFonts w:cstheme="minorHAnsi"/>
        </w:rPr>
        <w:t>achieved</w:t>
      </w:r>
      <w:r w:rsidR="00D26D3E">
        <w:rPr>
          <w:rFonts w:cstheme="minorHAnsi"/>
        </w:rPr>
        <w:t xml:space="preserve"> </w:t>
      </w:r>
      <w:r>
        <w:rPr>
          <w:rFonts w:cstheme="minorHAnsi"/>
        </w:rPr>
        <w:t xml:space="preserve">has become </w:t>
      </w:r>
      <w:r w:rsidR="00D26D3E">
        <w:rPr>
          <w:rFonts w:cstheme="minorHAnsi"/>
        </w:rPr>
        <w:t>increasingly important</w:t>
      </w:r>
      <w:r w:rsidR="007E246D">
        <w:rPr>
          <w:rFonts w:cstheme="minorHAnsi"/>
        </w:rPr>
        <w:t xml:space="preserve"> </w:t>
      </w:r>
      <w:r w:rsidR="00C1215A">
        <w:rPr>
          <w:rFonts w:cstheme="minorHAnsi"/>
        </w:rPr>
        <w:t xml:space="preserve">to enable the </w:t>
      </w:r>
      <w:r w:rsidR="00C1215A" w:rsidRPr="00CF04AF">
        <w:rPr>
          <w:rFonts w:cstheme="minorHAnsi"/>
        </w:rPr>
        <w:t xml:space="preserve">translational benefits and efficiency </w:t>
      </w:r>
      <w:r w:rsidR="00C1215A">
        <w:rPr>
          <w:rFonts w:cstheme="minorHAnsi"/>
        </w:rPr>
        <w:t xml:space="preserve">gains from research to </w:t>
      </w:r>
      <w:r w:rsidR="00C1215A" w:rsidRPr="00CF04AF">
        <w:rPr>
          <w:rFonts w:cstheme="minorHAnsi"/>
        </w:rPr>
        <w:t>be</w:t>
      </w:r>
      <w:r w:rsidR="00C1215A">
        <w:rPr>
          <w:rFonts w:cstheme="minorHAnsi"/>
        </w:rPr>
        <w:t xml:space="preserve"> fully</w:t>
      </w:r>
      <w:r w:rsidR="00C1215A" w:rsidRPr="00CF04AF">
        <w:rPr>
          <w:rFonts w:cstheme="minorHAnsi"/>
        </w:rPr>
        <w:t xml:space="preserve"> realised</w:t>
      </w:r>
      <w:r w:rsidR="003548AF">
        <w:rPr>
          <w:rFonts w:cstheme="minorHAnsi"/>
        </w:rPr>
        <w:t>.</w:t>
      </w:r>
      <w:r>
        <w:rPr>
          <w:rFonts w:cstheme="minorHAnsi"/>
        </w:rPr>
        <w:t xml:space="preserve"> </w:t>
      </w:r>
      <w:r w:rsidR="003548AF">
        <w:rPr>
          <w:rFonts w:cstheme="minorHAnsi"/>
        </w:rPr>
        <w:t>F</w:t>
      </w:r>
      <w:r>
        <w:rPr>
          <w:rFonts w:cstheme="minorHAnsi"/>
        </w:rPr>
        <w:t>or a wide range of research infrastructure capabilit</w:t>
      </w:r>
      <w:r w:rsidR="003548AF">
        <w:rPr>
          <w:rFonts w:cstheme="minorHAnsi"/>
        </w:rPr>
        <w:t>ies</w:t>
      </w:r>
      <w:r w:rsidR="00AB654A">
        <w:rPr>
          <w:rFonts w:cstheme="minorHAnsi"/>
        </w:rPr>
        <w:t xml:space="preserve"> </w:t>
      </w:r>
      <w:r w:rsidR="00550D88">
        <w:rPr>
          <w:rFonts w:cstheme="minorHAnsi"/>
        </w:rPr>
        <w:t>s</w:t>
      </w:r>
      <w:r>
        <w:rPr>
          <w:rFonts w:cstheme="minorHAnsi"/>
        </w:rPr>
        <w:t xml:space="preserve">tandardisation and </w:t>
      </w:r>
      <w:r w:rsidR="00AB654A" w:rsidRPr="00CF04AF">
        <w:rPr>
          <w:rFonts w:cstheme="minorHAnsi"/>
        </w:rPr>
        <w:t xml:space="preserve">validation of the quality </w:t>
      </w:r>
      <w:r>
        <w:rPr>
          <w:rFonts w:cstheme="minorHAnsi"/>
        </w:rPr>
        <w:t>of processes and measurements</w:t>
      </w:r>
      <w:r w:rsidR="00550D88">
        <w:rPr>
          <w:rFonts w:cstheme="minorHAnsi"/>
        </w:rPr>
        <w:t>,</w:t>
      </w:r>
      <w:r>
        <w:rPr>
          <w:rFonts w:cstheme="minorHAnsi"/>
        </w:rPr>
        <w:t xml:space="preserve"> </w:t>
      </w:r>
      <w:r w:rsidR="00706279">
        <w:rPr>
          <w:rFonts w:cstheme="minorHAnsi"/>
        </w:rPr>
        <w:t>while costly and time consuming, are critical to maintaining a leading edge. While a number of capability areas such as nanofabrication have accepted the need for</w:t>
      </w:r>
      <w:r w:rsidR="00AB654A" w:rsidRPr="00CF04AF">
        <w:rPr>
          <w:rFonts w:cstheme="minorHAnsi"/>
        </w:rPr>
        <w:t xml:space="preserve"> accreditation </w:t>
      </w:r>
      <w:r w:rsidR="00706279">
        <w:rPr>
          <w:rFonts w:cstheme="minorHAnsi"/>
        </w:rPr>
        <w:t>to</w:t>
      </w:r>
      <w:r w:rsidR="00AB654A" w:rsidRPr="00CF04AF">
        <w:rPr>
          <w:rFonts w:cstheme="minorHAnsi"/>
        </w:rPr>
        <w:t xml:space="preserve"> benchmark their processes and services</w:t>
      </w:r>
      <w:r w:rsidR="00706279">
        <w:rPr>
          <w:rFonts w:cstheme="minorHAnsi"/>
        </w:rPr>
        <w:t xml:space="preserve">, there needs to be greater awareness and acknowledgement of the importance </w:t>
      </w:r>
      <w:r w:rsidR="00593FD5">
        <w:rPr>
          <w:rFonts w:cstheme="minorHAnsi"/>
        </w:rPr>
        <w:t xml:space="preserve">of standards and accreditation not only to the research effort, but importantly to meet industry </w:t>
      </w:r>
      <w:r w:rsidR="00C55769">
        <w:rPr>
          <w:rFonts w:cstheme="minorHAnsi"/>
        </w:rPr>
        <w:t>needs</w:t>
      </w:r>
      <w:r w:rsidR="00593FD5">
        <w:rPr>
          <w:rFonts w:cstheme="minorHAnsi"/>
        </w:rPr>
        <w:t>.</w:t>
      </w:r>
    </w:p>
    <w:tbl>
      <w:tblPr>
        <w:tblStyle w:val="TableGrid"/>
        <w:tblW w:w="0" w:type="auto"/>
        <w:shd w:val="clear" w:color="auto" w:fill="FFC000"/>
        <w:tblLook w:val="04A0" w:firstRow="1" w:lastRow="0" w:firstColumn="1" w:lastColumn="0" w:noHBand="0" w:noVBand="1"/>
        <w:tblCaption w:val="Table cell containing Question 11."/>
        <w:tblDescription w:val="Q11: When should capabilities be expected to address standard and accreditation requirements?"/>
      </w:tblPr>
      <w:tblGrid>
        <w:gridCol w:w="9242"/>
      </w:tblGrid>
      <w:tr w:rsidR="001D7AE5" w:rsidTr="00532E20">
        <w:tc>
          <w:tcPr>
            <w:tcW w:w="9242" w:type="dxa"/>
            <w:shd w:val="clear" w:color="auto" w:fill="FFC000"/>
          </w:tcPr>
          <w:p w:rsidR="001D7AE5" w:rsidRDefault="001D7AE5" w:rsidP="00676CA8">
            <w:pPr>
              <w:autoSpaceDE w:val="0"/>
              <w:autoSpaceDN w:val="0"/>
              <w:adjustRightInd w:val="0"/>
              <w:spacing w:before="180" w:after="180" w:line="276" w:lineRule="auto"/>
              <w:ind w:left="1418" w:hanging="1276"/>
            </w:pPr>
            <w:r w:rsidRPr="00E70C42">
              <w:rPr>
                <w:rFonts w:cstheme="minorHAnsi"/>
                <w:b/>
              </w:rPr>
              <w:t xml:space="preserve">Question </w:t>
            </w:r>
            <w:r>
              <w:rPr>
                <w:rFonts w:cstheme="minorHAnsi"/>
                <w:b/>
              </w:rPr>
              <w:t>1</w:t>
            </w:r>
            <w:r w:rsidR="00DE7B22">
              <w:rPr>
                <w:rFonts w:cstheme="minorHAnsi"/>
                <w:b/>
              </w:rPr>
              <w:t>1</w:t>
            </w:r>
            <w:r w:rsidRPr="00E70C42">
              <w:rPr>
                <w:rFonts w:cstheme="minorHAnsi"/>
                <w:b/>
              </w:rPr>
              <w:t>:</w:t>
            </w:r>
            <w:r w:rsidRPr="00E70C42">
              <w:rPr>
                <w:rFonts w:cstheme="minorHAnsi"/>
                <w:b/>
              </w:rPr>
              <w:tab/>
              <w:t xml:space="preserve">When should capabilities </w:t>
            </w:r>
            <w:proofErr w:type="gramStart"/>
            <w:r w:rsidRPr="00E70C42">
              <w:rPr>
                <w:rFonts w:cstheme="minorHAnsi"/>
                <w:b/>
              </w:rPr>
              <w:t>be</w:t>
            </w:r>
            <w:proofErr w:type="gramEnd"/>
            <w:r w:rsidRPr="00E70C42">
              <w:rPr>
                <w:rFonts w:cstheme="minorHAnsi"/>
                <w:b/>
              </w:rPr>
              <w:t xml:space="preserve"> expected to address standard and accreditation requirements?</w:t>
            </w:r>
          </w:p>
        </w:tc>
      </w:tr>
    </w:tbl>
    <w:p w:rsidR="00314156" w:rsidRDefault="00314156" w:rsidP="00E70C42">
      <w:pPr>
        <w:rPr>
          <w:rFonts w:ascii="Calibri" w:eastAsiaTheme="majorEastAsia" w:hAnsi="Calibri" w:cstheme="majorBidi"/>
          <w:color w:val="000000" w:themeColor="text1"/>
          <w:sz w:val="36"/>
          <w:szCs w:val="28"/>
        </w:rPr>
      </w:pPr>
      <w:r>
        <w:br w:type="page"/>
      </w:r>
    </w:p>
    <w:p w:rsidR="00FA7E12" w:rsidRPr="00371DFD" w:rsidRDefault="00E10F72" w:rsidP="00FA7E12">
      <w:pPr>
        <w:pStyle w:val="Heading1"/>
      </w:pPr>
      <w:bookmarkStart w:id="12" w:name="_Toc456449020"/>
      <w:r>
        <w:lastRenderedPageBreak/>
        <w:t>Capability F</w:t>
      </w:r>
      <w:r w:rsidR="00FA7E12" w:rsidRPr="00371DFD">
        <w:t xml:space="preserve">ocus </w:t>
      </w:r>
      <w:r>
        <w:t>A</w:t>
      </w:r>
      <w:r w:rsidR="00FA7E12" w:rsidRPr="00371DFD">
        <w:t>reas</w:t>
      </w:r>
      <w:bookmarkEnd w:id="12"/>
    </w:p>
    <w:p w:rsidR="00FA7E12" w:rsidRDefault="00C55769" w:rsidP="00676CA8">
      <w:pPr>
        <w:ind w:right="-188"/>
      </w:pPr>
      <w:r>
        <w:t>Chapters</w:t>
      </w:r>
      <w:r w:rsidR="009E2040">
        <w:t xml:space="preserve"> 5</w:t>
      </w:r>
      <w:r>
        <w:t xml:space="preserve"> to </w:t>
      </w:r>
      <w:r w:rsidR="009E2040">
        <w:t>1</w:t>
      </w:r>
      <w:r w:rsidR="00D244FD">
        <w:t>1</w:t>
      </w:r>
      <w:r w:rsidR="009E2040">
        <w:t xml:space="preserve"> of the </w:t>
      </w:r>
      <w:r w:rsidR="0051190F">
        <w:t>Issues Paper</w:t>
      </w:r>
      <w:r w:rsidR="00FA7E12">
        <w:t xml:space="preserve"> cover the capability focus areas </w:t>
      </w:r>
      <w:r w:rsidR="007277D7">
        <w:t>based on the following</w:t>
      </w:r>
      <w:r w:rsidR="00FA7E12">
        <w:t xml:space="preserve"> elements:</w:t>
      </w:r>
    </w:p>
    <w:p w:rsidR="00FA7E12" w:rsidRPr="007F2FC5" w:rsidRDefault="00FA7E12" w:rsidP="007F2FC5">
      <w:pPr>
        <w:pStyle w:val="ListParagraph"/>
        <w:numPr>
          <w:ilvl w:val="0"/>
          <w:numId w:val="22"/>
        </w:numPr>
        <w:spacing w:before="200" w:after="60"/>
        <w:rPr>
          <w:rFonts w:cstheme="minorHAnsi"/>
        </w:rPr>
      </w:pPr>
      <w:r>
        <w:t xml:space="preserve">A brief </w:t>
      </w:r>
      <w:r w:rsidR="00C265C9">
        <w:t xml:space="preserve">introduction and </w:t>
      </w:r>
      <w:r w:rsidRPr="007F2FC5">
        <w:rPr>
          <w:rFonts w:cstheme="minorHAnsi"/>
        </w:rPr>
        <w:t>summa</w:t>
      </w:r>
      <w:r w:rsidR="007F2FC5">
        <w:rPr>
          <w:rFonts w:cstheme="minorHAnsi"/>
        </w:rPr>
        <w:t>ry of the capability focus area.</w:t>
      </w:r>
    </w:p>
    <w:p w:rsidR="00FA7E12" w:rsidRPr="007F2FC5" w:rsidRDefault="00371DFD" w:rsidP="007F2FC5">
      <w:pPr>
        <w:pStyle w:val="ListParagraph"/>
        <w:numPr>
          <w:ilvl w:val="0"/>
          <w:numId w:val="22"/>
        </w:numPr>
        <w:spacing w:before="200" w:after="60"/>
        <w:rPr>
          <w:rFonts w:cstheme="minorHAnsi"/>
        </w:rPr>
      </w:pPr>
      <w:r>
        <w:rPr>
          <w:rFonts w:cstheme="minorHAnsi"/>
        </w:rPr>
        <w:t>E</w:t>
      </w:r>
      <w:r w:rsidR="00FA7E12" w:rsidRPr="007F2FC5">
        <w:rPr>
          <w:rFonts w:cstheme="minorHAnsi"/>
        </w:rPr>
        <w:t>merging directions</w:t>
      </w:r>
      <w:r w:rsidR="003D651E">
        <w:rPr>
          <w:rFonts w:cstheme="minorHAnsi"/>
        </w:rPr>
        <w:t xml:space="preserve"> </w:t>
      </w:r>
      <w:r w:rsidR="003D6D9D">
        <w:rPr>
          <w:rFonts w:cstheme="minorHAnsi"/>
        </w:rPr>
        <w:t>and</w:t>
      </w:r>
      <w:r w:rsidR="00FA7E12" w:rsidRPr="007F2FC5">
        <w:rPr>
          <w:rFonts w:cstheme="minorHAnsi"/>
        </w:rPr>
        <w:t xml:space="preserve"> the trends that will impact research in the capability </w:t>
      </w:r>
      <w:r w:rsidR="007F2FC5">
        <w:rPr>
          <w:rFonts w:cstheme="minorHAnsi"/>
        </w:rPr>
        <w:t>focus area over the next decade.</w:t>
      </w:r>
    </w:p>
    <w:p w:rsidR="00FA7E12" w:rsidRDefault="00FA7E12" w:rsidP="007F2FC5">
      <w:pPr>
        <w:pStyle w:val="ListParagraph"/>
        <w:numPr>
          <w:ilvl w:val="0"/>
          <w:numId w:val="22"/>
        </w:numPr>
        <w:spacing w:before="200" w:after="60"/>
        <w:rPr>
          <w:rFonts w:cstheme="minorHAnsi"/>
        </w:rPr>
      </w:pPr>
      <w:r w:rsidRPr="007F2FC5">
        <w:rPr>
          <w:rFonts w:cstheme="minorHAnsi"/>
        </w:rPr>
        <w:t>Details of current and</w:t>
      </w:r>
      <w:r w:rsidR="001A341E">
        <w:rPr>
          <w:rFonts w:cstheme="minorHAnsi"/>
        </w:rPr>
        <w:t xml:space="preserve"> emerging</w:t>
      </w:r>
      <w:r w:rsidRPr="007F2FC5">
        <w:rPr>
          <w:rFonts w:cstheme="minorHAnsi"/>
        </w:rPr>
        <w:t xml:space="preserve"> capabilities and how they can</w:t>
      </w:r>
      <w:r w:rsidR="007F2FC5">
        <w:rPr>
          <w:rFonts w:cstheme="minorHAnsi"/>
        </w:rPr>
        <w:t xml:space="preserve"> meet these emerging directions.</w:t>
      </w:r>
    </w:p>
    <w:p w:rsidR="00C265C9" w:rsidRPr="007F2FC5" w:rsidRDefault="006A44AF" w:rsidP="007F2FC5">
      <w:pPr>
        <w:pStyle w:val="ListParagraph"/>
        <w:numPr>
          <w:ilvl w:val="0"/>
          <w:numId w:val="22"/>
        </w:numPr>
        <w:spacing w:before="200" w:after="60"/>
        <w:rPr>
          <w:rFonts w:cstheme="minorHAnsi"/>
        </w:rPr>
      </w:pPr>
      <w:r>
        <w:rPr>
          <w:rFonts w:cstheme="minorHAnsi"/>
        </w:rPr>
        <w:t>P</w:t>
      </w:r>
      <w:r w:rsidR="00371DFD">
        <w:rPr>
          <w:rFonts w:cstheme="minorHAnsi"/>
        </w:rPr>
        <w:t>ossible future</w:t>
      </w:r>
      <w:r w:rsidR="00C265C9">
        <w:rPr>
          <w:rFonts w:cstheme="minorHAnsi"/>
        </w:rPr>
        <w:t xml:space="preserve"> infrastructure </w:t>
      </w:r>
      <w:r w:rsidR="00371DFD">
        <w:rPr>
          <w:rFonts w:cstheme="minorHAnsi"/>
        </w:rPr>
        <w:t>aligned to capability areas</w:t>
      </w:r>
      <w:r w:rsidR="00C265C9">
        <w:rPr>
          <w:rFonts w:cstheme="minorHAnsi"/>
        </w:rPr>
        <w:t>.</w:t>
      </w:r>
    </w:p>
    <w:p w:rsidR="00FA7E12" w:rsidRDefault="00FA7E12" w:rsidP="004D0132">
      <w:pPr>
        <w:pStyle w:val="ListParagraph"/>
        <w:numPr>
          <w:ilvl w:val="0"/>
          <w:numId w:val="22"/>
        </w:numPr>
        <w:spacing w:before="200"/>
        <w:ind w:left="357" w:hanging="357"/>
      </w:pPr>
      <w:r w:rsidRPr="007F2FC5">
        <w:rPr>
          <w:rFonts w:cstheme="minorHAnsi"/>
        </w:rPr>
        <w:t xml:space="preserve">An overview table, </w:t>
      </w:r>
      <w:r w:rsidR="00F317C0">
        <w:rPr>
          <w:rFonts w:cstheme="minorHAnsi"/>
        </w:rPr>
        <w:t>summarising</w:t>
      </w:r>
      <w:r w:rsidR="00F317C0" w:rsidRPr="007F2FC5">
        <w:rPr>
          <w:rFonts w:cstheme="minorHAnsi"/>
        </w:rPr>
        <w:t xml:space="preserve"> </w:t>
      </w:r>
      <w:r w:rsidRPr="007F2FC5">
        <w:rPr>
          <w:rFonts w:cstheme="minorHAnsi"/>
        </w:rPr>
        <w:t xml:space="preserve">current </w:t>
      </w:r>
      <w:r w:rsidR="00646719">
        <w:rPr>
          <w:rFonts w:cstheme="minorHAnsi"/>
        </w:rPr>
        <w:t xml:space="preserve">capabilities </w:t>
      </w:r>
      <w:r w:rsidRPr="007F2FC5">
        <w:rPr>
          <w:rFonts w:cstheme="minorHAnsi"/>
        </w:rPr>
        <w:t xml:space="preserve">and </w:t>
      </w:r>
      <w:r w:rsidR="006A44AF">
        <w:rPr>
          <w:rFonts w:cstheme="minorHAnsi"/>
        </w:rPr>
        <w:t>examples of possible</w:t>
      </w:r>
      <w:r w:rsidR="006A44AF" w:rsidRPr="007F2FC5">
        <w:rPr>
          <w:rFonts w:cstheme="minorHAnsi"/>
        </w:rPr>
        <w:t xml:space="preserve"> </w:t>
      </w:r>
      <w:r w:rsidRPr="007F2FC5">
        <w:rPr>
          <w:rFonts w:cstheme="minorHAnsi"/>
        </w:rPr>
        <w:t xml:space="preserve">future </w:t>
      </w:r>
      <w:r w:rsidR="00646719">
        <w:rPr>
          <w:rFonts w:cstheme="minorHAnsi"/>
        </w:rPr>
        <w:t>capabilities</w:t>
      </w:r>
      <w:r w:rsidRPr="007F2FC5">
        <w:rPr>
          <w:rFonts w:cstheme="minorHAnsi"/>
        </w:rPr>
        <w:t>, as well as areas that are proposed to be</w:t>
      </w:r>
      <w:r>
        <w:t xml:space="preserve"> explored further in the 2016 Roadmap.</w:t>
      </w:r>
    </w:p>
    <w:p w:rsidR="00FA7E12" w:rsidRPr="009E2040" w:rsidRDefault="009E2040" w:rsidP="009E2040">
      <w:r>
        <w:t xml:space="preserve">In framing the capability focus areas a number of common themes have emerged. As a result some themes will appear under more than one </w:t>
      </w:r>
      <w:r>
        <w:rPr>
          <w:rFonts w:cstheme="minorHAnsi"/>
        </w:rPr>
        <w:t>capability focus area. This reflects the pervasive</w:t>
      </w:r>
      <w:r w:rsidR="00FA7E12" w:rsidRPr="009E2040">
        <w:rPr>
          <w:rFonts w:cstheme="minorHAnsi"/>
        </w:rPr>
        <w:t xml:space="preserve"> nature of national research infrastructure capability acros</w:t>
      </w:r>
      <w:r w:rsidR="007F2FC5" w:rsidRPr="009E2040">
        <w:rPr>
          <w:rFonts w:cstheme="minorHAnsi"/>
        </w:rPr>
        <w:t>s the research landscape.</w:t>
      </w:r>
    </w:p>
    <w:p w:rsidR="00FA7E12" w:rsidRDefault="009E2040" w:rsidP="004D0132">
      <w:r w:rsidRPr="00790123">
        <w:t xml:space="preserve">As you might expect, </w:t>
      </w:r>
      <w:r w:rsidRPr="00500157">
        <w:t>d</w:t>
      </w:r>
      <w:r w:rsidR="00FA7E12" w:rsidRPr="00500157">
        <w:t>ata</w:t>
      </w:r>
      <w:r w:rsidR="00FA7E12" w:rsidRPr="00FF7BB3">
        <w:t xml:space="preserve"> </w:t>
      </w:r>
      <w:r w:rsidR="00B20C14">
        <w:t>is</w:t>
      </w:r>
      <w:r w:rsidR="00500157" w:rsidRPr="00FF7BB3">
        <w:t xml:space="preserve"> </w:t>
      </w:r>
      <w:r w:rsidR="00FA7E12" w:rsidRPr="00FF7BB3">
        <w:t>everywhere and dealt with from</w:t>
      </w:r>
      <w:r w:rsidRPr="005F7DAC">
        <w:t xml:space="preserve"> both</w:t>
      </w:r>
      <w:r w:rsidR="00FA7E12" w:rsidRPr="00156029">
        <w:t xml:space="preserve"> a user perspective with</w:t>
      </w:r>
      <w:r w:rsidRPr="004D0132">
        <w:t>in</w:t>
      </w:r>
      <w:r w:rsidR="00FA7E12" w:rsidRPr="004D0132">
        <w:t xml:space="preserve"> the capability areas and as an enabling</w:t>
      </w:r>
      <w:r w:rsidR="00FA7E12">
        <w:t xml:space="preserve"> national infrastructure</w:t>
      </w:r>
      <w:r w:rsidR="00D244FD">
        <w:t xml:space="preserve"> itself</w:t>
      </w:r>
      <w:r w:rsidR="00FA7E12">
        <w:t xml:space="preserve"> in </w:t>
      </w:r>
      <w:r w:rsidR="00C55769">
        <w:t>Chapter</w:t>
      </w:r>
      <w:r w:rsidR="00FA7E12">
        <w:t xml:space="preserve"> </w:t>
      </w:r>
      <w:r w:rsidR="00292940">
        <w:t xml:space="preserve">11 – </w:t>
      </w:r>
      <w:r w:rsidR="00D81470">
        <w:t>Data for Research and Discoverability</w:t>
      </w:r>
      <w:r w:rsidR="00FA7E12">
        <w:t>.</w:t>
      </w:r>
    </w:p>
    <w:p w:rsidR="005E5FE1" w:rsidRDefault="00C55769" w:rsidP="00D77CC3">
      <w:r>
        <w:t>T</w:t>
      </w:r>
      <w:r w:rsidR="00D244FD">
        <w:t xml:space="preserve">he </w:t>
      </w:r>
      <w:r w:rsidR="00D77CC3">
        <w:t xml:space="preserve">lists of trends and capabilities presented in the following </w:t>
      </w:r>
      <w:r>
        <w:t>chapters</w:t>
      </w:r>
      <w:r w:rsidR="00D77CC3">
        <w:t xml:space="preserve"> are</w:t>
      </w:r>
      <w:r w:rsidR="003D6D9D">
        <w:t xml:space="preserve"> not intended to be</w:t>
      </w:r>
      <w:r w:rsidR="00D77CC3">
        <w:t xml:space="preserve"> exhaustive </w:t>
      </w:r>
      <w:r w:rsidR="003D6D9D">
        <w:t>and are not prioritised</w:t>
      </w:r>
      <w:r w:rsidR="00D77CC3">
        <w:t xml:space="preserve">. </w:t>
      </w:r>
      <w:r w:rsidR="005E5FE1">
        <w:t>Existing or proposed research infrastructure identified in conjunction with capability area</w:t>
      </w:r>
      <w:r w:rsidR="004754CD">
        <w:t>s</w:t>
      </w:r>
      <w:r w:rsidR="005E5FE1">
        <w:t xml:space="preserve"> does not imply priority or potential future funding.</w:t>
      </w:r>
      <w:r w:rsidR="0077449E">
        <w:t xml:space="preserve"> </w:t>
      </w:r>
      <w:r>
        <w:t>Current</w:t>
      </w:r>
      <w:r w:rsidR="00D244FD">
        <w:t xml:space="preserve"> </w:t>
      </w:r>
      <w:r w:rsidR="0077449E">
        <w:t>arrangements, including the organisations undertaking the management and operation of projects or facilities</w:t>
      </w:r>
      <w:r w:rsidR="00D244FD">
        <w:t xml:space="preserve"> </w:t>
      </w:r>
      <w:r w:rsidR="00803534">
        <w:t>are subject to</w:t>
      </w:r>
      <w:r>
        <w:t xml:space="preserve"> future</w:t>
      </w:r>
      <w:r w:rsidR="00803534">
        <w:t xml:space="preserve"> review</w:t>
      </w:r>
      <w:r w:rsidR="0077449E">
        <w:t xml:space="preserve">. </w:t>
      </w:r>
    </w:p>
    <w:p w:rsidR="00C8474D" w:rsidRDefault="00C8474D" w:rsidP="00C8474D">
      <w:r>
        <w:t>While each section contains questions designed to probe the assumptions, findings and proposed future areas for development in the 2016 National Research Infrastructure Roadmap, the following are general questions concerning national research infrastructure more broadly.</w:t>
      </w:r>
    </w:p>
    <w:tbl>
      <w:tblPr>
        <w:tblW w:w="0" w:type="auto"/>
        <w:shd w:val="clear" w:color="auto" w:fill="92CDDC"/>
        <w:tblCellMar>
          <w:left w:w="0" w:type="dxa"/>
          <w:right w:w="0" w:type="dxa"/>
        </w:tblCellMar>
        <w:tblLook w:val="04A0" w:firstRow="1" w:lastRow="0" w:firstColumn="1" w:lastColumn="0" w:noHBand="0" w:noVBand="1"/>
        <w:tblCaption w:val="Table cell containing Questions 12, 13 &amp; 14"/>
        <w:tblDescription w:val="Q12: Are there international or global models that represent best practice for national research infrastructure that could be considered?&#10;Q13: In considering whole of life investment including decommissioning or defunding for national research infrastructure are there examples either domestic or international that should be examined?&#10;Q14: Are there alternative financing options, including international models, that the Government could consider to support investment in national research infrastructure?&#10;"/>
      </w:tblPr>
      <w:tblGrid>
        <w:gridCol w:w="9242"/>
      </w:tblGrid>
      <w:tr w:rsidR="00C8474D" w:rsidTr="00C8474D">
        <w:tc>
          <w:tcPr>
            <w:tcW w:w="9242"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C8474D" w:rsidRDefault="00C8474D" w:rsidP="00676CA8">
            <w:pPr>
              <w:autoSpaceDE w:val="0"/>
              <w:autoSpaceDN w:val="0"/>
              <w:adjustRightInd w:val="0"/>
              <w:spacing w:before="180" w:after="180"/>
              <w:ind w:left="1418" w:hanging="1276"/>
              <w:rPr>
                <w:rFonts w:ascii="Calibri" w:eastAsiaTheme="minorHAnsi" w:hAnsi="Calibri"/>
                <w:b/>
                <w:bCs/>
              </w:rPr>
            </w:pPr>
            <w:r>
              <w:rPr>
                <w:b/>
                <w:bCs/>
              </w:rPr>
              <w:t>Question 1</w:t>
            </w:r>
            <w:r w:rsidR="00DE7B22">
              <w:rPr>
                <w:b/>
                <w:bCs/>
              </w:rPr>
              <w:t>2</w:t>
            </w:r>
            <w:r>
              <w:rPr>
                <w:b/>
                <w:bCs/>
              </w:rPr>
              <w:t>:</w:t>
            </w:r>
            <w:r>
              <w:rPr>
                <w:b/>
                <w:bCs/>
              </w:rPr>
              <w:tab/>
              <w:t>Are there international or global models that represent best practice for national research infrastructure that could be considered?</w:t>
            </w:r>
          </w:p>
          <w:p w:rsidR="00C8474D" w:rsidRDefault="00C8474D" w:rsidP="00676CA8">
            <w:pPr>
              <w:autoSpaceDE w:val="0"/>
              <w:autoSpaceDN w:val="0"/>
              <w:adjustRightInd w:val="0"/>
              <w:spacing w:before="180" w:after="180"/>
              <w:ind w:left="1418" w:hanging="1276"/>
              <w:rPr>
                <w:b/>
                <w:bCs/>
              </w:rPr>
            </w:pPr>
            <w:r>
              <w:rPr>
                <w:b/>
                <w:bCs/>
              </w:rPr>
              <w:t>Question 1</w:t>
            </w:r>
            <w:r w:rsidR="00DE7B22">
              <w:rPr>
                <w:b/>
                <w:bCs/>
              </w:rPr>
              <w:t>3</w:t>
            </w:r>
            <w:r>
              <w:rPr>
                <w:b/>
                <w:bCs/>
              </w:rPr>
              <w:t>:</w:t>
            </w:r>
            <w:r>
              <w:rPr>
                <w:b/>
                <w:bCs/>
              </w:rPr>
              <w:tab/>
              <w:t>In considering whole of life investment including decommissioning or defunding for national research infrastructure are there examples either domestic or international that should be examined?</w:t>
            </w:r>
          </w:p>
          <w:p w:rsidR="00C8474D" w:rsidRDefault="00C8474D" w:rsidP="00676CA8">
            <w:pPr>
              <w:autoSpaceDE w:val="0"/>
              <w:autoSpaceDN w:val="0"/>
              <w:adjustRightInd w:val="0"/>
              <w:spacing w:before="180" w:after="180"/>
              <w:ind w:left="1418" w:hanging="1276"/>
              <w:rPr>
                <w:rFonts w:ascii="Calibri" w:eastAsiaTheme="minorHAnsi" w:hAnsi="Calibri"/>
                <w:b/>
                <w:bCs/>
              </w:rPr>
            </w:pPr>
            <w:r>
              <w:rPr>
                <w:b/>
                <w:bCs/>
              </w:rPr>
              <w:t>Question 1</w:t>
            </w:r>
            <w:r w:rsidR="00DE7B22">
              <w:rPr>
                <w:b/>
                <w:bCs/>
              </w:rPr>
              <w:t>4</w:t>
            </w:r>
            <w:r>
              <w:rPr>
                <w:b/>
                <w:bCs/>
              </w:rPr>
              <w:t>:</w:t>
            </w:r>
            <w:r>
              <w:rPr>
                <w:b/>
                <w:bCs/>
              </w:rPr>
              <w:tab/>
              <w:t xml:space="preserve">Are there alternative financing options, including international </w:t>
            </w:r>
            <w:proofErr w:type="gramStart"/>
            <w:r>
              <w:rPr>
                <w:b/>
                <w:bCs/>
              </w:rPr>
              <w:t>models, that</w:t>
            </w:r>
            <w:proofErr w:type="gramEnd"/>
            <w:r>
              <w:rPr>
                <w:b/>
                <w:bCs/>
              </w:rPr>
              <w:t xml:space="preserve"> the Government could consider to support investment in national research infrastructure?</w:t>
            </w:r>
          </w:p>
        </w:tc>
      </w:tr>
    </w:tbl>
    <w:p w:rsidR="00C8474D" w:rsidRDefault="00C8474D" w:rsidP="00C8474D"/>
    <w:p w:rsidR="00CF5657" w:rsidRDefault="00CF5657" w:rsidP="00C8474D"/>
    <w:p w:rsidR="00C8474D" w:rsidRDefault="00C8474D" w:rsidP="00C8474D">
      <w:r>
        <w:lastRenderedPageBreak/>
        <w:t>The capability areas and supporting national research infrastructure prioritised in both the Exposure Draft and final 2016 Roadmap will largely be dependent on the feedback from the consultations undertaken and submissions received by the EWG as well as ongoing analysis and research undertaken by the Roadmap Taskforce over the coming months.</w:t>
      </w:r>
    </w:p>
    <w:p w:rsidR="00C8474D" w:rsidRDefault="00C8474D" w:rsidP="00D77CC3">
      <w:r>
        <w:t xml:space="preserve">Details on how you can make a submission can be found in </w:t>
      </w:r>
      <w:r w:rsidRPr="003A29AD">
        <w:rPr>
          <w:b/>
        </w:rPr>
        <w:t>Attachment A</w:t>
      </w:r>
      <w:r>
        <w:t xml:space="preserve">. Information on the consultation program for the development of the 2016 National Research Infrastructure Roadmap can be found by visiting </w:t>
      </w:r>
      <w:hyperlink r:id="rId24" w:tooltip="This link will take you to the 2016 National Research Infrastructure Roadmap web page" w:history="1">
        <w:r w:rsidR="00E11E06" w:rsidRPr="00E11E06">
          <w:rPr>
            <w:rStyle w:val="Hyperlink"/>
          </w:rPr>
          <w:t>www.education.gov.au/</w:t>
        </w:r>
        <w:r w:rsidR="00E11E06" w:rsidRPr="00E51D19">
          <w:rPr>
            <w:rStyle w:val="Hyperlink"/>
          </w:rPr>
          <w:t>2016-national-research-infrastructure-roadmap</w:t>
        </w:r>
      </w:hyperlink>
      <w:r>
        <w:t>.</w:t>
      </w:r>
    </w:p>
    <w:p w:rsidR="000E1268" w:rsidRDefault="000E1268">
      <w:pPr>
        <w:rPr>
          <w:rFonts w:ascii="Calibri" w:eastAsiaTheme="majorEastAsia" w:hAnsi="Calibri" w:cstheme="majorBidi"/>
          <w:b/>
          <w:bCs/>
          <w:color w:val="000000" w:themeColor="text1"/>
          <w:sz w:val="36"/>
          <w:szCs w:val="28"/>
        </w:rPr>
      </w:pPr>
      <w:bookmarkStart w:id="13" w:name="_Toc455414551"/>
      <w:bookmarkStart w:id="14" w:name="_Toc449603998"/>
      <w:r w:rsidRPr="00515F25">
        <w:rPr>
          <w:b/>
        </w:rPr>
        <w:br w:type="page"/>
      </w:r>
    </w:p>
    <w:p w:rsidR="00CB541A" w:rsidRDefault="00CB541A" w:rsidP="004F2B82">
      <w:pPr>
        <w:pStyle w:val="Heading1"/>
      </w:pPr>
      <w:bookmarkStart w:id="15" w:name="_Toc456042392"/>
      <w:bookmarkStart w:id="16" w:name="_Toc456449021"/>
      <w:bookmarkStart w:id="17" w:name="_Toc455414552"/>
      <w:bookmarkEnd w:id="13"/>
      <w:bookmarkEnd w:id="14"/>
      <w:r>
        <w:lastRenderedPageBreak/>
        <w:t>Health and Medical Science</w:t>
      </w:r>
      <w:bookmarkEnd w:id="15"/>
      <w:bookmarkEnd w:id="16"/>
    </w:p>
    <w:p w:rsidR="00CB541A" w:rsidRDefault="00CB541A" w:rsidP="00CB541A">
      <w:r>
        <w:t>The Health and Medical Science</w:t>
      </w:r>
      <w:r w:rsidR="00006FE4">
        <w:t xml:space="preserve"> capability</w:t>
      </w:r>
      <w:r>
        <w:t xml:space="preserve"> is </w:t>
      </w:r>
      <w:r w:rsidRPr="003A715A">
        <w:t>characterise</w:t>
      </w:r>
      <w:r>
        <w:t>d</w:t>
      </w:r>
      <w:r w:rsidRPr="003A715A">
        <w:t xml:space="preserve"> </w:t>
      </w:r>
      <w:r>
        <w:t>by</w:t>
      </w:r>
      <w:r w:rsidRPr="003A715A">
        <w:t xml:space="preserve"> </w:t>
      </w:r>
      <w:r>
        <w:t xml:space="preserve">national research infrastructure </w:t>
      </w:r>
      <w:r w:rsidRPr="003A715A">
        <w:t xml:space="preserve">made up of core research infrastructure run </w:t>
      </w:r>
      <w:r>
        <w:t xml:space="preserve">by </w:t>
      </w:r>
      <w:r w:rsidRPr="003A715A">
        <w:t>experts</w:t>
      </w:r>
      <w:r>
        <w:t>,</w:t>
      </w:r>
      <w:r w:rsidRPr="003A715A">
        <w:t xml:space="preserve"> with </w:t>
      </w:r>
      <w:r>
        <w:t xml:space="preserve">a </w:t>
      </w:r>
      <w:r w:rsidRPr="003A715A">
        <w:t>strong collaborative ethos to work with</w:t>
      </w:r>
      <w:r>
        <w:t xml:space="preserve"> </w:t>
      </w:r>
      <w:r w:rsidRPr="003A715A">
        <w:t>public</w:t>
      </w:r>
      <w:r>
        <w:t xml:space="preserve"> </w:t>
      </w:r>
      <w:r w:rsidRPr="003A715A">
        <w:t xml:space="preserve">and private sector researchers. </w:t>
      </w:r>
      <w:r w:rsidR="00502D08">
        <w:t>This</w:t>
      </w:r>
      <w:r w:rsidR="00502D08" w:rsidRPr="003A715A">
        <w:t xml:space="preserve"> </w:t>
      </w:r>
      <w:r w:rsidRPr="003A715A">
        <w:t xml:space="preserve">infrastructure </w:t>
      </w:r>
      <w:r>
        <w:t>links</w:t>
      </w:r>
      <w:r w:rsidRPr="003A715A">
        <w:t xml:space="preserve"> expensive, specialised capabilities </w:t>
      </w:r>
      <w:r>
        <w:t>in</w:t>
      </w:r>
      <w:r w:rsidRPr="003A715A">
        <w:t xml:space="preserve"> a number of co-ordinated national nodes, ensuring that Australian researchers have access</w:t>
      </w:r>
      <w:r>
        <w:t xml:space="preserve"> </w:t>
      </w:r>
      <w:r w:rsidRPr="003A715A">
        <w:t xml:space="preserve">to the latest </w:t>
      </w:r>
      <w:r w:rsidR="00B8339A">
        <w:t xml:space="preserve">research </w:t>
      </w:r>
      <w:r w:rsidRPr="003A715A">
        <w:t xml:space="preserve">infrastructure </w:t>
      </w:r>
      <w:r w:rsidR="00502D08">
        <w:t xml:space="preserve">and importantly </w:t>
      </w:r>
      <w:r w:rsidRPr="003A715A">
        <w:t>to experts in the</w:t>
      </w:r>
      <w:r>
        <w:t>ir</w:t>
      </w:r>
      <w:r w:rsidRPr="003A715A">
        <w:t xml:space="preserve"> </w:t>
      </w:r>
      <w:r>
        <w:t>c</w:t>
      </w:r>
      <w:r w:rsidRPr="003A715A">
        <w:t>apability</w:t>
      </w:r>
      <w:r>
        <w:t xml:space="preserve">. </w:t>
      </w:r>
    </w:p>
    <w:p w:rsidR="00CB541A" w:rsidRDefault="00CB541A" w:rsidP="00CB541A">
      <w:r>
        <w:t xml:space="preserve">The lists of capabilities presented here are neither exhaustive nor prioritised. </w:t>
      </w:r>
    </w:p>
    <w:p w:rsidR="00CB541A" w:rsidRPr="00A82F58" w:rsidRDefault="00CB541A" w:rsidP="00CB541A">
      <w:pPr>
        <w:pStyle w:val="Heading2"/>
        <w:spacing w:before="120"/>
        <w:ind w:left="578" w:hanging="578"/>
      </w:pPr>
      <w:r w:rsidRPr="00A82F58">
        <w:t>Emerging Directions</w:t>
      </w:r>
    </w:p>
    <w:p w:rsidR="00CB541A" w:rsidRPr="004D0132" w:rsidRDefault="00CB541A" w:rsidP="00CB541A">
      <w:pPr>
        <w:pStyle w:val="Heading3"/>
      </w:pPr>
      <w:r w:rsidRPr="004D0132">
        <w:t>Big health data</w:t>
      </w:r>
    </w:p>
    <w:p w:rsidR="00CB541A" w:rsidRDefault="00CB541A" w:rsidP="00CB541A">
      <w:r>
        <w:t>Big data collections are not new – state and federal, institutional and patient</w:t>
      </w:r>
      <w:r w:rsidR="00CF5657">
        <w:t xml:space="preserve"> </w:t>
      </w:r>
      <w:r>
        <w:t>level data holdings are vast. There are also large amounts of data coming from genomics, proteomics and other large</w:t>
      </w:r>
      <w:r w:rsidR="00CF5657">
        <w:t xml:space="preserve"> </w:t>
      </w:r>
      <w:r>
        <w:t>scale analytical technologies (</w:t>
      </w:r>
      <w:r w:rsidR="00282548">
        <w:t>‘</w:t>
      </w:r>
      <w:r>
        <w:t>omics)</w:t>
      </w:r>
      <w:r w:rsidR="00502D08">
        <w:t xml:space="preserve"> that</w:t>
      </w:r>
      <w:r>
        <w:t xml:space="preserve"> </w:t>
      </w:r>
      <w:r w:rsidR="00B8339A">
        <w:t>benefit research</w:t>
      </w:r>
      <w:r>
        <w:t xml:space="preserve">. </w:t>
      </w:r>
      <w:r w:rsidR="00B8339A">
        <w:t>L</w:t>
      </w:r>
      <w:r>
        <w:t>inking these collections in ways that are meaningful to researchers, and can subsequently be applied and translated into trials</w:t>
      </w:r>
      <w:r w:rsidR="00006FE4">
        <w:t>,</w:t>
      </w:r>
      <w:r>
        <w:t xml:space="preserve"> clinical practices</w:t>
      </w:r>
      <w:r w:rsidR="00B8339A">
        <w:t xml:space="preserve"> </w:t>
      </w:r>
      <w:r w:rsidR="00366410">
        <w:t xml:space="preserve">and public health interventions and policies </w:t>
      </w:r>
      <w:r w:rsidR="00B8339A">
        <w:t>will create new opportunities to solve complex health and social problems</w:t>
      </w:r>
      <w:r w:rsidR="008F32C3">
        <w:t>, including Indigenous health outcomes</w:t>
      </w:r>
      <w:r>
        <w:t xml:space="preserve">. </w:t>
      </w:r>
    </w:p>
    <w:p w:rsidR="00CB541A" w:rsidRPr="005C1CDC" w:rsidRDefault="00CB541A" w:rsidP="00CB541A">
      <w:r>
        <w:t>O</w:t>
      </w:r>
      <w:r w:rsidRPr="005C1CDC">
        <w:t xml:space="preserve">pportunities </w:t>
      </w:r>
      <w:r>
        <w:t xml:space="preserve">are especially present </w:t>
      </w:r>
      <w:r w:rsidRPr="005C1CDC">
        <w:t>for disease prevention, design and</w:t>
      </w:r>
      <w:r>
        <w:t xml:space="preserve"> clinical</w:t>
      </w:r>
      <w:r w:rsidRPr="005C1CDC">
        <w:t xml:space="preserve"> trial</w:t>
      </w:r>
      <w:r>
        <w:t>ling</w:t>
      </w:r>
      <w:r w:rsidRPr="005C1CDC">
        <w:t xml:space="preserve"> </w:t>
      </w:r>
      <w:r>
        <w:t xml:space="preserve">of </w:t>
      </w:r>
      <w:r w:rsidRPr="005C1CDC">
        <w:t>treatments and to study the impact of innovation</w:t>
      </w:r>
      <w:r w:rsidR="00502D08">
        <w:t>.</w:t>
      </w:r>
      <w:r>
        <w:t xml:space="preserve"> </w:t>
      </w:r>
      <w:r w:rsidR="00502D08">
        <w:t xml:space="preserve">These opportunities </w:t>
      </w:r>
      <w:r w:rsidR="00366410">
        <w:t xml:space="preserve">can be enhanced by </w:t>
      </w:r>
      <w:r w:rsidRPr="005C1CDC">
        <w:t>link</w:t>
      </w:r>
      <w:r>
        <w:t>ing</w:t>
      </w:r>
      <w:r w:rsidRPr="005C1CDC">
        <w:t xml:space="preserve"> data</w:t>
      </w:r>
      <w:r>
        <w:t>, including in real</w:t>
      </w:r>
      <w:r w:rsidR="00CF5657">
        <w:t xml:space="preserve"> </w:t>
      </w:r>
      <w:r>
        <w:t>time, with data sets outside of health such as justice, education or geospatial</w:t>
      </w:r>
      <w:r w:rsidRPr="005C1CDC">
        <w:t xml:space="preserve">. </w:t>
      </w:r>
      <w:r>
        <w:t>Th</w:t>
      </w:r>
      <w:r w:rsidR="00006FE4">
        <w:t xml:space="preserve">ese powerful linkages </w:t>
      </w:r>
      <w:r>
        <w:t>could be</w:t>
      </w:r>
      <w:r w:rsidRPr="00A82F58">
        <w:t xml:space="preserve"> achieve</w:t>
      </w:r>
      <w:r>
        <w:t xml:space="preserve">d </w:t>
      </w:r>
      <w:r w:rsidRPr="00A82F58">
        <w:t>through a</w:t>
      </w:r>
      <w:r>
        <w:t xml:space="preserve"> national</w:t>
      </w:r>
      <w:r w:rsidRPr="00A82F58">
        <w:t xml:space="preserve"> </w:t>
      </w:r>
      <w:r>
        <w:t>networked approach</w:t>
      </w:r>
      <w:r w:rsidRPr="00A82F58">
        <w:t xml:space="preserve"> </w:t>
      </w:r>
      <w:r>
        <w:t>to</w:t>
      </w:r>
      <w:r w:rsidRPr="00A82F58">
        <w:t xml:space="preserve"> </w:t>
      </w:r>
      <w:r>
        <w:t xml:space="preserve">existing research and </w:t>
      </w:r>
      <w:r w:rsidRPr="00A82F58">
        <w:t>administrative data.</w:t>
      </w:r>
      <w:r w:rsidRPr="005C1CDC">
        <w:t xml:space="preserve"> </w:t>
      </w:r>
    </w:p>
    <w:p w:rsidR="00CB541A" w:rsidRPr="004D0132" w:rsidRDefault="00CB541A" w:rsidP="00CB541A">
      <w:pPr>
        <w:pStyle w:val="Heading3"/>
        <w:rPr>
          <w:b w:val="0"/>
          <w:bCs w:val="0"/>
        </w:rPr>
      </w:pPr>
      <w:r w:rsidRPr="004D0132">
        <w:t xml:space="preserve">Large </w:t>
      </w:r>
      <w:r>
        <w:t>b</w:t>
      </w:r>
      <w:r w:rsidRPr="004D0132">
        <w:t>io models</w:t>
      </w:r>
    </w:p>
    <w:p w:rsidR="00CB541A" w:rsidRDefault="00CB541A" w:rsidP="003A29AD">
      <w:r>
        <w:t>It can be argued that Australia needs a larger capacity for structural biology</w:t>
      </w:r>
      <w:r w:rsidR="00760156">
        <w:t xml:space="preserve"> – </w:t>
      </w:r>
      <w:r w:rsidRPr="00FA5A4B">
        <w:t>a branch of</w:t>
      </w:r>
      <w:r>
        <w:t xml:space="preserve"> science combining</w:t>
      </w:r>
      <w:r w:rsidRPr="00FA5A4B">
        <w:t xml:space="preserve"> molecular biology, biochemistry, and biophysics</w:t>
      </w:r>
      <w:r>
        <w:t>. This expertise is</w:t>
      </w:r>
      <w:r w:rsidRPr="00FA5A4B">
        <w:t xml:space="preserve"> concerned with the molecular structure of biological macromolecules, especially proteins and nucleic acids, how they acquire the structures they have, and how alterations in their structures affect their function</w:t>
      </w:r>
      <w:r>
        <w:t xml:space="preserve">. </w:t>
      </w:r>
    </w:p>
    <w:p w:rsidR="00CB541A" w:rsidRPr="009B395E" w:rsidRDefault="00CB541A" w:rsidP="00CB541A">
      <w:pPr>
        <w:pStyle w:val="Heading3"/>
        <w:rPr>
          <w:rStyle w:val="Strong"/>
        </w:rPr>
      </w:pPr>
      <w:r w:rsidRPr="009B395E">
        <w:rPr>
          <w:rStyle w:val="Strong"/>
          <w:b/>
          <w:bCs/>
        </w:rPr>
        <w:t>Translation</w:t>
      </w:r>
      <w:r w:rsidR="00366410">
        <w:rPr>
          <w:rStyle w:val="Strong"/>
          <w:b/>
          <w:bCs/>
        </w:rPr>
        <w:t xml:space="preserve"> </w:t>
      </w:r>
      <w:r w:rsidR="00366410" w:rsidRPr="009B395E">
        <w:rPr>
          <w:rStyle w:val="Strong"/>
          <w:b/>
          <w:bCs/>
        </w:rPr>
        <w:t>–</w:t>
      </w:r>
      <w:r w:rsidR="00366410">
        <w:rPr>
          <w:rStyle w:val="Strong"/>
          <w:b/>
          <w:bCs/>
        </w:rPr>
        <w:t xml:space="preserve"> </w:t>
      </w:r>
      <w:r>
        <w:rPr>
          <w:rStyle w:val="Strong"/>
          <w:b/>
          <w:bCs/>
        </w:rPr>
        <w:t>o</w:t>
      </w:r>
      <w:r w:rsidRPr="009B395E">
        <w:rPr>
          <w:rStyle w:val="Strong"/>
          <w:b/>
          <w:bCs/>
        </w:rPr>
        <w:t xml:space="preserve">pportunities for </w:t>
      </w:r>
      <w:r>
        <w:rPr>
          <w:rStyle w:val="Strong"/>
          <w:b/>
          <w:bCs/>
        </w:rPr>
        <w:t>biopharmaceutical and</w:t>
      </w:r>
      <w:r w:rsidRPr="009B395E">
        <w:rPr>
          <w:rStyle w:val="Strong"/>
          <w:b/>
          <w:bCs/>
        </w:rPr>
        <w:t xml:space="preserve"> other </w:t>
      </w:r>
      <w:r>
        <w:rPr>
          <w:rStyle w:val="Strong"/>
          <w:b/>
          <w:bCs/>
        </w:rPr>
        <w:t>novel</w:t>
      </w:r>
      <w:r w:rsidRPr="009B395E">
        <w:rPr>
          <w:rStyle w:val="Strong"/>
          <w:b/>
          <w:bCs/>
        </w:rPr>
        <w:t xml:space="preserve"> therapies</w:t>
      </w:r>
    </w:p>
    <w:p w:rsidR="00CB541A" w:rsidRDefault="00CB541A" w:rsidP="00CB541A">
      <w:r>
        <w:t xml:space="preserve">There is an increasing </w:t>
      </w:r>
      <w:r w:rsidR="00282548">
        <w:t xml:space="preserve">determination </w:t>
      </w:r>
      <w:r>
        <w:t xml:space="preserve">to translate research outputs such as novel molecular candidates or clinical observations </w:t>
      </w:r>
      <w:r w:rsidR="00366410">
        <w:t xml:space="preserve">into health and commercial outcomes </w:t>
      </w:r>
      <w:r>
        <w:t>through animal models, proof-of-concept</w:t>
      </w:r>
      <w:r w:rsidR="00366410">
        <w:t xml:space="preserve"> studies</w:t>
      </w:r>
      <w:r>
        <w:t xml:space="preserve">, computational models and clinical trials. </w:t>
      </w:r>
    </w:p>
    <w:p w:rsidR="00CB541A" w:rsidRPr="009B395E" w:rsidRDefault="00CB541A" w:rsidP="00CB541A">
      <w:pPr>
        <w:pStyle w:val="Heading3"/>
        <w:rPr>
          <w:rStyle w:val="Strong"/>
        </w:rPr>
      </w:pPr>
      <w:r w:rsidRPr="009B395E">
        <w:rPr>
          <w:rStyle w:val="Strong"/>
          <w:b/>
          <w:bCs/>
        </w:rPr>
        <w:t>Imaging – tracer development</w:t>
      </w:r>
    </w:p>
    <w:p w:rsidR="00CB541A" w:rsidRDefault="00CB541A" w:rsidP="00CB541A">
      <w:pPr>
        <w:rPr>
          <w:lang w:val="en"/>
        </w:rPr>
      </w:pPr>
      <w:r>
        <w:rPr>
          <w:lang w:val="en"/>
        </w:rPr>
        <w:t xml:space="preserve">Positron Emission Tomography (PET) using radioactive tracers has become a key tool for functional biomedical imaging over the past decade. PET is an important research tool to map human brain and heart function, and to support drug development. Its future evolution is dependent on </w:t>
      </w:r>
      <w:r>
        <w:t>development of new radio-nucleotide tracers to maximise new developments in PET scanning.</w:t>
      </w:r>
      <w:r>
        <w:rPr>
          <w:lang w:val="en"/>
        </w:rPr>
        <w:t xml:space="preserve"> </w:t>
      </w:r>
    </w:p>
    <w:p w:rsidR="00CB541A" w:rsidRDefault="00CB541A" w:rsidP="00CB541A">
      <w:r>
        <w:rPr>
          <w:lang w:val="en"/>
        </w:rPr>
        <w:t xml:space="preserve">Imaging technologies beyond PET are covered in the </w:t>
      </w:r>
      <w:r w:rsidR="00CF5657">
        <w:rPr>
          <w:lang w:val="en"/>
        </w:rPr>
        <w:t xml:space="preserve">Chapter 7 </w:t>
      </w:r>
      <w:r>
        <w:rPr>
          <w:lang w:val="en"/>
        </w:rPr>
        <w:t xml:space="preserve">Advanced Physics, Chemistry, </w:t>
      </w:r>
      <w:r w:rsidR="004715B8">
        <w:rPr>
          <w:lang w:val="en"/>
        </w:rPr>
        <w:t xml:space="preserve">Mathematics and </w:t>
      </w:r>
      <w:r>
        <w:rPr>
          <w:lang w:val="en"/>
        </w:rPr>
        <w:t>Materials.</w:t>
      </w:r>
    </w:p>
    <w:p w:rsidR="00282548" w:rsidRPr="00676CA8" w:rsidRDefault="00282548" w:rsidP="00676CA8">
      <w:pPr>
        <w:pStyle w:val="Heading3"/>
        <w:rPr>
          <w:rStyle w:val="Strong"/>
        </w:rPr>
      </w:pPr>
      <w:r w:rsidRPr="00676CA8">
        <w:rPr>
          <w:rStyle w:val="Strong"/>
          <w:b/>
          <w:bCs/>
        </w:rPr>
        <w:lastRenderedPageBreak/>
        <w:t>Research quality management system</w:t>
      </w:r>
    </w:p>
    <w:p w:rsidR="00CB541A" w:rsidRDefault="00CB541A" w:rsidP="003A29AD">
      <w:r w:rsidRPr="00A351DE">
        <w:t xml:space="preserve">All of the emerging </w:t>
      </w:r>
      <w:r>
        <w:t>capability</w:t>
      </w:r>
      <w:r w:rsidRPr="00A351DE">
        <w:t xml:space="preserve"> directions would benefit from the implementation of an Australia-wide research quality management</w:t>
      </w:r>
      <w:r>
        <w:t xml:space="preserve"> system</w:t>
      </w:r>
      <w:r w:rsidRPr="00A351DE">
        <w:t xml:space="preserve"> (</w:t>
      </w:r>
      <w:proofErr w:type="spellStart"/>
      <w:r w:rsidRPr="00A351DE">
        <w:t>rQMS</w:t>
      </w:r>
      <w:proofErr w:type="spellEnd"/>
      <w:r w:rsidRPr="00A351DE">
        <w:t>) infrastructure</w:t>
      </w:r>
      <w:r>
        <w:t>,</w:t>
      </w:r>
      <w:r w:rsidRPr="00A351DE">
        <w:t xml:space="preserve"> which aligns academic research with </w:t>
      </w:r>
      <w:r w:rsidR="00502D08">
        <w:t xml:space="preserve">required </w:t>
      </w:r>
      <w:r w:rsidRPr="00A351DE">
        <w:t>industry standards. It would provide international</w:t>
      </w:r>
      <w:r>
        <w:t xml:space="preserve"> medical and research</w:t>
      </w:r>
      <w:r w:rsidRPr="00A351DE">
        <w:t xml:space="preserve"> industry standard</w:t>
      </w:r>
      <w:r>
        <w:t>s</w:t>
      </w:r>
      <w:r w:rsidRPr="00A351DE">
        <w:t xml:space="preserve"> training for students and researchers and build reputational value and quality for the Australian research product for end-users.</w:t>
      </w:r>
    </w:p>
    <w:p w:rsidR="00CB541A" w:rsidRDefault="00CB541A" w:rsidP="00CB541A">
      <w:pPr>
        <w:pStyle w:val="Heading2"/>
        <w:spacing w:before="120"/>
        <w:ind w:left="578" w:hanging="578"/>
      </w:pPr>
      <w:r>
        <w:t>Current Capability and Emerging Capability Needs</w:t>
      </w:r>
    </w:p>
    <w:p w:rsidR="00CB541A" w:rsidRPr="004D0132" w:rsidRDefault="00CB541A" w:rsidP="00CB541A">
      <w:pPr>
        <w:pStyle w:val="Heading3"/>
        <w:rPr>
          <w:b w:val="0"/>
          <w:bCs w:val="0"/>
        </w:rPr>
      </w:pPr>
      <w:r w:rsidRPr="004D0132">
        <w:t>Biologics capabilities</w:t>
      </w:r>
    </w:p>
    <w:p w:rsidR="00B8339A" w:rsidRDefault="00CB541A" w:rsidP="00CB541A">
      <w:pPr>
        <w:autoSpaceDE w:val="0"/>
        <w:autoSpaceDN w:val="0"/>
        <w:adjustRightInd w:val="0"/>
        <w:ind w:right="-188"/>
      </w:pPr>
      <w:r>
        <w:t>Biologics</w:t>
      </w:r>
      <w:r w:rsidR="00B8339A">
        <w:t>,</w:t>
      </w:r>
      <w:r>
        <w:t xml:space="preserve"> al</w:t>
      </w:r>
      <w:r w:rsidR="00B8339A">
        <w:t>so known as biopharmaceuticals,</w:t>
      </w:r>
      <w:r>
        <w:t xml:space="preserve"> encompass a range of compounds including recombinant DNA and protein based drugs and vaccines. Biologics as a class of human therapeutics have risen to prominence over the last few decades following </w:t>
      </w:r>
      <w:r w:rsidR="00502D08">
        <w:t xml:space="preserve">the </w:t>
      </w:r>
      <w:r>
        <w:t xml:space="preserve">development </w:t>
      </w:r>
      <w:r w:rsidR="00502D08">
        <w:t>of</w:t>
      </w:r>
      <w:r>
        <w:t xml:space="preserve"> recombinant DNA </w:t>
      </w:r>
      <w:r w:rsidR="00961E48">
        <w:t xml:space="preserve">and the </w:t>
      </w:r>
      <w:r>
        <w:t>technolog</w:t>
      </w:r>
      <w:r w:rsidR="00961E48">
        <w:t>ies</w:t>
      </w:r>
      <w:r>
        <w:t xml:space="preserve"> that allow the production</w:t>
      </w:r>
      <w:r w:rsidR="00760156">
        <w:t xml:space="preserve"> at large scale by host cells of large</w:t>
      </w:r>
      <w:r>
        <w:t xml:space="preserve"> </w:t>
      </w:r>
      <w:r w:rsidR="00961E48">
        <w:t>protein molecules</w:t>
      </w:r>
      <w:r w:rsidR="00760156">
        <w:t>.</w:t>
      </w:r>
    </w:p>
    <w:p w:rsidR="00CB541A" w:rsidRDefault="00CB541A" w:rsidP="00CB541A">
      <w:pPr>
        <w:autoSpaceDE w:val="0"/>
        <w:autoSpaceDN w:val="0"/>
        <w:adjustRightInd w:val="0"/>
        <w:ind w:right="-188"/>
      </w:pPr>
      <w:r>
        <w:t xml:space="preserve">Examples of biologics include </w:t>
      </w:r>
      <w:r w:rsidR="00961E48">
        <w:t xml:space="preserve">protein replacement therapies and </w:t>
      </w:r>
      <w:r>
        <w:t xml:space="preserve">the humanised monoclonal antibodies, over fifty of which have been approved for the treatment of multiple diseases, principally cancer and inflammatory diseases. </w:t>
      </w:r>
      <w:r w:rsidRPr="00272E26">
        <w:t xml:space="preserve">The success of the biologics as a class of therapeutics is such that six out of the world’s </w:t>
      </w:r>
      <w:r w:rsidR="004715B8">
        <w:t>ten</w:t>
      </w:r>
      <w:r w:rsidR="004715B8" w:rsidRPr="00272E26">
        <w:t xml:space="preserve"> </w:t>
      </w:r>
      <w:r w:rsidRPr="00272E26">
        <w:t xml:space="preserve">top selling </w:t>
      </w:r>
      <w:r w:rsidR="00961E48">
        <w:t>pharmaceuticals</w:t>
      </w:r>
      <w:r w:rsidR="00961E48" w:rsidRPr="00272E26">
        <w:t xml:space="preserve"> </w:t>
      </w:r>
      <w:r w:rsidRPr="00272E26">
        <w:t xml:space="preserve">are now biologics, </w:t>
      </w:r>
      <w:r w:rsidR="00961E48">
        <w:t xml:space="preserve">many of them </w:t>
      </w:r>
      <w:r w:rsidRPr="00272E26">
        <w:t>being monoclonal antibodies</w:t>
      </w:r>
      <w:r>
        <w:t xml:space="preserve">. </w:t>
      </w:r>
    </w:p>
    <w:p w:rsidR="00CB541A" w:rsidRDefault="00CB541A" w:rsidP="00CB541A">
      <w:pPr>
        <w:autoSpaceDE w:val="0"/>
        <w:autoSpaceDN w:val="0"/>
        <w:adjustRightInd w:val="0"/>
        <w:ind w:right="-188"/>
      </w:pPr>
      <w:r>
        <w:t>There is a need to enhance research infrastructure capabilit</w:t>
      </w:r>
      <w:r w:rsidR="00B8339A">
        <w:t>y</w:t>
      </w:r>
      <w:r>
        <w:t xml:space="preserve"> in a focussed and coordinated national effort to </w:t>
      </w:r>
      <w:r w:rsidR="00961E48">
        <w:t>translate</w:t>
      </w:r>
      <w:r>
        <w:t xml:space="preserve"> high quality research into the clinic. The infrastructure capability needed </w:t>
      </w:r>
      <w:r w:rsidR="00961E48">
        <w:t xml:space="preserve">includes </w:t>
      </w:r>
      <w:r>
        <w:t xml:space="preserve">enhanced production of </w:t>
      </w:r>
      <w:r w:rsidRPr="00D62152">
        <w:t>high-quality recombinant proteins for pre-clinical development</w:t>
      </w:r>
      <w:r w:rsidR="00760156">
        <w:t xml:space="preserve"> studies</w:t>
      </w:r>
      <w:r w:rsidR="00961E48">
        <w:t>.</w:t>
      </w:r>
      <w:r w:rsidRPr="00D62152">
        <w:t xml:space="preserve"> </w:t>
      </w:r>
      <w:r w:rsidR="00961E48">
        <w:t>These s</w:t>
      </w:r>
      <w:r w:rsidR="00961E48" w:rsidRPr="00D62152">
        <w:t xml:space="preserve">tudies </w:t>
      </w:r>
      <w:r w:rsidRPr="00D62152">
        <w:t xml:space="preserve">include proof-of-concept evaluation of therapeutic proteins, </w:t>
      </w:r>
      <w:r>
        <w:t xml:space="preserve">antibodies and </w:t>
      </w:r>
      <w:r w:rsidRPr="00D62152">
        <w:t xml:space="preserve">vaccines and </w:t>
      </w:r>
      <w:r>
        <w:t xml:space="preserve">the associated </w:t>
      </w:r>
      <w:r w:rsidRPr="00D62152">
        <w:t>validation</w:t>
      </w:r>
      <w:r w:rsidR="00961E48">
        <w:t xml:space="preserve"> of candidate products</w:t>
      </w:r>
      <w:r>
        <w:t>. H</w:t>
      </w:r>
      <w:r w:rsidRPr="00D62152">
        <w:t>igh-quality recombinant proteins are essential for many other spheres of biomedical</w:t>
      </w:r>
      <w:r>
        <w:t xml:space="preserve"> and biochemical</w:t>
      </w:r>
      <w:r w:rsidRPr="00D62152">
        <w:t xml:space="preserve"> research</w:t>
      </w:r>
      <w:r>
        <w:t>, including structural biology, targeting anti</w:t>
      </w:r>
      <w:r w:rsidR="00384161">
        <w:t>-</w:t>
      </w:r>
      <w:r>
        <w:t>tumour particles for precision medicine,</w:t>
      </w:r>
      <w:r w:rsidR="00A255E5">
        <w:t xml:space="preserve"> </w:t>
      </w:r>
      <w:r>
        <w:t xml:space="preserve">analytical development and in the agricultural biotechnology and biosecurity areas. </w:t>
      </w:r>
    </w:p>
    <w:p w:rsidR="00CB541A" w:rsidRPr="009B395E" w:rsidRDefault="00CB541A" w:rsidP="00CB541A">
      <w:pPr>
        <w:pStyle w:val="Heading3"/>
        <w:rPr>
          <w:rStyle w:val="Strong"/>
        </w:rPr>
      </w:pPr>
      <w:r>
        <w:rPr>
          <w:rStyle w:val="Strong"/>
          <w:b/>
          <w:bCs/>
        </w:rPr>
        <w:t>Novel</w:t>
      </w:r>
      <w:r w:rsidRPr="009B395E">
        <w:rPr>
          <w:rStyle w:val="Strong"/>
          <w:b/>
          <w:bCs/>
        </w:rPr>
        <w:t xml:space="preserve"> therapy capabilities</w:t>
      </w:r>
    </w:p>
    <w:p w:rsidR="00CB541A" w:rsidRDefault="00CB541A" w:rsidP="00CB541A">
      <w:pPr>
        <w:autoSpaceDE w:val="0"/>
        <w:autoSpaceDN w:val="0"/>
        <w:adjustRightInd w:val="0"/>
      </w:pPr>
      <w:r w:rsidRPr="00BD4E75">
        <w:t>Using human c</w:t>
      </w:r>
      <w:r>
        <w:t xml:space="preserve">ells as therapeutic agents is a rapidly growing field both in Australia and </w:t>
      </w:r>
      <w:r w:rsidR="00B8339A">
        <w:t>internationally</w:t>
      </w:r>
      <w:r>
        <w:t>.</w:t>
      </w:r>
      <w:r w:rsidR="00A255E5">
        <w:t xml:space="preserve"> </w:t>
      </w:r>
      <w:r>
        <w:t>It is a field in which</w:t>
      </w:r>
      <w:r w:rsidR="00A255E5">
        <w:t xml:space="preserve"> </w:t>
      </w:r>
      <w:r>
        <w:t>Australia has some leading researchers who are highly regarded</w:t>
      </w:r>
      <w:r w:rsidR="0053475C">
        <w:t>.</w:t>
      </w:r>
      <w:r w:rsidR="00A255E5">
        <w:t xml:space="preserve"> </w:t>
      </w:r>
      <w:r>
        <w:t xml:space="preserve">One particularly exciting area is immunotherapy, a type of cancer treatment designed to boost the body’s natural defences to fight cancer. Immunotherapy can </w:t>
      </w:r>
      <w:r w:rsidR="00961E48">
        <w:t xml:space="preserve">use </w:t>
      </w:r>
      <w:r>
        <w:t>biologics as targeted therapy to block an abnormal protein in a cancer cell or to attach to a specific protein on the cancer cell, flagging the cell for removal by the body’s immune system.</w:t>
      </w:r>
    </w:p>
    <w:p w:rsidR="00CB541A" w:rsidRDefault="00CB541A" w:rsidP="00CB541A">
      <w:pPr>
        <w:autoSpaceDE w:val="0"/>
        <w:autoSpaceDN w:val="0"/>
        <w:adjustRightInd w:val="0"/>
      </w:pPr>
      <w:r>
        <w:t xml:space="preserve">Another rapidly developing field of immunotherapy </w:t>
      </w:r>
      <w:r w:rsidR="00961E48">
        <w:t xml:space="preserve">is known as Chimeric Antigen Receptor (CAR-T) cell therapy. This technique </w:t>
      </w:r>
      <w:r>
        <w:t>involves collecting T cells from a patient</w:t>
      </w:r>
      <w:r w:rsidR="00961E48">
        <w:t xml:space="preserve"> and</w:t>
      </w:r>
      <w:r>
        <w:t xml:space="preserve"> then changing the T cells in the laboratory so that they express a receptor which allows them to recognise the cancer cells. The</w:t>
      </w:r>
      <w:r w:rsidR="00A255E5">
        <w:t xml:space="preserve"> </w:t>
      </w:r>
      <w:r>
        <w:t>modified T cells are</w:t>
      </w:r>
      <w:r w:rsidR="00A255E5">
        <w:t xml:space="preserve"> </w:t>
      </w:r>
      <w:r>
        <w:t>grown in the laboratory and then injected back into the patient.</w:t>
      </w:r>
    </w:p>
    <w:p w:rsidR="00B56A4F" w:rsidRDefault="00B56A4F" w:rsidP="00B56A4F">
      <w:pPr>
        <w:spacing w:before="120"/>
        <w:ind w:right="-330"/>
      </w:pPr>
      <w:r w:rsidRPr="00B22464">
        <w:t>Microparticles, or exosomes, represent an exciting new class of mammalian cell product</w:t>
      </w:r>
      <w:r>
        <w:t xml:space="preserve">, </w:t>
      </w:r>
      <w:r w:rsidRPr="00B22464">
        <w:t>contain</w:t>
      </w:r>
      <w:r>
        <w:t>ing</w:t>
      </w:r>
      <w:r w:rsidRPr="00B22464">
        <w:t xml:space="preserve"> a number of molecules including microRNA that can mediate inter-cellular communication</w:t>
      </w:r>
      <w:r>
        <w:t xml:space="preserve">. As a very new </w:t>
      </w:r>
      <w:r>
        <w:lastRenderedPageBreak/>
        <w:t>technology</w:t>
      </w:r>
      <w:r>
        <w:rPr>
          <w:rStyle w:val="FootnoteReference"/>
        </w:rPr>
        <w:footnoteReference w:id="9"/>
      </w:r>
      <w:r>
        <w:t>, Australia lacks the capability</w:t>
      </w:r>
      <w:r w:rsidRPr="00B22464">
        <w:t xml:space="preserve"> to develop the production processes for such particles and to produce them at scale.</w:t>
      </w:r>
      <w:r>
        <w:t xml:space="preserve"> </w:t>
      </w:r>
    </w:p>
    <w:p w:rsidR="00CB541A" w:rsidRDefault="00CB541A" w:rsidP="00CB541A">
      <w:pPr>
        <w:autoSpaceDE w:val="0"/>
        <w:autoSpaceDN w:val="0"/>
        <w:adjustRightInd w:val="0"/>
      </w:pPr>
      <w:r>
        <w:t>There has been some</w:t>
      </w:r>
      <w:r w:rsidR="00B8339A">
        <w:t xml:space="preserve"> fragmented and uncoordinated</w:t>
      </w:r>
      <w:r>
        <w:t xml:space="preserve"> research infrastructure support in Australia</w:t>
      </w:r>
      <w:r w:rsidR="00A255E5">
        <w:t xml:space="preserve"> </w:t>
      </w:r>
      <w:r>
        <w:t xml:space="preserve">for a range of cell </w:t>
      </w:r>
      <w:r w:rsidR="00B56A4F">
        <w:t>approaches</w:t>
      </w:r>
      <w:r>
        <w:t>, including CAR-T and other</w:t>
      </w:r>
      <w:r w:rsidR="00A255E5">
        <w:t xml:space="preserve"> </w:t>
      </w:r>
      <w:r>
        <w:t>T cell therapies.</w:t>
      </w:r>
      <w:r w:rsidR="00A255E5">
        <w:t xml:space="preserve"> </w:t>
      </w:r>
      <w:r>
        <w:t>There is a</w:t>
      </w:r>
      <w:r w:rsidR="00B56A4F">
        <w:t xml:space="preserve"> clear </w:t>
      </w:r>
      <w:r>
        <w:t xml:space="preserve">need for an integrated national program of research infrastructure </w:t>
      </w:r>
      <w:r w:rsidR="00B8339A">
        <w:t>to</w:t>
      </w:r>
      <w:r>
        <w:t xml:space="preserve"> provide the </w:t>
      </w:r>
      <w:r w:rsidR="00D53FD0">
        <w:t>technical</w:t>
      </w:r>
      <w:r>
        <w:t xml:space="preserve"> skills needed to </w:t>
      </w:r>
      <w:r w:rsidR="00B56A4F">
        <w:t xml:space="preserve">translate novel </w:t>
      </w:r>
      <w:r>
        <w:t>research developments to the clinic. Th</w:t>
      </w:r>
      <w:r w:rsidR="00B56A4F">
        <w:t>is</w:t>
      </w:r>
      <w:r>
        <w:t xml:space="preserve"> capability need to </w:t>
      </w:r>
      <w:proofErr w:type="gramStart"/>
      <w:r w:rsidR="00B56A4F">
        <w:t>include</w:t>
      </w:r>
      <w:r w:rsidR="00887B1E">
        <w:t>s</w:t>
      </w:r>
      <w:proofErr w:type="gramEnd"/>
      <w:r>
        <w:t xml:space="preserve"> developing </w:t>
      </w:r>
      <w:r w:rsidR="00E23114">
        <w:t>scalable</w:t>
      </w:r>
      <w:r>
        <w:t xml:space="preserve"> production processes acceptable to regulatory authorities.</w:t>
      </w:r>
      <w:r w:rsidR="00A255E5">
        <w:t xml:space="preserve"> </w:t>
      </w:r>
    </w:p>
    <w:p w:rsidR="00CB541A" w:rsidRPr="009B395E" w:rsidRDefault="00CB541A" w:rsidP="00CB541A">
      <w:pPr>
        <w:pStyle w:val="Heading3"/>
        <w:rPr>
          <w:rStyle w:val="Strong"/>
        </w:rPr>
      </w:pPr>
      <w:r w:rsidRPr="009B395E">
        <w:rPr>
          <w:rStyle w:val="Strong"/>
          <w:b/>
          <w:bCs/>
        </w:rPr>
        <w:t>‘Omics</w:t>
      </w:r>
    </w:p>
    <w:p w:rsidR="00CB541A" w:rsidRDefault="00CB541A" w:rsidP="003A29AD">
      <w:r w:rsidRPr="00257F9B">
        <w:t xml:space="preserve">With </w:t>
      </w:r>
      <w:r>
        <w:t xml:space="preserve">new knowledge of the genetic basis of disease and rapidly declining </w:t>
      </w:r>
      <w:r w:rsidRPr="00257F9B">
        <w:t>cost</w:t>
      </w:r>
      <w:r>
        <w:t>s</w:t>
      </w:r>
      <w:r w:rsidRPr="00257F9B">
        <w:t xml:space="preserve"> of DNA sequencing</w:t>
      </w:r>
      <w:r>
        <w:t>,</w:t>
      </w:r>
      <w:r w:rsidRPr="00257F9B">
        <w:t xml:space="preserve"> the use of patients</w:t>
      </w:r>
      <w:r>
        <w:t>’ own genome sequence data to guide</w:t>
      </w:r>
      <w:r w:rsidRPr="00257F9B">
        <w:t xml:space="preserve"> medical treatment</w:t>
      </w:r>
      <w:r>
        <w:t xml:space="preserve"> and support translational research is becoming a reality.</w:t>
      </w:r>
    </w:p>
    <w:p w:rsidR="00CB541A" w:rsidRPr="009B395E" w:rsidRDefault="00CB541A" w:rsidP="00CB541A">
      <w:pPr>
        <w:pStyle w:val="Heading3"/>
        <w:rPr>
          <w:rStyle w:val="Strong"/>
        </w:rPr>
      </w:pPr>
      <w:proofErr w:type="spellStart"/>
      <w:r w:rsidRPr="009B395E">
        <w:rPr>
          <w:rStyle w:val="Strong"/>
          <w:b/>
          <w:bCs/>
        </w:rPr>
        <w:t>Biobanking</w:t>
      </w:r>
      <w:proofErr w:type="spellEnd"/>
      <w:r w:rsidRPr="009B395E">
        <w:rPr>
          <w:rStyle w:val="Strong"/>
          <w:b/>
          <w:bCs/>
        </w:rPr>
        <w:t xml:space="preserve"> and </w:t>
      </w:r>
      <w:r>
        <w:rPr>
          <w:rStyle w:val="Strong"/>
          <w:b/>
          <w:bCs/>
        </w:rPr>
        <w:t>p</w:t>
      </w:r>
      <w:r w:rsidRPr="009B395E">
        <w:rPr>
          <w:rStyle w:val="Strong"/>
          <w:b/>
          <w:bCs/>
        </w:rPr>
        <w:t xml:space="preserve">opulation </w:t>
      </w:r>
      <w:r>
        <w:rPr>
          <w:rStyle w:val="Strong"/>
          <w:b/>
          <w:bCs/>
        </w:rPr>
        <w:t>g</w:t>
      </w:r>
      <w:r w:rsidRPr="009B395E">
        <w:rPr>
          <w:rStyle w:val="Strong"/>
          <w:b/>
          <w:bCs/>
        </w:rPr>
        <w:t>enomics</w:t>
      </w:r>
    </w:p>
    <w:p w:rsidR="00CB541A" w:rsidRPr="00F843C9" w:rsidRDefault="00CB541A" w:rsidP="003A29AD">
      <w:proofErr w:type="gramStart"/>
      <w:r>
        <w:t xml:space="preserve">In addition to high quality national infrastructure </w:t>
      </w:r>
      <w:r w:rsidR="00366410">
        <w:t xml:space="preserve">to </w:t>
      </w:r>
      <w:r w:rsidR="00887B1E">
        <w:t>support</w:t>
      </w:r>
      <w:r w:rsidR="00366410">
        <w:t xml:space="preserve"> </w:t>
      </w:r>
      <w:r>
        <w:t xml:space="preserve">‘omics, and the ability to collect, store and analyse high quality clinically </w:t>
      </w:r>
      <w:r w:rsidR="00B56A4F">
        <w:t xml:space="preserve">useful </w:t>
      </w:r>
      <w:r>
        <w:t>data, high quality standardised tissue collection and banking must be addressed.</w:t>
      </w:r>
      <w:proofErr w:type="gramEnd"/>
      <w:r>
        <w:t xml:space="preserve"> A significant improvement in research </w:t>
      </w:r>
      <w:r w:rsidR="00B56A4F">
        <w:t xml:space="preserve">effectiveness </w:t>
      </w:r>
      <w:r>
        <w:t xml:space="preserve">could be achieved by integrating existing tissue biobanks into collaborative networks linked to the research community. </w:t>
      </w:r>
      <w:r w:rsidR="00B56A4F">
        <w:t xml:space="preserve">There is a need to consolidate </w:t>
      </w:r>
      <w:r>
        <w:t>existing efforts</w:t>
      </w:r>
      <w:r w:rsidR="00B56A4F">
        <w:t xml:space="preserve"> and</w:t>
      </w:r>
      <w:r>
        <w:t xml:space="preserve"> creat</w:t>
      </w:r>
      <w:r w:rsidR="00B56A4F">
        <w:t>e</w:t>
      </w:r>
      <w:r>
        <w:t xml:space="preserve"> virtual networks with stable national funding</w:t>
      </w:r>
      <w:r w:rsidR="00B56A4F">
        <w:t>.</w:t>
      </w:r>
      <w:r>
        <w:t xml:space="preserve"> </w:t>
      </w:r>
      <w:r w:rsidR="00B56A4F">
        <w:t xml:space="preserve">This would be </w:t>
      </w:r>
      <w:r>
        <w:t>target</w:t>
      </w:r>
      <w:r w:rsidR="00B56A4F">
        <w:t>ed at the</w:t>
      </w:r>
      <w:r>
        <w:t xml:space="preserve"> collecti</w:t>
      </w:r>
      <w:r w:rsidR="00B56A4F">
        <w:t>on of</w:t>
      </w:r>
      <w:r>
        <w:t xml:space="preserve"> samples of greatest research utility, including samples from clinical trials, rare disease cohorts and genetic syndromes</w:t>
      </w:r>
      <w:r w:rsidR="00B56A4F">
        <w:t>, and</w:t>
      </w:r>
      <w:r>
        <w:t xml:space="preserve"> </w:t>
      </w:r>
      <w:r w:rsidR="00B56A4F">
        <w:t xml:space="preserve">could </w:t>
      </w:r>
      <w:r w:rsidR="00B8339A">
        <w:t xml:space="preserve">achieve </w:t>
      </w:r>
      <w:r>
        <w:t xml:space="preserve">a significant step change in managing patients with cancers of breast, colon, blood and the brain. It will also </w:t>
      </w:r>
      <w:r w:rsidR="00B56A4F">
        <w:t xml:space="preserve">have an </w:t>
      </w:r>
      <w:r>
        <w:t>impact</w:t>
      </w:r>
      <w:r w:rsidR="00B56A4F">
        <w:t xml:space="preserve"> on the</w:t>
      </w:r>
      <w:r>
        <w:t xml:space="preserve"> management of chronic debilitating diseases such as Alzheimer’s and Parkinson’s and inherited cardiac disease. </w:t>
      </w:r>
    </w:p>
    <w:p w:rsidR="00CB541A" w:rsidRDefault="00CB541A" w:rsidP="00CB541A">
      <w:pPr>
        <w:autoSpaceDE w:val="0"/>
        <w:autoSpaceDN w:val="0"/>
        <w:adjustRightInd w:val="0"/>
      </w:pPr>
      <w:r w:rsidRPr="00F843C9">
        <w:t xml:space="preserve">Population genomics </w:t>
      </w:r>
      <w:r w:rsidR="00B56A4F">
        <w:t>enables</w:t>
      </w:r>
      <w:r w:rsidR="00B56A4F" w:rsidRPr="00F843C9">
        <w:t xml:space="preserve"> </w:t>
      </w:r>
      <w:r w:rsidRPr="00F843C9">
        <w:t>ground</w:t>
      </w:r>
      <w:r w:rsidR="00887B1E">
        <w:t xml:space="preserve"> </w:t>
      </w:r>
      <w:r w:rsidRPr="00F843C9">
        <w:t xml:space="preserve">breaking research </w:t>
      </w:r>
      <w:r>
        <w:t>into the genetic</w:t>
      </w:r>
      <w:r w:rsidRPr="00F843C9">
        <w:t xml:space="preserve"> causes of disease, their population impacts and possibilities for reducing disease and improving health</w:t>
      </w:r>
      <w:r>
        <w:t xml:space="preserve"> outcomes</w:t>
      </w:r>
      <w:r w:rsidRPr="00F843C9">
        <w:t xml:space="preserve"> </w:t>
      </w:r>
      <w:r>
        <w:t>through</w:t>
      </w:r>
      <w:r w:rsidRPr="00F843C9">
        <w:t xml:space="preserve"> risk prediction, prevention, early diagnosis and more effective and better</w:t>
      </w:r>
      <w:r w:rsidR="00887B1E">
        <w:t xml:space="preserve"> </w:t>
      </w:r>
      <w:r w:rsidRPr="00F843C9">
        <w:t>targeted</w:t>
      </w:r>
      <w:r w:rsidR="005F7C4B">
        <w:t xml:space="preserve"> individual</w:t>
      </w:r>
      <w:r w:rsidRPr="00F843C9">
        <w:t xml:space="preserve"> therapy</w:t>
      </w:r>
      <w:r w:rsidR="005F7C4B">
        <w:t xml:space="preserve"> for patients</w:t>
      </w:r>
      <w:r w:rsidRPr="00F843C9">
        <w:t xml:space="preserve">. By combining collections of </w:t>
      </w:r>
      <w:r>
        <w:t xml:space="preserve">de-identified </w:t>
      </w:r>
      <w:r w:rsidRPr="00F843C9">
        <w:t>genomic and phenomic information these opportunities</w:t>
      </w:r>
      <w:r>
        <w:t xml:space="preserve"> are greatly enhanced</w:t>
      </w:r>
      <w:r w:rsidRPr="00F843C9">
        <w:t xml:space="preserve">. </w:t>
      </w:r>
    </w:p>
    <w:p w:rsidR="00CB541A" w:rsidRPr="009B395E" w:rsidRDefault="00CB541A" w:rsidP="00CB541A">
      <w:pPr>
        <w:pStyle w:val="Heading3"/>
        <w:rPr>
          <w:rStyle w:val="Strong"/>
        </w:rPr>
      </w:pPr>
      <w:r w:rsidRPr="009B395E">
        <w:rPr>
          <w:rStyle w:val="Strong"/>
          <w:b/>
          <w:bCs/>
        </w:rPr>
        <w:t>National health and medical data capability</w:t>
      </w:r>
    </w:p>
    <w:p w:rsidR="00CB541A" w:rsidRPr="00F843C9" w:rsidRDefault="00CB541A" w:rsidP="00CB541A">
      <w:pPr>
        <w:autoSpaceDE w:val="0"/>
        <w:autoSpaceDN w:val="0"/>
        <w:adjustRightInd w:val="0"/>
      </w:pPr>
      <w:r>
        <w:t>R</w:t>
      </w:r>
      <w:r w:rsidRPr="00F843C9">
        <w:t>esearch into health care and outcomes depends on large</w:t>
      </w:r>
      <w:r w:rsidR="00887B1E">
        <w:t xml:space="preserve"> </w:t>
      </w:r>
      <w:r w:rsidRPr="00F843C9">
        <w:t xml:space="preserve">scale linked data </w:t>
      </w:r>
      <w:r>
        <w:t>for</w:t>
      </w:r>
      <w:r w:rsidRPr="00F843C9">
        <w:t xml:space="preserve"> health and health service use. Increasing government interest</w:t>
      </w:r>
      <w:r>
        <w:t xml:space="preserve">, at </w:t>
      </w:r>
      <w:r w:rsidR="00366410">
        <w:t xml:space="preserve">both </w:t>
      </w:r>
      <w:r>
        <w:t>the state and federal level</w:t>
      </w:r>
      <w:r w:rsidR="00366410">
        <w:t>s</w:t>
      </w:r>
      <w:r>
        <w:t>,</w:t>
      </w:r>
      <w:r w:rsidRPr="00F843C9">
        <w:t xml:space="preserve"> in linking </w:t>
      </w:r>
      <w:r w:rsidR="00B8339A">
        <w:t xml:space="preserve">health with </w:t>
      </w:r>
      <w:r w:rsidRPr="00F843C9">
        <w:t xml:space="preserve">non-health data will enhance capacity to </w:t>
      </w:r>
      <w:r w:rsidR="00366410">
        <w:t xml:space="preserve">investigate and </w:t>
      </w:r>
      <w:r w:rsidRPr="00F843C9">
        <w:t>address the effects of social disparities on health.</w:t>
      </w:r>
      <w:r>
        <w:t xml:space="preserve"> </w:t>
      </w:r>
    </w:p>
    <w:p w:rsidR="00CB541A" w:rsidRPr="00F843C9" w:rsidRDefault="00CB541A" w:rsidP="00CB541A">
      <w:pPr>
        <w:spacing w:before="120"/>
      </w:pPr>
      <w:r>
        <w:t>The</w:t>
      </w:r>
      <w:r w:rsidRPr="00F843C9">
        <w:t xml:space="preserve"> Population Health Research Network (</w:t>
      </w:r>
      <w:proofErr w:type="spellStart"/>
      <w:r w:rsidRPr="00F843C9">
        <w:t>PHRN</w:t>
      </w:r>
      <w:proofErr w:type="spellEnd"/>
      <w:r>
        <w:t xml:space="preserve">) </w:t>
      </w:r>
      <w:r w:rsidRPr="00F843C9">
        <w:t xml:space="preserve">was established </w:t>
      </w:r>
      <w:r>
        <w:t xml:space="preserve">in 2009 </w:t>
      </w:r>
      <w:r w:rsidRPr="00F843C9">
        <w:t xml:space="preserve">to support the linkage of </w:t>
      </w:r>
      <w:r>
        <w:t xml:space="preserve">population related </w:t>
      </w:r>
      <w:r w:rsidRPr="00F843C9">
        <w:t>administrative data. Australia has excellent population level administrative data sets</w:t>
      </w:r>
      <w:r w:rsidR="005F7C4B">
        <w:t>.</w:t>
      </w:r>
      <w:r w:rsidRPr="00F843C9">
        <w:t xml:space="preserve"> </w:t>
      </w:r>
      <w:r w:rsidR="005F7C4B">
        <w:t xml:space="preserve">For </w:t>
      </w:r>
      <w:r w:rsidRPr="00F843C9">
        <w:t xml:space="preserve">health, these include birth and death, cancer registry, emergency department, </w:t>
      </w:r>
      <w:r w:rsidR="005F7C4B" w:rsidRPr="005F7C4B">
        <w:t xml:space="preserve">Medicare Benefits Schedule </w:t>
      </w:r>
      <w:r w:rsidR="005F7C4B">
        <w:t xml:space="preserve">and </w:t>
      </w:r>
      <w:r w:rsidRPr="00F843C9">
        <w:t>P</w:t>
      </w:r>
      <w:r w:rsidR="005F7C4B">
        <w:t xml:space="preserve">harmaceutical </w:t>
      </w:r>
      <w:r w:rsidRPr="00F843C9">
        <w:t>B</w:t>
      </w:r>
      <w:r w:rsidR="005F7C4B">
        <w:t xml:space="preserve">enefits </w:t>
      </w:r>
      <w:r w:rsidRPr="00F843C9">
        <w:t>S</w:t>
      </w:r>
      <w:r w:rsidR="005F7C4B">
        <w:t>cheme</w:t>
      </w:r>
      <w:r w:rsidRPr="00F843C9">
        <w:t xml:space="preserve"> data</w:t>
      </w:r>
      <w:r w:rsidR="005F7C4B">
        <w:t xml:space="preserve"> and in-hospital patient statistics</w:t>
      </w:r>
      <w:r w:rsidRPr="00F843C9">
        <w:t xml:space="preserve">. </w:t>
      </w:r>
      <w:r w:rsidR="00AD2D49">
        <w:br/>
      </w:r>
      <w:proofErr w:type="spellStart"/>
      <w:r w:rsidRPr="00F843C9">
        <w:lastRenderedPageBreak/>
        <w:t>PHRN</w:t>
      </w:r>
      <w:proofErr w:type="spellEnd"/>
      <w:r w:rsidRPr="00F843C9">
        <w:t xml:space="preserve"> has also supported the Secure Unified Research Environment (SURE)</w:t>
      </w:r>
      <w:r>
        <w:rPr>
          <w:rStyle w:val="FootnoteReference"/>
        </w:rPr>
        <w:footnoteReference w:id="10"/>
      </w:r>
      <w:r>
        <w:t xml:space="preserve"> </w:t>
      </w:r>
      <w:r w:rsidRPr="00F843C9">
        <w:t xml:space="preserve">facility which is a secure, remote-access facility for analysing linked administrative data. It gives data custodians a highly secure environment in which to make datasets available to researchers and </w:t>
      </w:r>
      <w:r w:rsidR="005F7C4B">
        <w:t xml:space="preserve">with </w:t>
      </w:r>
      <w:r w:rsidRPr="00F843C9">
        <w:t>a high performance computing environment</w:t>
      </w:r>
      <w:r w:rsidR="005F7C4B">
        <w:t xml:space="preserve"> for</w:t>
      </w:r>
      <w:r w:rsidRPr="00F843C9">
        <w:t xml:space="preserve"> data analysis.</w:t>
      </w:r>
    </w:p>
    <w:p w:rsidR="00CB541A" w:rsidRPr="00F843C9" w:rsidRDefault="00CB541A" w:rsidP="00CB541A">
      <w:pPr>
        <w:spacing w:before="120"/>
      </w:pPr>
      <w:r w:rsidRPr="00F843C9">
        <w:t>There is a growing need in Australia for timely recognition of disease outbreaks and associated path</w:t>
      </w:r>
      <w:r w:rsidR="00B8339A">
        <w:t xml:space="preserve">ogens of public health concern. </w:t>
      </w:r>
      <w:r>
        <w:t>While t</w:t>
      </w:r>
      <w:r w:rsidRPr="00F843C9">
        <w:t>here has been some population</w:t>
      </w:r>
      <w:r>
        <w:t xml:space="preserve"> </w:t>
      </w:r>
      <w:r w:rsidRPr="00F843C9">
        <w:t>based systems development</w:t>
      </w:r>
      <w:r>
        <w:t>,</w:t>
      </w:r>
      <w:r w:rsidRPr="00F843C9">
        <w:t xml:space="preserve"> </w:t>
      </w:r>
      <w:r>
        <w:t>further investment in</w:t>
      </w:r>
      <w:r w:rsidRPr="00F843C9">
        <w:t xml:space="preserve"> national infrastructure link</w:t>
      </w:r>
      <w:r>
        <w:t>ing</w:t>
      </w:r>
      <w:r w:rsidRPr="00F843C9">
        <w:t xml:space="preserve"> state</w:t>
      </w:r>
      <w:r>
        <w:t xml:space="preserve"> and federal</w:t>
      </w:r>
      <w:r w:rsidRPr="00F843C9">
        <w:t xml:space="preserve"> disease control agencies with </w:t>
      </w:r>
      <w:r>
        <w:t>researchers</w:t>
      </w:r>
      <w:r w:rsidRPr="00F843C9">
        <w:t xml:space="preserve"> and reference laboratories</w:t>
      </w:r>
      <w:r w:rsidR="005F7C4B">
        <w:t xml:space="preserve"> is highly desirable. If linked to appropriate </w:t>
      </w:r>
      <w:r w:rsidRPr="00F843C9">
        <w:t>computational power and bioinformatics expertise</w:t>
      </w:r>
      <w:r w:rsidR="005F7C4B">
        <w:t>, this investment</w:t>
      </w:r>
      <w:r w:rsidRPr="00F843C9">
        <w:t xml:space="preserve"> </w:t>
      </w:r>
      <w:r>
        <w:t>will greatly improve</w:t>
      </w:r>
      <w:r w:rsidRPr="00F843C9">
        <w:t xml:space="preserve"> research </w:t>
      </w:r>
      <w:r>
        <w:t xml:space="preserve">outcomes </w:t>
      </w:r>
      <w:r w:rsidRPr="00F843C9">
        <w:t>and translation</w:t>
      </w:r>
      <w:r w:rsidR="00366410">
        <w:t xml:space="preserve"> into countermeasures and public health policy</w:t>
      </w:r>
      <w:r w:rsidRPr="00F843C9">
        <w:t>.</w:t>
      </w:r>
    </w:p>
    <w:p w:rsidR="00CB541A" w:rsidRPr="004D0132" w:rsidRDefault="00CB541A" w:rsidP="00CB541A">
      <w:pPr>
        <w:pStyle w:val="Heading3"/>
        <w:rPr>
          <w:b w:val="0"/>
          <w:bCs w:val="0"/>
        </w:rPr>
      </w:pPr>
      <w:r w:rsidRPr="004D0132">
        <w:t>Imaging</w:t>
      </w:r>
    </w:p>
    <w:p w:rsidR="00EF017E" w:rsidRDefault="00CB541A" w:rsidP="00CB541A">
      <w:pPr>
        <w:autoSpaceDE w:val="0"/>
        <w:autoSpaceDN w:val="0"/>
        <w:adjustRightInd w:val="0"/>
        <w:ind w:right="-188"/>
      </w:pPr>
      <w:r w:rsidRPr="00BC656F">
        <w:t>The current</w:t>
      </w:r>
      <w:r>
        <w:t xml:space="preserve"> generation of</w:t>
      </w:r>
      <w:r w:rsidRPr="00BC656F">
        <w:t xml:space="preserve"> </w:t>
      </w:r>
      <w:r>
        <w:t>n</w:t>
      </w:r>
      <w:r w:rsidRPr="00BC656F">
        <w:t xml:space="preserve">ational </w:t>
      </w:r>
      <w:r>
        <w:t>i</w:t>
      </w:r>
      <w:r w:rsidRPr="00BC656F">
        <w:t xml:space="preserve">maging </w:t>
      </w:r>
      <w:r>
        <w:t>i</w:t>
      </w:r>
      <w:r w:rsidRPr="00BC656F">
        <w:t>nfrastructure with existing hardware inc</w:t>
      </w:r>
      <w:r>
        <w:t>luding MRI and hybrid equipment</w:t>
      </w:r>
      <w:r w:rsidRPr="00BC656F">
        <w:t xml:space="preserve"> (PET/MR and PET/CT) appears to be very good</w:t>
      </w:r>
      <w:r w:rsidR="008742AB">
        <w:t xml:space="preserve">. </w:t>
      </w:r>
      <w:r w:rsidR="00EF017E">
        <w:t>Its p</w:t>
      </w:r>
      <w:r w:rsidR="008742AB">
        <w:t xml:space="preserve">roductivity </w:t>
      </w:r>
      <w:r w:rsidR="00B8339A">
        <w:t>could be greatly improved with</w:t>
      </w:r>
      <w:r w:rsidRPr="00BC656F">
        <w:t xml:space="preserve"> </w:t>
      </w:r>
      <w:r>
        <w:t xml:space="preserve">better integration of </w:t>
      </w:r>
      <w:r w:rsidRPr="00BC656F">
        <w:t>existing infrastructure and resources across the country.</w:t>
      </w:r>
      <w:r>
        <w:t xml:space="preserve"> </w:t>
      </w:r>
      <w:r w:rsidRPr="00BC656F">
        <w:t xml:space="preserve">The most significant </w:t>
      </w:r>
      <w:r w:rsidR="008742AB">
        <w:t>gap</w:t>
      </w:r>
      <w:r w:rsidR="008742AB" w:rsidRPr="00BC656F">
        <w:t xml:space="preserve"> </w:t>
      </w:r>
      <w:r>
        <w:t xml:space="preserve">remains new </w:t>
      </w:r>
      <w:r w:rsidRPr="00BC656F">
        <w:t>tracer development for PET analysis</w:t>
      </w:r>
      <w:r w:rsidRPr="005C7E61">
        <w:t xml:space="preserve"> </w:t>
      </w:r>
      <w:r>
        <w:t>and, in the case of some important therapeutics, reactor-produced radioisotopes</w:t>
      </w:r>
      <w:r w:rsidRPr="00BC656F">
        <w:t xml:space="preserve">. </w:t>
      </w:r>
    </w:p>
    <w:p w:rsidR="00CB541A" w:rsidRDefault="00CB541A" w:rsidP="00CB541A">
      <w:pPr>
        <w:autoSpaceDE w:val="0"/>
        <w:autoSpaceDN w:val="0"/>
        <w:adjustRightInd w:val="0"/>
        <w:ind w:right="-188"/>
      </w:pPr>
      <w:r>
        <w:t xml:space="preserve">These </w:t>
      </w:r>
      <w:r w:rsidRPr="00304E67">
        <w:t>tracer compounds</w:t>
      </w:r>
      <w:r>
        <w:t xml:space="preserve"> are bioactive molecules and proteins labelled with radioactive isotopes</w:t>
      </w:r>
      <w:r w:rsidRPr="00304E67">
        <w:t xml:space="preserve"> used to track biochemical and physiological processes in vivo</w:t>
      </w:r>
      <w:r>
        <w:t xml:space="preserve">. </w:t>
      </w:r>
      <w:r w:rsidR="008742AB">
        <w:t xml:space="preserve">Their appropriate use means </w:t>
      </w:r>
      <w:r>
        <w:t>that many diseases may be diagnosed much earlier and the response to treatment evaluated with better accuracy.</w:t>
      </w:r>
      <w:r w:rsidR="00A255E5">
        <w:t xml:space="preserve"> </w:t>
      </w:r>
      <w:r>
        <w:t xml:space="preserve">The medical community and the operators of cyclotrons across the country have self-organised to enhance operations and share technical developments. This collaboration should be actively developed and enhanced to support the clinical translation community </w:t>
      </w:r>
      <w:r w:rsidR="00282548">
        <w:t xml:space="preserve">that </w:t>
      </w:r>
      <w:r w:rsidR="008742AB">
        <w:t xml:space="preserve">uses </w:t>
      </w:r>
      <w:r>
        <w:t>cyclotron products for imaging. The imaging communities will need to develop common standards and approaches for translational imaging to support optimal outcomes from clinical trials.</w:t>
      </w:r>
    </w:p>
    <w:p w:rsidR="00E31468" w:rsidRDefault="00CB541A" w:rsidP="00CB541A">
      <w:pPr>
        <w:spacing w:before="120"/>
      </w:pPr>
      <w:r w:rsidRPr="00BC656F">
        <w:t>A number of facilities already exist and provide tracers for</w:t>
      </w:r>
      <w:r>
        <w:t xml:space="preserve"> research and clinical</w:t>
      </w:r>
      <w:r w:rsidRPr="00BC656F">
        <w:t xml:space="preserve"> diagnostic imaging</w:t>
      </w:r>
      <w:r>
        <w:t xml:space="preserve"> and</w:t>
      </w:r>
      <w:r w:rsidRPr="00BC656F">
        <w:t xml:space="preserve"> the capacity to produce and develop new tracers for </w:t>
      </w:r>
      <w:r>
        <w:t>r</w:t>
      </w:r>
      <w:r w:rsidRPr="00BC656F">
        <w:t xml:space="preserve">esearch </w:t>
      </w:r>
      <w:r>
        <w:t>needs to be increased to meet national demand</w:t>
      </w:r>
      <w:r w:rsidRPr="00BC656F">
        <w:t>.</w:t>
      </w:r>
      <w:r>
        <w:t xml:space="preserve"> </w:t>
      </w:r>
    </w:p>
    <w:p w:rsidR="00CB541A" w:rsidRDefault="00CB541A" w:rsidP="00CB541A">
      <w:pPr>
        <w:pStyle w:val="Heading2"/>
        <w:spacing w:before="120"/>
        <w:ind w:left="578" w:hanging="578"/>
      </w:pPr>
      <w:r>
        <w:t>Desirable New Capabilities</w:t>
      </w:r>
    </w:p>
    <w:p w:rsidR="00CB541A" w:rsidRPr="004D0132" w:rsidRDefault="00CB541A" w:rsidP="00CB541A">
      <w:pPr>
        <w:pStyle w:val="Heading3"/>
        <w:rPr>
          <w:b w:val="0"/>
          <w:bCs w:val="0"/>
        </w:rPr>
      </w:pPr>
      <w:r w:rsidRPr="004D0132">
        <w:t>National collaborative approach for PET tracers and cyclotrons</w:t>
      </w:r>
    </w:p>
    <w:p w:rsidR="00CB541A" w:rsidRDefault="00CB541A" w:rsidP="00CB541A">
      <w:r>
        <w:t xml:space="preserve">There are a range of commercial and research cyclotrons in Australia. At present, coordination is based on operational excellence and reducing operating costs. </w:t>
      </w:r>
      <w:r w:rsidR="008742AB">
        <w:t>F</w:t>
      </w:r>
      <w:r>
        <w:t>or this network of cyclotrons to be more important clinically, planning and prioritisation of access to radioisotopes and tracers should be improved. From a skills perspective, providing better access for</w:t>
      </w:r>
      <w:r w:rsidRPr="00240065">
        <w:t xml:space="preserve"> </w:t>
      </w:r>
      <w:r w:rsidRPr="00BC656F">
        <w:t>chemists</w:t>
      </w:r>
      <w:r>
        <w:t xml:space="preserve"> and </w:t>
      </w:r>
      <w:r w:rsidRPr="00BC656F">
        <w:t>radio-chemists for developing and us</w:t>
      </w:r>
      <w:r>
        <w:t>ing</w:t>
      </w:r>
      <w:r w:rsidRPr="00BC656F">
        <w:t xml:space="preserve"> PET tracers will be important over the next decade</w:t>
      </w:r>
      <w:r>
        <w:t>. Improved outcomes would leverage</w:t>
      </w:r>
      <w:r w:rsidRPr="00BC656F">
        <w:t xml:space="preserve"> image based research and clinical translation.</w:t>
      </w:r>
      <w:r>
        <w:t xml:space="preserve"> The key tools used by researchers and clinicians are PET and SPECT cameras and integrated imaging facilities such as PET/CT and PET/MR. </w:t>
      </w:r>
      <w:r w:rsidR="00DD4435">
        <w:lastRenderedPageBreak/>
        <w:t>For</w:t>
      </w:r>
      <w:r>
        <w:t xml:space="preserve"> clinical results to be acceptable for clinical trials, the standardisation and calibration of such facilities is absolutely crucial.</w:t>
      </w:r>
      <w:r w:rsidR="00A255E5">
        <w:t xml:space="preserve"> </w:t>
      </w:r>
      <w:r>
        <w:t>Networking should involve improved access and shared knowledge of new tracers. Clinical translation organisations should be required to standardise their methods nationally to reduce duplication and enhance sharing of results.</w:t>
      </w:r>
    </w:p>
    <w:p w:rsidR="00CB541A" w:rsidRPr="004D0132" w:rsidRDefault="00CB541A" w:rsidP="00CB541A">
      <w:pPr>
        <w:pStyle w:val="Heading3"/>
        <w:rPr>
          <w:b w:val="0"/>
          <w:bCs w:val="0"/>
        </w:rPr>
      </w:pPr>
      <w:r w:rsidRPr="004D0132">
        <w:t xml:space="preserve">Indigenous </w:t>
      </w:r>
      <w:r w:rsidR="00FB7031">
        <w:t>r</w:t>
      </w:r>
      <w:r w:rsidRPr="004D0132">
        <w:t xml:space="preserve">esearch </w:t>
      </w:r>
      <w:r w:rsidR="00FB7031">
        <w:t>p</w:t>
      </w:r>
      <w:r w:rsidRPr="004D0132">
        <w:t>latforms</w:t>
      </w:r>
    </w:p>
    <w:p w:rsidR="00CB541A" w:rsidRDefault="00CB541A" w:rsidP="00CB541A">
      <w:pPr>
        <w:autoSpaceDE w:val="0"/>
        <w:autoSpaceDN w:val="0"/>
        <w:adjustRightInd w:val="0"/>
      </w:pPr>
      <w:r w:rsidRPr="000B1D08">
        <w:t xml:space="preserve">Currently, </w:t>
      </w:r>
      <w:r>
        <w:t xml:space="preserve">the </w:t>
      </w:r>
      <w:r w:rsidRPr="000B1D08">
        <w:t>population and hea</w:t>
      </w:r>
      <w:r>
        <w:t>lth service use of data relating to</w:t>
      </w:r>
      <w:r w:rsidRPr="000B1D08">
        <w:t xml:space="preserve"> </w:t>
      </w:r>
      <w:r w:rsidR="00082657">
        <w:t>Indigenous Australians</w:t>
      </w:r>
      <w:r>
        <w:t xml:space="preserve"> </w:t>
      </w:r>
      <w:r w:rsidRPr="000B1D08">
        <w:t>is scattered and often difficult to access.</w:t>
      </w:r>
      <w:r>
        <w:t xml:space="preserve"> </w:t>
      </w:r>
      <w:r w:rsidRPr="000B1D08">
        <w:t xml:space="preserve">There are significant </w:t>
      </w:r>
      <w:r w:rsidR="008742AB">
        <w:t>barriers</w:t>
      </w:r>
      <w:r w:rsidR="008742AB" w:rsidRPr="000B1D08">
        <w:t xml:space="preserve"> </w:t>
      </w:r>
      <w:r w:rsidR="008742AB">
        <w:t>to</w:t>
      </w:r>
      <w:r w:rsidR="008742AB" w:rsidRPr="000B1D08">
        <w:t xml:space="preserve"> </w:t>
      </w:r>
      <w:r w:rsidRPr="000B1D08">
        <w:t>using th</w:t>
      </w:r>
      <w:r>
        <w:t>is</w:t>
      </w:r>
      <w:r w:rsidRPr="000B1D08">
        <w:t xml:space="preserve"> data as Indigenous identifiers are often missing or incomplete</w:t>
      </w:r>
      <w:r>
        <w:t>.</w:t>
      </w:r>
      <w:r w:rsidRPr="000B1D08">
        <w:t xml:space="preserve"> </w:t>
      </w:r>
      <w:r w:rsidR="008742AB">
        <w:t>For example, r</w:t>
      </w:r>
      <w:r w:rsidRPr="000B1D08">
        <w:t xml:space="preserve">ecent research </w:t>
      </w:r>
      <w:r>
        <w:t xml:space="preserve">has </w:t>
      </w:r>
      <w:r w:rsidRPr="000B1D08">
        <w:t xml:space="preserve">showed that there </w:t>
      </w:r>
      <w:r>
        <w:t>is</w:t>
      </w:r>
      <w:r w:rsidRPr="000B1D08">
        <w:t xml:space="preserve"> no birth registration for around 18</w:t>
      </w:r>
      <w:r>
        <w:t xml:space="preserve"> percent</w:t>
      </w:r>
      <w:r w:rsidRPr="000B1D08">
        <w:t xml:space="preserve"> of children und</w:t>
      </w:r>
      <w:r>
        <w:t>er the age of 14 in Western Australia</w:t>
      </w:r>
      <w:r w:rsidRPr="000B1D08">
        <w:t>.</w:t>
      </w:r>
      <w:r>
        <w:t xml:space="preserve"> </w:t>
      </w:r>
    </w:p>
    <w:p w:rsidR="00CB541A" w:rsidRDefault="00DD4435" w:rsidP="00CB541A">
      <w:pPr>
        <w:spacing w:before="120"/>
      </w:pPr>
      <w:r>
        <w:t>A national</w:t>
      </w:r>
      <w:r w:rsidR="00CB541A" w:rsidRPr="006D220D">
        <w:t xml:space="preserve"> </w:t>
      </w:r>
      <w:r w:rsidR="00CB541A">
        <w:t>capability</w:t>
      </w:r>
      <w:r w:rsidR="00CB541A" w:rsidRPr="00F843C9">
        <w:t xml:space="preserve"> </w:t>
      </w:r>
      <w:r w:rsidR="00CB541A">
        <w:t xml:space="preserve">to </w:t>
      </w:r>
      <w:r w:rsidR="00CB541A" w:rsidRPr="006D220D">
        <w:t>accelerat</w:t>
      </w:r>
      <w:r w:rsidR="00CB541A">
        <w:t>e</w:t>
      </w:r>
      <w:r w:rsidR="00CB541A" w:rsidRPr="006D220D">
        <w:t xml:space="preserve"> research</w:t>
      </w:r>
      <w:r w:rsidR="00CB541A">
        <w:t xml:space="preserve"> to</w:t>
      </w:r>
      <w:r w:rsidR="00CB541A" w:rsidRPr="006D220D">
        <w:t xml:space="preserve"> improve Indigenous health</w:t>
      </w:r>
      <w:r>
        <w:t xml:space="preserve"> should be established</w:t>
      </w:r>
      <w:r w:rsidR="00CB541A" w:rsidRPr="006D220D">
        <w:t>.</w:t>
      </w:r>
      <w:r w:rsidR="00CB541A">
        <w:t xml:space="preserve"> T</w:t>
      </w:r>
      <w:r w:rsidR="00CB541A" w:rsidRPr="006D220D">
        <w:t xml:space="preserve">he </w:t>
      </w:r>
      <w:r w:rsidR="00CB541A">
        <w:t>capability</w:t>
      </w:r>
      <w:r w:rsidR="00CB541A" w:rsidRPr="006D220D">
        <w:t xml:space="preserve"> would</w:t>
      </w:r>
      <w:r w:rsidR="00CB541A" w:rsidRPr="00016356">
        <w:t xml:space="preserve"> consist of a centralised linkage and data clearinghouse </w:t>
      </w:r>
      <w:r w:rsidR="00CB541A">
        <w:t>to</w:t>
      </w:r>
      <w:r w:rsidR="00CB541A" w:rsidRPr="00016356">
        <w:t xml:space="preserve"> analys</w:t>
      </w:r>
      <w:r w:rsidR="00CB541A">
        <w:t>e</w:t>
      </w:r>
      <w:r w:rsidR="00CB541A" w:rsidRPr="00016356">
        <w:t xml:space="preserve"> datasets</w:t>
      </w:r>
      <w:r w:rsidR="00CB541A">
        <w:t>,</w:t>
      </w:r>
      <w:r w:rsidR="00CB541A" w:rsidRPr="00016356">
        <w:t xml:space="preserve"> </w:t>
      </w:r>
      <w:r w:rsidR="008742AB">
        <w:t xml:space="preserve">including </w:t>
      </w:r>
      <w:r w:rsidR="00CB541A">
        <w:t xml:space="preserve">by Indigenous researchers, ensuring </w:t>
      </w:r>
      <w:r>
        <w:t>that best use is made of</w:t>
      </w:r>
      <w:r w:rsidR="00CB541A">
        <w:t xml:space="preserve"> </w:t>
      </w:r>
      <w:r w:rsidR="00CB541A" w:rsidRPr="00016356">
        <w:t xml:space="preserve">existing </w:t>
      </w:r>
      <w:r w:rsidR="00CB541A">
        <w:t xml:space="preserve">data for the Indigenous </w:t>
      </w:r>
      <w:r w:rsidR="00283CF2">
        <w:t>community, while respecting Indigenous needs around data collection and sharing</w:t>
      </w:r>
      <w:r w:rsidR="00CB541A">
        <w:t>.</w:t>
      </w:r>
    </w:p>
    <w:p w:rsidR="00283CF2" w:rsidRDefault="00283CF2" w:rsidP="00CB541A">
      <w:pPr>
        <w:spacing w:before="120"/>
      </w:pPr>
      <w:r>
        <w:t>This capability is further explored under Chapter 8 Understanding Cultures and Communities.</w:t>
      </w:r>
    </w:p>
    <w:p w:rsidR="00CB541A" w:rsidRPr="009B395E" w:rsidRDefault="00FB7031" w:rsidP="00CB541A">
      <w:pPr>
        <w:pStyle w:val="Heading3"/>
        <w:rPr>
          <w:rStyle w:val="Strong"/>
        </w:rPr>
      </w:pPr>
      <w:r>
        <w:rPr>
          <w:rStyle w:val="Strong"/>
          <w:b/>
          <w:bCs/>
        </w:rPr>
        <w:t>Bioengineering s</w:t>
      </w:r>
      <w:r w:rsidR="00CB541A" w:rsidRPr="009B395E">
        <w:rPr>
          <w:rStyle w:val="Strong"/>
          <w:b/>
          <w:bCs/>
        </w:rPr>
        <w:t xml:space="preserve">olutions for </w:t>
      </w:r>
      <w:r>
        <w:rPr>
          <w:rStyle w:val="Strong"/>
          <w:b/>
          <w:bCs/>
        </w:rPr>
        <w:t>p</w:t>
      </w:r>
      <w:r w:rsidR="00CB541A" w:rsidRPr="009B395E">
        <w:rPr>
          <w:rStyle w:val="Strong"/>
          <w:b/>
          <w:bCs/>
        </w:rPr>
        <w:t xml:space="preserve">recision </w:t>
      </w:r>
      <w:r>
        <w:rPr>
          <w:rStyle w:val="Strong"/>
          <w:b/>
          <w:bCs/>
        </w:rPr>
        <w:t>m</w:t>
      </w:r>
      <w:r w:rsidR="00CB541A" w:rsidRPr="009B395E">
        <w:rPr>
          <w:rStyle w:val="Strong"/>
          <w:b/>
          <w:bCs/>
        </w:rPr>
        <w:t xml:space="preserve">edicine </w:t>
      </w:r>
    </w:p>
    <w:p w:rsidR="00CB541A" w:rsidRDefault="00CB541A" w:rsidP="00AD2D49">
      <w:r>
        <w:t xml:space="preserve">Building on existing capabilities, and with a focus on translating discoveries into clinical outcomes, Australia has </w:t>
      </w:r>
      <w:r w:rsidRPr="00E33212">
        <w:t>much</w:t>
      </w:r>
      <w:r>
        <w:t xml:space="preserve"> to gain from a continued focus on biologics and </w:t>
      </w:r>
      <w:r w:rsidRPr="00421609">
        <w:t>antibody technology</w:t>
      </w:r>
      <w:r>
        <w:t>, c</w:t>
      </w:r>
      <w:r w:rsidRPr="00421609">
        <w:t>ell therapies and</w:t>
      </w:r>
      <w:r>
        <w:t xml:space="preserve"> s</w:t>
      </w:r>
      <w:r w:rsidRPr="00421609">
        <w:t>tem cell core</w:t>
      </w:r>
      <w:r>
        <w:t xml:space="preserve"> facilities.</w:t>
      </w:r>
    </w:p>
    <w:p w:rsidR="00CB541A" w:rsidRPr="009B395E" w:rsidRDefault="00CB541A" w:rsidP="00CB541A">
      <w:pPr>
        <w:pStyle w:val="Heading3"/>
        <w:rPr>
          <w:rStyle w:val="Strong"/>
        </w:rPr>
      </w:pPr>
      <w:r w:rsidRPr="009B395E">
        <w:rPr>
          <w:rStyle w:val="Strong"/>
          <w:b/>
          <w:bCs/>
        </w:rPr>
        <w:t>Stem cell therapies</w:t>
      </w:r>
    </w:p>
    <w:p w:rsidR="00CB541A" w:rsidRDefault="00CB541A" w:rsidP="00CB541A">
      <w:pPr>
        <w:autoSpaceDE w:val="0"/>
        <w:autoSpaceDN w:val="0"/>
        <w:adjustRightInd w:val="0"/>
        <w:rPr>
          <w:rFonts w:cs="TimesNewRomanPSMT"/>
          <w:iCs/>
        </w:rPr>
      </w:pPr>
      <w:r w:rsidRPr="00B22464">
        <w:rPr>
          <w:rFonts w:cs="TimesNewRomanPSMT"/>
        </w:rPr>
        <w:t xml:space="preserve">Stem cell science has </w:t>
      </w:r>
      <w:r>
        <w:rPr>
          <w:rFonts w:cs="TimesNewRomanPSMT"/>
        </w:rPr>
        <w:t xml:space="preserve">the </w:t>
      </w:r>
      <w:r w:rsidRPr="00B22464">
        <w:rPr>
          <w:rFonts w:cs="TimesNewRomanPSMT"/>
        </w:rPr>
        <w:t xml:space="preserve">potential to revolutionise the understanding of human developmental biology and physiology and offers discovery and technology platforms that </w:t>
      </w:r>
      <w:r>
        <w:rPr>
          <w:rFonts w:cs="TimesNewRomanPSMT"/>
        </w:rPr>
        <w:t>potentially affect many</w:t>
      </w:r>
      <w:r w:rsidRPr="00B22464">
        <w:rPr>
          <w:rFonts w:cs="TimesNewRomanPSMT"/>
        </w:rPr>
        <w:t xml:space="preserve"> fields of biomedical and clinical research.</w:t>
      </w:r>
      <w:r>
        <w:rPr>
          <w:rFonts w:cs="TimesNewRomanPSMT"/>
        </w:rPr>
        <w:t xml:space="preserve"> </w:t>
      </w:r>
      <w:r w:rsidR="00DD4435">
        <w:rPr>
          <w:rFonts w:cs="TimesNewRomanPSMT"/>
        </w:rPr>
        <w:t>However, this</w:t>
      </w:r>
      <w:r w:rsidRPr="00B22464">
        <w:rPr>
          <w:rFonts w:cs="TimesNewRomanPSMT"/>
        </w:rPr>
        <w:t xml:space="preserve"> is a particularly complex field with high barriers to entry for most biomedical researchers.</w:t>
      </w:r>
      <w:r>
        <w:rPr>
          <w:rFonts w:cs="TimesNewRomanPSMT"/>
        </w:rPr>
        <w:t xml:space="preserve"> </w:t>
      </w:r>
      <w:r w:rsidRPr="00B22464">
        <w:rPr>
          <w:rFonts w:cs="TimesNewRomanPSMT"/>
        </w:rPr>
        <w:t>For this reason,</w:t>
      </w:r>
      <w:r>
        <w:rPr>
          <w:rFonts w:cs="TimesNewRomanPSMT"/>
        </w:rPr>
        <w:t xml:space="preserve"> a national capability</w:t>
      </w:r>
      <w:r w:rsidRPr="00B22464">
        <w:rPr>
          <w:rFonts w:cs="TimesNewRomanPSMT"/>
        </w:rPr>
        <w:t xml:space="preserve"> provid</w:t>
      </w:r>
      <w:r>
        <w:rPr>
          <w:rFonts w:cs="TimesNewRomanPSMT"/>
        </w:rPr>
        <w:t>ing</w:t>
      </w:r>
      <w:r w:rsidRPr="00B22464">
        <w:rPr>
          <w:rFonts w:cs="TimesNewRomanPSMT"/>
        </w:rPr>
        <w:t xml:space="preserve"> </w:t>
      </w:r>
      <w:r>
        <w:rPr>
          <w:rFonts w:cs="TimesNewRomanPSMT"/>
        </w:rPr>
        <w:t xml:space="preserve">researchers with </w:t>
      </w:r>
      <w:r w:rsidRPr="00B22464">
        <w:rPr>
          <w:rFonts w:cs="TimesNewRomanPSMT"/>
        </w:rPr>
        <w:t>advice and access to cell lines</w:t>
      </w:r>
      <w:r w:rsidR="00366410">
        <w:rPr>
          <w:rFonts w:cs="TimesNewRomanPSMT"/>
        </w:rPr>
        <w:t>,</w:t>
      </w:r>
      <w:r w:rsidRPr="00B22464">
        <w:rPr>
          <w:rFonts w:cs="TimesNewRomanPSMT"/>
        </w:rPr>
        <w:t xml:space="preserve"> protocols and training</w:t>
      </w:r>
      <w:r>
        <w:rPr>
          <w:rFonts w:cs="TimesNewRomanPSMT"/>
        </w:rPr>
        <w:t xml:space="preserve"> should be considered</w:t>
      </w:r>
      <w:r w:rsidRPr="00B22464">
        <w:rPr>
          <w:rFonts w:cs="TimesNewRomanPSMT"/>
        </w:rPr>
        <w:t>.</w:t>
      </w:r>
      <w:r>
        <w:rPr>
          <w:rFonts w:cs="TimesNewRomanPSMT"/>
        </w:rPr>
        <w:t xml:space="preserve"> </w:t>
      </w:r>
      <w:r w:rsidRPr="00B22464">
        <w:rPr>
          <w:rFonts w:cs="TimesNewRomanPSMT"/>
          <w:iCs/>
        </w:rPr>
        <w:t>Th</w:t>
      </w:r>
      <w:r>
        <w:rPr>
          <w:rFonts w:cs="TimesNewRomanPSMT"/>
          <w:iCs/>
        </w:rPr>
        <w:t xml:space="preserve">is would assist </w:t>
      </w:r>
      <w:r w:rsidRPr="00B22464">
        <w:rPr>
          <w:rFonts w:cs="TimesNewRomanPSMT"/>
          <w:iCs/>
        </w:rPr>
        <w:t>Australia</w:t>
      </w:r>
      <w:r w:rsidR="00EF017E">
        <w:rPr>
          <w:rFonts w:cs="TimesNewRomanPSMT"/>
          <w:iCs/>
        </w:rPr>
        <w:t xml:space="preserve"> to develop</w:t>
      </w:r>
      <w:r>
        <w:rPr>
          <w:rFonts w:cs="TimesNewRomanPSMT"/>
          <w:iCs/>
        </w:rPr>
        <w:t xml:space="preserve"> </w:t>
      </w:r>
      <w:r w:rsidRPr="00B22464">
        <w:rPr>
          <w:rFonts w:cs="TimesNewRomanPSMT"/>
          <w:iCs/>
        </w:rPr>
        <w:t>regenerative medicine</w:t>
      </w:r>
      <w:r>
        <w:rPr>
          <w:rFonts w:cs="TimesNewRomanPSMT"/>
          <w:iCs/>
        </w:rPr>
        <w:t xml:space="preserve"> capability </w:t>
      </w:r>
      <w:r w:rsidR="008742AB">
        <w:rPr>
          <w:rFonts w:cs="TimesNewRomanPSMT"/>
          <w:iCs/>
        </w:rPr>
        <w:t>to</w:t>
      </w:r>
      <w:r>
        <w:rPr>
          <w:rFonts w:cs="TimesNewRomanPSMT"/>
          <w:iCs/>
        </w:rPr>
        <w:t xml:space="preserve"> significantly improve health outcomes. </w:t>
      </w:r>
    </w:p>
    <w:p w:rsidR="00CB541A" w:rsidRPr="00F843C9" w:rsidRDefault="00CB541A" w:rsidP="00CB541A">
      <w:pPr>
        <w:spacing w:after="60"/>
      </w:pPr>
      <w:r w:rsidRPr="00F843C9">
        <w:t xml:space="preserve">Collaboration is essential to realise the full potential of stem cell research and regenerative medicine in improving human health globally. This is particularly true in Australia where </w:t>
      </w:r>
      <w:r>
        <w:t>the</w:t>
      </w:r>
      <w:r w:rsidRPr="00F843C9">
        <w:t xml:space="preserve"> stem cell research community is of high quality, small and geographically </w:t>
      </w:r>
      <w:r w:rsidR="008742AB">
        <w:t>dispersed</w:t>
      </w:r>
      <w:r w:rsidRPr="00F843C9">
        <w:t xml:space="preserve">. </w:t>
      </w:r>
      <w:r>
        <w:t>S</w:t>
      </w:r>
      <w:r w:rsidRPr="00F843C9">
        <w:t xml:space="preserve">tem cell core capabilities will be critical </w:t>
      </w:r>
      <w:r>
        <w:t>and could include</w:t>
      </w:r>
      <w:r w:rsidRPr="00F843C9">
        <w:t xml:space="preserve">: </w:t>
      </w:r>
    </w:p>
    <w:p w:rsidR="00CB541A" w:rsidRPr="00421609" w:rsidRDefault="00CB541A" w:rsidP="00CB541A">
      <w:pPr>
        <w:pStyle w:val="ListParagraph"/>
        <w:numPr>
          <w:ilvl w:val="0"/>
          <w:numId w:val="22"/>
        </w:numPr>
        <w:spacing w:before="120" w:after="60"/>
        <w:ind w:left="357" w:hanging="357"/>
      </w:pPr>
      <w:r>
        <w:t>a</w:t>
      </w:r>
      <w:r w:rsidRPr="00421609">
        <w:t>utomated, cGMP-compliant induced pluripote</w:t>
      </w:r>
      <w:r>
        <w:t>nt stem cell (iPSC) capability</w:t>
      </w:r>
    </w:p>
    <w:p w:rsidR="00CB541A" w:rsidRPr="00421609" w:rsidRDefault="00CB541A" w:rsidP="00CB541A">
      <w:pPr>
        <w:pStyle w:val="ListParagraph"/>
        <w:numPr>
          <w:ilvl w:val="0"/>
          <w:numId w:val="22"/>
        </w:numPr>
        <w:spacing w:before="200" w:after="60"/>
      </w:pPr>
      <w:r>
        <w:t>patient-derived iPSC banking</w:t>
      </w:r>
    </w:p>
    <w:p w:rsidR="00CB541A" w:rsidRPr="00421609" w:rsidRDefault="00CB541A" w:rsidP="00CB541A">
      <w:pPr>
        <w:pStyle w:val="ListParagraph"/>
        <w:numPr>
          <w:ilvl w:val="0"/>
          <w:numId w:val="22"/>
        </w:numPr>
        <w:spacing w:before="200" w:after="60"/>
      </w:pPr>
      <w:r>
        <w:t>automated genome-engineering,</w:t>
      </w:r>
      <w:r w:rsidRPr="00421609">
        <w:t xml:space="preserve"> and</w:t>
      </w:r>
    </w:p>
    <w:p w:rsidR="004715B8" w:rsidRDefault="00CB541A" w:rsidP="00CB541A">
      <w:pPr>
        <w:pStyle w:val="ListParagraph"/>
        <w:numPr>
          <w:ilvl w:val="0"/>
          <w:numId w:val="22"/>
        </w:numPr>
        <w:spacing w:before="200" w:after="60"/>
        <w:rPr>
          <w:rFonts w:ascii="Calibri" w:hAnsi="Calibri"/>
          <w:color w:val="000000" w:themeColor="text1"/>
        </w:rPr>
      </w:pPr>
      <w:proofErr w:type="gramStart"/>
      <w:r>
        <w:t>w</w:t>
      </w:r>
      <w:r w:rsidRPr="00421609">
        <w:t>hole</w:t>
      </w:r>
      <w:proofErr w:type="gramEnd"/>
      <w:r w:rsidRPr="00421609">
        <w:t xml:space="preserve"> genome</w:t>
      </w:r>
      <w:r w:rsidRPr="00F843C9">
        <w:rPr>
          <w:rFonts w:ascii="Calibri" w:hAnsi="Calibri"/>
          <w:color w:val="000000" w:themeColor="text1"/>
        </w:rPr>
        <w:t xml:space="preserve"> analysis and subsequent development o</w:t>
      </w:r>
      <w:r>
        <w:rPr>
          <w:rFonts w:ascii="Calibri" w:hAnsi="Calibri"/>
          <w:color w:val="000000" w:themeColor="text1"/>
        </w:rPr>
        <w:t>f, and integration with, a self</w:t>
      </w:r>
      <w:r w:rsidR="00486755">
        <w:rPr>
          <w:rFonts w:ascii="Calibri" w:hAnsi="Calibri"/>
          <w:color w:val="000000" w:themeColor="text1"/>
        </w:rPr>
        <w:t>-</w:t>
      </w:r>
      <w:r w:rsidRPr="00F843C9">
        <w:rPr>
          <w:rFonts w:ascii="Calibri" w:hAnsi="Calibri"/>
          <w:color w:val="000000" w:themeColor="text1"/>
        </w:rPr>
        <w:t>learning, open, computational platform.</w:t>
      </w:r>
    </w:p>
    <w:p w:rsidR="004715B8" w:rsidRDefault="004715B8">
      <w:r>
        <w:br w:type="page"/>
      </w:r>
    </w:p>
    <w:p w:rsidR="00CB541A" w:rsidRPr="009B395E" w:rsidRDefault="00CB541A" w:rsidP="00CB541A">
      <w:pPr>
        <w:pStyle w:val="Heading3"/>
        <w:rPr>
          <w:rStyle w:val="Strong"/>
        </w:rPr>
      </w:pPr>
      <w:r w:rsidRPr="009B395E">
        <w:rPr>
          <w:rStyle w:val="Strong"/>
          <w:b/>
          <w:bCs/>
        </w:rPr>
        <w:lastRenderedPageBreak/>
        <w:t>Managing and leveraging research data insights</w:t>
      </w:r>
    </w:p>
    <w:p w:rsidR="00CB541A" w:rsidRDefault="008742AB" w:rsidP="00CB541A">
      <w:r>
        <w:rPr>
          <w:iCs/>
        </w:rPr>
        <w:t>D</w:t>
      </w:r>
      <w:r w:rsidR="00CB541A">
        <w:rPr>
          <w:iCs/>
        </w:rPr>
        <w:t xml:space="preserve">ata </w:t>
      </w:r>
      <w:r w:rsidR="00CB541A">
        <w:t>systems to support</w:t>
      </w:r>
      <w:r>
        <w:t xml:space="preserve"> the</w:t>
      </w:r>
      <w:r w:rsidR="00CB541A">
        <w:t xml:space="preserve"> interrogati</w:t>
      </w:r>
      <w:r>
        <w:t>on</w:t>
      </w:r>
      <w:r w:rsidR="00CB541A">
        <w:t xml:space="preserve"> and interpret</w:t>
      </w:r>
      <w:r>
        <w:t>ation of</w:t>
      </w:r>
      <w:r w:rsidR="00CB541A">
        <w:t xml:space="preserve"> clinical practice and research </w:t>
      </w:r>
      <w:r>
        <w:t>data</w:t>
      </w:r>
      <w:r w:rsidR="00CB541A">
        <w:t xml:space="preserve">, creation of </w:t>
      </w:r>
      <w:r w:rsidR="00CB541A" w:rsidRPr="008E6FDA">
        <w:t>a strong bioinformati</w:t>
      </w:r>
      <w:r w:rsidR="00CB541A">
        <w:t>cs</w:t>
      </w:r>
      <w:r w:rsidR="00CB541A" w:rsidRPr="008E6FDA">
        <w:t xml:space="preserve"> capability</w:t>
      </w:r>
      <w:r w:rsidR="00CB541A">
        <w:t>, e</w:t>
      </w:r>
      <w:r w:rsidR="00CB541A" w:rsidRPr="008E6FDA">
        <w:t xml:space="preserve">ducation of </w:t>
      </w:r>
      <w:r w:rsidR="00CB541A">
        <w:t xml:space="preserve">the </w:t>
      </w:r>
      <w:r w:rsidR="00CB541A" w:rsidRPr="008E6FDA">
        <w:t xml:space="preserve">current and next generation of </w:t>
      </w:r>
      <w:r w:rsidR="00CB541A">
        <w:t>clinician</w:t>
      </w:r>
      <w:r w:rsidR="00CB541A" w:rsidRPr="008E6FDA">
        <w:t xml:space="preserve">s to understand integration </w:t>
      </w:r>
      <w:r w:rsidR="00CB541A">
        <w:t xml:space="preserve">of data analysis </w:t>
      </w:r>
      <w:r w:rsidR="00CB541A" w:rsidRPr="008E6FDA">
        <w:t>into practice</w:t>
      </w:r>
      <w:r w:rsidR="00CB541A">
        <w:t xml:space="preserve"> and c</w:t>
      </w:r>
      <w:r w:rsidR="00CB541A">
        <w:rPr>
          <w:iCs/>
        </w:rPr>
        <w:t>hanges to the way r</w:t>
      </w:r>
      <w:r w:rsidR="00CB541A">
        <w:t>outine consent by all patients for ethics approved research is obtained</w:t>
      </w:r>
      <w:r>
        <w:t xml:space="preserve"> are all critical</w:t>
      </w:r>
      <w:r w:rsidR="00CB541A">
        <w:t xml:space="preserve">. </w:t>
      </w:r>
    </w:p>
    <w:p w:rsidR="005F4BC3" w:rsidRDefault="00CB541A" w:rsidP="00CB541A">
      <w:pPr>
        <w:spacing w:before="120"/>
        <w:ind w:right="-330"/>
      </w:pPr>
      <w:r w:rsidRPr="00F843C9">
        <w:t>A population biobank for population genomics and research into the causes, prevention and treatment of disease</w:t>
      </w:r>
      <w:r>
        <w:t xml:space="preserve"> will provide significant national benefit</w:t>
      </w:r>
      <w:r w:rsidRPr="00F843C9">
        <w:t xml:space="preserve">. Other countries have well-established population biobank infrastructure </w:t>
      </w:r>
      <w:r>
        <w:t xml:space="preserve">supporting </w:t>
      </w:r>
      <w:r w:rsidRPr="00F843C9">
        <w:t>important research</w:t>
      </w:r>
      <w:r>
        <w:t>.</w:t>
      </w:r>
      <w:r w:rsidRPr="00F843C9">
        <w:t xml:space="preserve"> </w:t>
      </w:r>
      <w:r>
        <w:t>T</w:t>
      </w:r>
      <w:r w:rsidRPr="00F843C9">
        <w:t>he UK Biobank, for example, has samples from 500,000 people</w:t>
      </w:r>
      <w:r>
        <w:t xml:space="preserve"> of</w:t>
      </w:r>
      <w:r w:rsidRPr="00F843C9">
        <w:t xml:space="preserve"> blood, urine and saliva </w:t>
      </w:r>
      <w:r>
        <w:t>in</w:t>
      </w:r>
      <w:r w:rsidRPr="00F843C9">
        <w:t xml:space="preserve"> secure storage </w:t>
      </w:r>
      <w:r>
        <w:t>for</w:t>
      </w:r>
      <w:r w:rsidRPr="00F843C9">
        <w:t xml:space="preserve"> analysis, </w:t>
      </w:r>
      <w:r>
        <w:t>providing</w:t>
      </w:r>
      <w:r w:rsidRPr="00F843C9">
        <w:t xml:space="preserve"> detailed health and lifestyle information and </w:t>
      </w:r>
      <w:r>
        <w:t xml:space="preserve">includes </w:t>
      </w:r>
      <w:r w:rsidRPr="00F843C9">
        <w:t xml:space="preserve">agreed follow-up and linkage </w:t>
      </w:r>
      <w:r>
        <w:t xml:space="preserve">to individual </w:t>
      </w:r>
      <w:r w:rsidRPr="00F843C9">
        <w:t>health records</w:t>
      </w:r>
      <w:r>
        <w:rPr>
          <w:rStyle w:val="FootnoteReference"/>
        </w:rPr>
        <w:footnoteReference w:id="11"/>
      </w:r>
      <w:r w:rsidRPr="00F843C9">
        <w:t xml:space="preserve">. </w:t>
      </w:r>
    </w:p>
    <w:p w:rsidR="00CB541A" w:rsidRDefault="00CB541A" w:rsidP="00CB541A">
      <w:pPr>
        <w:spacing w:before="120"/>
        <w:ind w:right="-330"/>
      </w:pPr>
      <w:r w:rsidRPr="00F843C9">
        <w:t>Australia has many small tissue and blood sample banks but no population biobank.</w:t>
      </w:r>
      <w:r>
        <w:t xml:space="preserve"> </w:t>
      </w:r>
      <w:r w:rsidRPr="00F843C9">
        <w:t xml:space="preserve">New facilities for rapid and relatively low-cost whole genome sequencing </w:t>
      </w:r>
      <w:r>
        <w:t xml:space="preserve">would </w:t>
      </w:r>
      <w:r w:rsidRPr="00F843C9">
        <w:t xml:space="preserve">enable the scaled up processing necessary </w:t>
      </w:r>
      <w:r>
        <w:t>fo</w:t>
      </w:r>
      <w:r w:rsidRPr="00F843C9">
        <w:t>r population genomics</w:t>
      </w:r>
      <w:r>
        <w:t xml:space="preserve"> to</w:t>
      </w:r>
      <w:r w:rsidRPr="00F843C9">
        <w:t xml:space="preserve"> support research into the full spectrum of human disease.</w:t>
      </w:r>
    </w:p>
    <w:p w:rsidR="00CB541A" w:rsidRPr="00F843C9" w:rsidRDefault="00CB541A" w:rsidP="00CB541A">
      <w:pPr>
        <w:spacing w:before="120"/>
      </w:pPr>
      <w:r>
        <w:rPr>
          <w:rFonts w:cstheme="minorHAnsi"/>
        </w:rPr>
        <w:t xml:space="preserve">Creating </w:t>
      </w:r>
      <w:r w:rsidRPr="00D324F2">
        <w:rPr>
          <w:rFonts w:cstheme="minorHAnsi"/>
        </w:rPr>
        <w:t>a</w:t>
      </w:r>
      <w:r>
        <w:rPr>
          <w:rFonts w:cstheme="minorHAnsi"/>
        </w:rPr>
        <w:t xml:space="preserve"> </w:t>
      </w:r>
      <w:r w:rsidRPr="003415CB">
        <w:rPr>
          <w:rFonts w:cstheme="minorHAnsi"/>
        </w:rPr>
        <w:t>national health and medical</w:t>
      </w:r>
      <w:r>
        <w:rPr>
          <w:rFonts w:cstheme="minorHAnsi"/>
        </w:rPr>
        <w:t xml:space="preserve"> big</w:t>
      </w:r>
      <w:r w:rsidRPr="003415CB">
        <w:rPr>
          <w:rFonts w:cstheme="minorHAnsi"/>
        </w:rPr>
        <w:t xml:space="preserve"> data </w:t>
      </w:r>
      <w:r>
        <w:rPr>
          <w:rFonts w:cstheme="minorHAnsi"/>
        </w:rPr>
        <w:t xml:space="preserve">capability </w:t>
      </w:r>
      <w:r w:rsidRPr="00D324F2">
        <w:rPr>
          <w:rFonts w:cstheme="minorHAnsi"/>
        </w:rPr>
        <w:t xml:space="preserve">would </w:t>
      </w:r>
      <w:r w:rsidRPr="00F843C9">
        <w:t>enabl</w:t>
      </w:r>
      <w:r w:rsidR="00DD4435">
        <w:t>e</w:t>
      </w:r>
      <w:r>
        <w:t xml:space="preserve"> linkage</w:t>
      </w:r>
      <w:r w:rsidRPr="00F843C9">
        <w:t xml:space="preserve"> and use of</w:t>
      </w:r>
      <w:r>
        <w:t xml:space="preserve"> </w:t>
      </w:r>
      <w:r w:rsidRPr="00F843C9">
        <w:t>large scale data encompassing the full spectrum from genome to health services and health outcomes</w:t>
      </w:r>
      <w:r w:rsidR="003D36FF">
        <w:t xml:space="preserve">, </w:t>
      </w:r>
      <w:r w:rsidRPr="00F843C9">
        <w:t>leveraging existing and emerging datasets</w:t>
      </w:r>
      <w:r>
        <w:t>.</w:t>
      </w:r>
      <w:r w:rsidRPr="00F843C9">
        <w:t xml:space="preserve"> </w:t>
      </w:r>
      <w:r>
        <w:t>This</w:t>
      </w:r>
      <w:r w:rsidR="008742AB">
        <w:t xml:space="preserve"> capability</w:t>
      </w:r>
      <w:r>
        <w:t xml:space="preserve"> would build on and substantially extend the existing </w:t>
      </w:r>
      <w:proofErr w:type="spellStart"/>
      <w:r>
        <w:t>PHRN</w:t>
      </w:r>
      <w:proofErr w:type="spellEnd"/>
      <w:r>
        <w:t xml:space="preserve"> </w:t>
      </w:r>
      <w:r w:rsidR="003D36FF">
        <w:t>infrastructure</w:t>
      </w:r>
      <w:r w:rsidR="008742AB">
        <w:t xml:space="preserve">. It would </w:t>
      </w:r>
      <w:r>
        <w:t>enable a single, streamlined approval process, without the requir</w:t>
      </w:r>
      <w:r w:rsidR="008742AB">
        <w:t>ing</w:t>
      </w:r>
      <w:r>
        <w:t xml:space="preserve"> interaction with multiple data custodians, ethics committees and data linkage units.</w:t>
      </w:r>
    </w:p>
    <w:p w:rsidR="00CB541A" w:rsidRDefault="00CB541A" w:rsidP="00CB541A">
      <w:pPr>
        <w:spacing w:before="120"/>
      </w:pPr>
      <w:r>
        <w:t xml:space="preserve">We need to ensure that all ‘omics data collected in research infrastructure is obtained using clinical, industry and international standards. There will be increasing need for transcriptomics, micro and non-coding </w:t>
      </w:r>
      <w:proofErr w:type="spellStart"/>
      <w:r>
        <w:t>RNAs</w:t>
      </w:r>
      <w:proofErr w:type="spellEnd"/>
      <w:r>
        <w:t xml:space="preserve">, </w:t>
      </w:r>
      <w:proofErr w:type="spellStart"/>
      <w:proofErr w:type="gramStart"/>
      <w:r w:rsidR="00366410">
        <w:t>epigenomics</w:t>
      </w:r>
      <w:proofErr w:type="spellEnd"/>
      <w:r>
        <w:t xml:space="preserve"> </w:t>
      </w:r>
      <w:r w:rsidR="00366410">
        <w:t xml:space="preserve"> </w:t>
      </w:r>
      <w:r>
        <w:t>proteomics</w:t>
      </w:r>
      <w:proofErr w:type="gramEnd"/>
      <w:r>
        <w:t xml:space="preserve"> and metabolomics data.</w:t>
      </w:r>
    </w:p>
    <w:p w:rsidR="00CB541A" w:rsidRDefault="00CB541A" w:rsidP="00CB541A">
      <w:pPr>
        <w:spacing w:before="120"/>
      </w:pPr>
      <w:r>
        <w:t>In order to maximise clinical utility through agreed data specifications, ‘omics data should be collected using well defined and broadly applicable clinical and industry standards. This will require alignment of research facilities with diagnostic pathology groups to develop National Association of Testing Authorities (NATA) accredited research units</w:t>
      </w:r>
      <w:r w:rsidR="00366410">
        <w:t>.</w:t>
      </w:r>
      <w:r>
        <w:t xml:space="preserve"> </w:t>
      </w:r>
      <w:r w:rsidR="00366410">
        <w:t>N</w:t>
      </w:r>
      <w:r>
        <w:t>ational research infrastructure in all ‘omics areas should adopt international standards as they develop.</w:t>
      </w:r>
    </w:p>
    <w:p w:rsidR="00CB541A" w:rsidRDefault="00CB541A">
      <w:r>
        <w:br w:type="page"/>
      </w:r>
    </w:p>
    <w:p w:rsidR="00CB541A" w:rsidRPr="00D5555B" w:rsidRDefault="00CB541A" w:rsidP="00CB541A">
      <w:pPr>
        <w:widowControl w:val="0"/>
        <w:suppressAutoHyphens/>
        <w:spacing w:after="120"/>
      </w:pPr>
      <w:r w:rsidRPr="00CB541A">
        <w:lastRenderedPageBreak/>
        <w:t>This table provides a snapshot of current and proposed future research infrastructure capabilities.</w:t>
      </w:r>
      <w:r w:rsidRPr="00602B3B">
        <w:rPr>
          <w:b/>
        </w:rPr>
        <w:t xml:space="preserve"> </w:t>
      </w:r>
      <w:r w:rsidRPr="00D5555B">
        <w:rPr>
          <w:rFonts w:ascii="Calibri" w:eastAsiaTheme="majorEastAsia" w:hAnsi="Calibri" w:cstheme="majorBidi"/>
          <w:bCs/>
          <w:color w:val="000000" w:themeColor="text1"/>
        </w:rPr>
        <w:t xml:space="preserve">These are examples </w:t>
      </w:r>
      <w:r w:rsidR="00FE0926">
        <w:rPr>
          <w:rFonts w:ascii="Calibri" w:eastAsiaTheme="majorEastAsia" w:hAnsi="Calibri" w:cstheme="majorBidi"/>
          <w:bCs/>
          <w:color w:val="000000" w:themeColor="text1"/>
        </w:rPr>
        <w:t xml:space="preserve">and are </w:t>
      </w:r>
      <w:r w:rsidRPr="00D5555B">
        <w:rPr>
          <w:rFonts w:ascii="Calibri" w:eastAsiaTheme="majorEastAsia" w:hAnsi="Calibri" w:cstheme="majorBidi"/>
          <w:bCs/>
          <w:color w:val="000000" w:themeColor="text1"/>
        </w:rPr>
        <w:t>not an exhaustive list</w:t>
      </w:r>
      <w:r w:rsidR="004715B8">
        <w:rPr>
          <w:rFonts w:ascii="Calibri" w:eastAsiaTheme="majorEastAsia" w:hAnsi="Calibri" w:cstheme="majorBidi"/>
          <w:bCs/>
          <w:color w:val="000000" w:themeColor="text1"/>
        </w:rPr>
        <w:t>.</w:t>
      </w:r>
    </w:p>
    <w:tbl>
      <w:tblPr>
        <w:tblStyle w:val="TableGrid"/>
        <w:tblW w:w="9799" w:type="dxa"/>
        <w:tblLook w:val="04A0" w:firstRow="1" w:lastRow="0" w:firstColumn="1" w:lastColumn="0" w:noHBand="0" w:noVBand="1"/>
        <w:tblCaption w:val="Table header"/>
        <w:tblDescription w:val="Research Infrastructure Snapshot - Health and Medical Science"/>
      </w:tblPr>
      <w:tblGrid>
        <w:gridCol w:w="819"/>
        <w:gridCol w:w="4392"/>
        <w:gridCol w:w="4588"/>
      </w:tblGrid>
      <w:tr w:rsidR="00CB541A" w:rsidTr="004F2B82">
        <w:tc>
          <w:tcPr>
            <w:tcW w:w="9799" w:type="dxa"/>
            <w:gridSpan w:val="3"/>
            <w:shd w:val="clear" w:color="auto" w:fill="FFC000"/>
          </w:tcPr>
          <w:p w:rsidR="00CB541A" w:rsidRDefault="00CB541A" w:rsidP="00D53FD0">
            <w:pPr>
              <w:spacing w:before="120" w:after="120"/>
              <w:jc w:val="center"/>
              <w:rPr>
                <w:b/>
              </w:rPr>
            </w:pPr>
            <w:r>
              <w:rPr>
                <w:b/>
              </w:rPr>
              <w:t xml:space="preserve">Research Infrastructure Snapshot – Health and Medical </w:t>
            </w:r>
            <w:r w:rsidR="00D53FD0">
              <w:rPr>
                <w:b/>
              </w:rPr>
              <w:t>Science</w:t>
            </w:r>
          </w:p>
        </w:tc>
      </w:tr>
      <w:tr w:rsidR="00CB541A" w:rsidRPr="00F86FE1" w:rsidTr="004F2B82">
        <w:tc>
          <w:tcPr>
            <w:tcW w:w="819" w:type="dxa"/>
            <w:shd w:val="clear" w:color="auto" w:fill="499FE1" w:themeFill="accent1" w:themeFillTint="99"/>
          </w:tcPr>
          <w:p w:rsidR="00CB541A" w:rsidRDefault="00CB541A" w:rsidP="004F2B82">
            <w:pPr>
              <w:rPr>
                <w:b/>
              </w:rPr>
            </w:pPr>
          </w:p>
        </w:tc>
        <w:tc>
          <w:tcPr>
            <w:tcW w:w="4392" w:type="dxa"/>
            <w:shd w:val="clear" w:color="auto" w:fill="499FE1" w:themeFill="accent1" w:themeFillTint="99"/>
          </w:tcPr>
          <w:p w:rsidR="00CB541A" w:rsidRDefault="00CB541A" w:rsidP="00CB541A">
            <w:pPr>
              <w:rPr>
                <w:b/>
              </w:rPr>
            </w:pPr>
            <w:r>
              <w:rPr>
                <w:b/>
              </w:rPr>
              <w:t>Existing capability elements</w:t>
            </w:r>
          </w:p>
        </w:tc>
        <w:tc>
          <w:tcPr>
            <w:tcW w:w="4588" w:type="dxa"/>
            <w:shd w:val="clear" w:color="auto" w:fill="499FE1" w:themeFill="accent1" w:themeFillTint="99"/>
          </w:tcPr>
          <w:p w:rsidR="00CB541A" w:rsidRPr="00F86FE1" w:rsidRDefault="00CB541A" w:rsidP="00CB541A">
            <w:pPr>
              <w:rPr>
                <w:b/>
              </w:rPr>
            </w:pPr>
            <w:r>
              <w:rPr>
                <w:b/>
              </w:rPr>
              <w:t>Existing infrastructure</w:t>
            </w:r>
          </w:p>
        </w:tc>
      </w:tr>
      <w:tr w:rsidR="00CB541A" w:rsidRPr="00884903" w:rsidTr="004F2B82">
        <w:tc>
          <w:tcPr>
            <w:tcW w:w="819" w:type="dxa"/>
          </w:tcPr>
          <w:p w:rsidR="00CB541A" w:rsidRDefault="00CB541A" w:rsidP="004F2B82">
            <w:pPr>
              <w:rPr>
                <w:b/>
              </w:rPr>
            </w:pPr>
          </w:p>
          <w:p w:rsidR="00CB541A" w:rsidRDefault="00CB541A" w:rsidP="004F2B82">
            <w:pPr>
              <w:rPr>
                <w:b/>
              </w:rPr>
            </w:pPr>
            <w:r>
              <w:rPr>
                <w:b/>
              </w:rPr>
              <w:t>Now</w:t>
            </w:r>
          </w:p>
        </w:tc>
        <w:tc>
          <w:tcPr>
            <w:tcW w:w="4392" w:type="dxa"/>
          </w:tcPr>
          <w:p w:rsidR="00CB541A" w:rsidRPr="00C3079A" w:rsidRDefault="00CB541A" w:rsidP="004F2B82">
            <w:pPr>
              <w:pStyle w:val="ListParagraph"/>
              <w:numPr>
                <w:ilvl w:val="0"/>
                <w:numId w:val="6"/>
              </w:numPr>
              <w:ind w:left="268" w:hanging="283"/>
            </w:pPr>
            <w:r w:rsidRPr="00C3079A">
              <w:t xml:space="preserve">Biological </w:t>
            </w:r>
            <w:r w:rsidR="00704D82" w:rsidRPr="00C3079A">
              <w:t>collections and biobanks</w:t>
            </w:r>
          </w:p>
          <w:p w:rsidR="00CB541A" w:rsidRPr="00C3079A" w:rsidRDefault="00CB541A" w:rsidP="004F2B82">
            <w:pPr>
              <w:pStyle w:val="ListParagraph"/>
              <w:numPr>
                <w:ilvl w:val="0"/>
                <w:numId w:val="6"/>
              </w:numPr>
              <w:ind w:left="268" w:hanging="283"/>
            </w:pPr>
            <w:r w:rsidRPr="00C3079A">
              <w:t xml:space="preserve">Digitisation </w:t>
            </w:r>
          </w:p>
          <w:p w:rsidR="00CB541A" w:rsidRPr="00C02C6B" w:rsidRDefault="00CB541A" w:rsidP="004F2B82">
            <w:pPr>
              <w:pStyle w:val="ListParagraph"/>
              <w:numPr>
                <w:ilvl w:val="0"/>
                <w:numId w:val="6"/>
              </w:numPr>
              <w:ind w:left="268" w:hanging="283"/>
            </w:pPr>
            <w:r w:rsidRPr="00C3079A">
              <w:t xml:space="preserve">eResearch </w:t>
            </w:r>
          </w:p>
          <w:p w:rsidR="00CB541A" w:rsidRPr="00C3079A" w:rsidRDefault="00704D82" w:rsidP="004F2B82">
            <w:pPr>
              <w:pStyle w:val="ListParagraph"/>
              <w:numPr>
                <w:ilvl w:val="0"/>
                <w:numId w:val="6"/>
              </w:numPr>
              <w:ind w:left="268" w:hanging="283"/>
            </w:pPr>
            <w:r>
              <w:t>Integrated b</w:t>
            </w:r>
            <w:r w:rsidR="00CB541A" w:rsidRPr="00C3079A">
              <w:t>iosecurity</w:t>
            </w:r>
          </w:p>
          <w:p w:rsidR="00CB541A" w:rsidRPr="00C02C6B" w:rsidRDefault="00CB541A" w:rsidP="004F2B82">
            <w:pPr>
              <w:pStyle w:val="ListParagraph"/>
              <w:numPr>
                <w:ilvl w:val="0"/>
                <w:numId w:val="6"/>
              </w:numPr>
              <w:ind w:left="268" w:hanging="283"/>
            </w:pPr>
            <w:r w:rsidRPr="00C3079A">
              <w:t xml:space="preserve">Population Health Research </w:t>
            </w:r>
            <w:r>
              <w:t>Network</w:t>
            </w:r>
          </w:p>
          <w:p w:rsidR="00CB541A" w:rsidRPr="00C3079A" w:rsidRDefault="00CB541A" w:rsidP="004F2B82">
            <w:pPr>
              <w:pStyle w:val="ListParagraph"/>
              <w:numPr>
                <w:ilvl w:val="0"/>
                <w:numId w:val="6"/>
              </w:numPr>
              <w:ind w:left="268" w:hanging="283"/>
            </w:pPr>
            <w:r w:rsidRPr="00C3079A">
              <w:t xml:space="preserve">Translating </w:t>
            </w:r>
            <w:r w:rsidR="00704D82" w:rsidRPr="00C3079A">
              <w:t xml:space="preserve">health research </w:t>
            </w:r>
          </w:p>
          <w:p w:rsidR="00CB541A" w:rsidRDefault="00CB541A" w:rsidP="008C5EA8">
            <w:pPr>
              <w:ind w:left="-15"/>
            </w:pPr>
          </w:p>
        </w:tc>
        <w:tc>
          <w:tcPr>
            <w:tcW w:w="4588" w:type="dxa"/>
          </w:tcPr>
          <w:p w:rsidR="002B72C6" w:rsidRDefault="00CB541A" w:rsidP="004F2B82">
            <w:pPr>
              <w:pStyle w:val="ListParagraph"/>
              <w:numPr>
                <w:ilvl w:val="0"/>
                <w:numId w:val="6"/>
              </w:numPr>
              <w:ind w:left="268" w:hanging="283"/>
            </w:pPr>
            <w:r>
              <w:t>National Computational Infrastructure</w:t>
            </w:r>
          </w:p>
          <w:p w:rsidR="00CB541A" w:rsidRDefault="00CB541A" w:rsidP="004F2B82">
            <w:pPr>
              <w:pStyle w:val="ListParagraph"/>
              <w:numPr>
                <w:ilvl w:val="0"/>
                <w:numId w:val="6"/>
              </w:numPr>
              <w:ind w:left="268" w:hanging="283"/>
            </w:pPr>
            <w:proofErr w:type="spellStart"/>
            <w:r>
              <w:t>Pawsey</w:t>
            </w:r>
            <w:proofErr w:type="spellEnd"/>
            <w:r w:rsidR="002B72C6">
              <w:t xml:space="preserve"> Supercomputing Centre</w:t>
            </w:r>
          </w:p>
          <w:p w:rsidR="00CB541A" w:rsidRDefault="00CB541A" w:rsidP="004F2B82">
            <w:pPr>
              <w:pStyle w:val="ListParagraph"/>
              <w:numPr>
                <w:ilvl w:val="0"/>
                <w:numId w:val="6"/>
              </w:numPr>
              <w:ind w:left="268" w:hanging="283"/>
            </w:pPr>
            <w:r>
              <w:t>Bioplatforms Australia</w:t>
            </w:r>
          </w:p>
          <w:p w:rsidR="00CB541A" w:rsidRDefault="00CB541A" w:rsidP="004F2B82">
            <w:pPr>
              <w:pStyle w:val="ListParagraph"/>
              <w:numPr>
                <w:ilvl w:val="0"/>
                <w:numId w:val="6"/>
              </w:numPr>
              <w:ind w:left="268" w:hanging="283"/>
            </w:pPr>
            <w:r>
              <w:t>Population Health Research Network</w:t>
            </w:r>
          </w:p>
          <w:p w:rsidR="002B72C6" w:rsidRDefault="00CB541A" w:rsidP="004F2B82">
            <w:pPr>
              <w:pStyle w:val="ListParagraph"/>
              <w:numPr>
                <w:ilvl w:val="0"/>
                <w:numId w:val="6"/>
              </w:numPr>
              <w:ind w:left="268" w:hanging="283"/>
            </w:pPr>
            <w:r>
              <w:t>Australian Microscopy and Mi</w:t>
            </w:r>
            <w:r w:rsidR="002B72C6">
              <w:t xml:space="preserve">croanalysis Research Facility </w:t>
            </w:r>
          </w:p>
          <w:p w:rsidR="00CB541A" w:rsidRDefault="00CB541A" w:rsidP="004F2B82">
            <w:pPr>
              <w:pStyle w:val="ListParagraph"/>
              <w:numPr>
                <w:ilvl w:val="0"/>
                <w:numId w:val="6"/>
              </w:numPr>
              <w:ind w:left="268" w:hanging="283"/>
            </w:pPr>
            <w:r>
              <w:t>National Imaging Facility</w:t>
            </w:r>
          </w:p>
          <w:p w:rsidR="00CB541A" w:rsidRDefault="002B72C6" w:rsidP="004F2B82">
            <w:pPr>
              <w:pStyle w:val="ListParagraph"/>
              <w:numPr>
                <w:ilvl w:val="0"/>
                <w:numId w:val="6"/>
              </w:numPr>
              <w:ind w:left="268" w:hanging="283"/>
            </w:pPr>
            <w:r>
              <w:t>Therapeutic Innovation</w:t>
            </w:r>
            <w:r w:rsidR="00CB541A">
              <w:t xml:space="preserve"> Australia</w:t>
            </w:r>
          </w:p>
          <w:p w:rsidR="00CB541A" w:rsidRDefault="00CB541A" w:rsidP="004F2B82">
            <w:pPr>
              <w:pStyle w:val="ListParagraph"/>
              <w:numPr>
                <w:ilvl w:val="0"/>
                <w:numId w:val="6"/>
              </w:numPr>
              <w:ind w:left="268" w:hanging="283"/>
            </w:pPr>
            <w:r>
              <w:t xml:space="preserve">Australian Nuclear Science and Technology Organisation: neutron scattering, </w:t>
            </w:r>
            <w:r w:rsidR="00704D82">
              <w:t>x</w:t>
            </w:r>
            <w:r>
              <w:t>-ray scattering and electron microscopy</w:t>
            </w:r>
          </w:p>
          <w:p w:rsidR="00CB541A" w:rsidRPr="00DA114A" w:rsidRDefault="00CB541A" w:rsidP="004F2B82">
            <w:pPr>
              <w:pStyle w:val="ListParagraph"/>
              <w:numPr>
                <w:ilvl w:val="0"/>
                <w:numId w:val="6"/>
              </w:numPr>
              <w:ind w:left="268" w:hanging="283"/>
            </w:pPr>
            <w:r>
              <w:t>Australian Animal Health Laboratory</w:t>
            </w:r>
          </w:p>
        </w:tc>
      </w:tr>
      <w:tr w:rsidR="00CB541A" w:rsidRPr="00F86FE1" w:rsidTr="004F2B82">
        <w:tc>
          <w:tcPr>
            <w:tcW w:w="819" w:type="dxa"/>
            <w:shd w:val="clear" w:color="auto" w:fill="499FE1" w:themeFill="accent1" w:themeFillTint="99"/>
          </w:tcPr>
          <w:p w:rsidR="00CB541A" w:rsidRDefault="00CB541A" w:rsidP="004F2B82">
            <w:pPr>
              <w:jc w:val="center"/>
              <w:rPr>
                <w:b/>
              </w:rPr>
            </w:pPr>
          </w:p>
        </w:tc>
        <w:tc>
          <w:tcPr>
            <w:tcW w:w="4392" w:type="dxa"/>
            <w:shd w:val="clear" w:color="auto" w:fill="499FE1" w:themeFill="accent1" w:themeFillTint="99"/>
          </w:tcPr>
          <w:p w:rsidR="00CB541A" w:rsidRPr="00F86FE1" w:rsidRDefault="00CB541A" w:rsidP="00CB541A">
            <w:pPr>
              <w:rPr>
                <w:b/>
              </w:rPr>
            </w:pPr>
            <w:r>
              <w:rPr>
                <w:b/>
              </w:rPr>
              <w:t>Emerging trends</w:t>
            </w:r>
          </w:p>
        </w:tc>
        <w:tc>
          <w:tcPr>
            <w:tcW w:w="4588" w:type="dxa"/>
            <w:shd w:val="clear" w:color="auto" w:fill="499FE1" w:themeFill="accent1" w:themeFillTint="99"/>
          </w:tcPr>
          <w:p w:rsidR="00CB541A" w:rsidRPr="00F86FE1" w:rsidRDefault="00CB541A" w:rsidP="00CB541A">
            <w:pPr>
              <w:rPr>
                <w:b/>
              </w:rPr>
            </w:pPr>
            <w:r>
              <w:rPr>
                <w:b/>
              </w:rPr>
              <w:t>Examples of potential new infrastructure</w:t>
            </w:r>
            <w:r w:rsidDel="009C2D8A">
              <w:rPr>
                <w:b/>
              </w:rPr>
              <w:t xml:space="preserve"> </w:t>
            </w:r>
          </w:p>
        </w:tc>
      </w:tr>
      <w:tr w:rsidR="00CB541A" w:rsidRPr="00884903" w:rsidTr="004F2B82">
        <w:tc>
          <w:tcPr>
            <w:tcW w:w="819" w:type="dxa"/>
          </w:tcPr>
          <w:p w:rsidR="00CB541A" w:rsidRDefault="00CB541A" w:rsidP="004F2B82">
            <w:pPr>
              <w:rPr>
                <w:b/>
              </w:rPr>
            </w:pPr>
          </w:p>
          <w:p w:rsidR="00CB541A" w:rsidRPr="00F86FE1" w:rsidRDefault="00CB541A" w:rsidP="004F2B82">
            <w:pPr>
              <w:rPr>
                <w:b/>
              </w:rPr>
            </w:pPr>
            <w:r>
              <w:rPr>
                <w:b/>
              </w:rPr>
              <w:t>Future</w:t>
            </w:r>
          </w:p>
        </w:tc>
        <w:tc>
          <w:tcPr>
            <w:tcW w:w="4392" w:type="dxa"/>
          </w:tcPr>
          <w:p w:rsidR="00CB541A" w:rsidRDefault="00CB541A" w:rsidP="004F2B82">
            <w:pPr>
              <w:ind w:left="-15"/>
            </w:pPr>
            <w:r>
              <w:t>In addition to continuing existing capabilities:</w:t>
            </w:r>
          </w:p>
          <w:p w:rsidR="00CB541A" w:rsidRPr="00DD274E" w:rsidRDefault="00CB541A" w:rsidP="004F2B82">
            <w:pPr>
              <w:pStyle w:val="ListParagraph"/>
              <w:numPr>
                <w:ilvl w:val="0"/>
                <w:numId w:val="6"/>
              </w:numPr>
              <w:ind w:left="268" w:hanging="283"/>
            </w:pPr>
            <w:r>
              <w:t xml:space="preserve">Expand the </w:t>
            </w:r>
            <w:r w:rsidRPr="00DD274E">
              <w:t>Population Health Research Network</w:t>
            </w:r>
          </w:p>
          <w:p w:rsidR="00CB541A" w:rsidRPr="00C02C6B" w:rsidRDefault="00E23114" w:rsidP="004F2B82">
            <w:pPr>
              <w:pStyle w:val="ListParagraph"/>
              <w:numPr>
                <w:ilvl w:val="0"/>
                <w:numId w:val="6"/>
              </w:numPr>
              <w:ind w:left="268" w:hanging="283"/>
            </w:pPr>
            <w:r>
              <w:t>Enhanced b</w:t>
            </w:r>
            <w:r w:rsidR="00CB541A" w:rsidRPr="00C02C6B">
              <w:t>iomolecular research</w:t>
            </w:r>
          </w:p>
          <w:p w:rsidR="00CB541A" w:rsidRPr="00C02C6B" w:rsidRDefault="00CB541A" w:rsidP="004F2B82">
            <w:pPr>
              <w:pStyle w:val="ListParagraph"/>
              <w:numPr>
                <w:ilvl w:val="0"/>
                <w:numId w:val="6"/>
              </w:numPr>
              <w:ind w:left="268" w:hanging="283"/>
            </w:pPr>
            <w:r w:rsidRPr="00C02C6B">
              <w:t xml:space="preserve">Enhanced </w:t>
            </w:r>
            <w:r w:rsidR="00704D82">
              <w:t>i</w:t>
            </w:r>
            <w:r w:rsidRPr="00C02C6B">
              <w:t xml:space="preserve">maging </w:t>
            </w:r>
            <w:r w:rsidR="00704D82">
              <w:t>capability</w:t>
            </w:r>
          </w:p>
          <w:p w:rsidR="00CB541A" w:rsidRPr="00C02C6B" w:rsidRDefault="00CB541A" w:rsidP="004F2B82">
            <w:pPr>
              <w:pStyle w:val="ListParagraph"/>
              <w:numPr>
                <w:ilvl w:val="0"/>
                <w:numId w:val="6"/>
              </w:numPr>
              <w:ind w:left="268" w:hanging="283"/>
            </w:pPr>
            <w:r w:rsidRPr="00C02C6B">
              <w:t xml:space="preserve">Enhanced </w:t>
            </w:r>
            <w:proofErr w:type="spellStart"/>
            <w:r w:rsidRPr="00C02C6B">
              <w:t>BSL4</w:t>
            </w:r>
            <w:proofErr w:type="spellEnd"/>
            <w:r w:rsidRPr="00C02C6B">
              <w:t xml:space="preserve"> laboratory capability</w:t>
            </w:r>
          </w:p>
          <w:p w:rsidR="00CB541A" w:rsidRPr="00C02C6B" w:rsidRDefault="00CB541A" w:rsidP="004F2B82">
            <w:pPr>
              <w:pStyle w:val="ListParagraph"/>
              <w:numPr>
                <w:ilvl w:val="0"/>
                <w:numId w:val="6"/>
              </w:numPr>
              <w:ind w:left="268" w:hanging="283"/>
            </w:pPr>
            <w:r>
              <w:t xml:space="preserve">Develop </w:t>
            </w:r>
            <w:r w:rsidR="00D53FD0" w:rsidRPr="00C02C6B">
              <w:t>bioengineering solutions for</w:t>
            </w:r>
            <w:r w:rsidR="00D53FD0">
              <w:t xml:space="preserve"> precision medicine</w:t>
            </w:r>
          </w:p>
          <w:p w:rsidR="00CB541A" w:rsidRDefault="00CB541A" w:rsidP="004F2B82"/>
        </w:tc>
        <w:tc>
          <w:tcPr>
            <w:tcW w:w="4588" w:type="dxa"/>
          </w:tcPr>
          <w:p w:rsidR="00CB541A" w:rsidRPr="00C3079A" w:rsidRDefault="00CB541A" w:rsidP="004F2B82">
            <w:pPr>
              <w:pStyle w:val="ListParagraph"/>
              <w:numPr>
                <w:ilvl w:val="0"/>
                <w:numId w:val="6"/>
              </w:numPr>
              <w:ind w:left="268" w:hanging="283"/>
              <w:rPr>
                <w:rFonts w:ascii="Segoe UI" w:hAnsi="Segoe UI" w:cs="Segoe UI"/>
                <w:color w:val="000000" w:themeColor="text1"/>
                <w:sz w:val="20"/>
                <w:szCs w:val="20"/>
              </w:rPr>
            </w:pPr>
            <w:r w:rsidRPr="00C3079A">
              <w:rPr>
                <w:rFonts w:ascii="Calibri" w:hAnsi="Calibri"/>
                <w:color w:val="000000" w:themeColor="text1"/>
              </w:rPr>
              <w:t xml:space="preserve">National health </w:t>
            </w:r>
            <w:r>
              <w:rPr>
                <w:rFonts w:ascii="Calibri" w:hAnsi="Calibri"/>
                <w:color w:val="000000" w:themeColor="text1"/>
              </w:rPr>
              <w:t>and</w:t>
            </w:r>
            <w:r w:rsidRPr="00C3079A">
              <w:rPr>
                <w:rFonts w:ascii="Calibri" w:hAnsi="Calibri"/>
                <w:color w:val="000000" w:themeColor="text1"/>
              </w:rPr>
              <w:t xml:space="preserve"> medical big data </w:t>
            </w:r>
            <w:r>
              <w:rPr>
                <w:rFonts w:ascii="Calibri" w:hAnsi="Calibri"/>
                <w:color w:val="000000" w:themeColor="text1"/>
              </w:rPr>
              <w:t>capability</w:t>
            </w:r>
            <w:r>
              <w:t>,</w:t>
            </w:r>
            <w:r w:rsidRPr="00C3079A">
              <w:rPr>
                <w:rFonts w:ascii="Calibri" w:hAnsi="Calibri"/>
                <w:color w:val="000000" w:themeColor="text1"/>
              </w:rPr>
              <w:t xml:space="preserve"> </w:t>
            </w:r>
            <w:r>
              <w:t>covering</w:t>
            </w:r>
            <w:r w:rsidRPr="00C3079A">
              <w:rPr>
                <w:rFonts w:ascii="Segoe UI" w:hAnsi="Segoe UI" w:cs="Segoe UI"/>
                <w:color w:val="000000" w:themeColor="text1"/>
                <w:sz w:val="20"/>
                <w:szCs w:val="20"/>
              </w:rPr>
              <w:t xml:space="preserve">: </w:t>
            </w:r>
          </w:p>
          <w:p w:rsidR="00CB541A" w:rsidRPr="000A5D7C" w:rsidRDefault="00CB541A" w:rsidP="004F2B82">
            <w:pPr>
              <w:pStyle w:val="ListParagraph"/>
              <w:numPr>
                <w:ilvl w:val="1"/>
                <w:numId w:val="7"/>
              </w:numPr>
              <w:ind w:left="579" w:hanging="284"/>
              <w:rPr>
                <w:rFonts w:cstheme="minorHAnsi"/>
                <w:color w:val="000000" w:themeColor="text1"/>
              </w:rPr>
            </w:pPr>
            <w:r w:rsidRPr="000A5D7C">
              <w:rPr>
                <w:rFonts w:cstheme="minorHAnsi"/>
                <w:color w:val="000000" w:themeColor="text1"/>
              </w:rPr>
              <w:t>infectious disease outbreaks</w:t>
            </w:r>
          </w:p>
          <w:p w:rsidR="00CB541A" w:rsidRPr="000A5D7C" w:rsidRDefault="00CB541A" w:rsidP="004F2B82">
            <w:pPr>
              <w:pStyle w:val="ListParagraph"/>
              <w:numPr>
                <w:ilvl w:val="1"/>
                <w:numId w:val="7"/>
              </w:numPr>
              <w:ind w:left="579" w:hanging="284"/>
              <w:rPr>
                <w:rFonts w:cstheme="minorHAnsi"/>
                <w:color w:val="000000" w:themeColor="text1"/>
              </w:rPr>
            </w:pPr>
            <w:r w:rsidRPr="000A5D7C">
              <w:rPr>
                <w:rFonts w:cstheme="minorHAnsi"/>
                <w:color w:val="000000" w:themeColor="text1"/>
              </w:rPr>
              <w:t xml:space="preserve">bioinformatics skills </w:t>
            </w:r>
          </w:p>
          <w:p w:rsidR="00CB541A" w:rsidRPr="000A5D7C" w:rsidRDefault="00CB541A" w:rsidP="004F2B82">
            <w:pPr>
              <w:pStyle w:val="ListParagraph"/>
              <w:numPr>
                <w:ilvl w:val="1"/>
                <w:numId w:val="7"/>
              </w:numPr>
              <w:ind w:left="579" w:hanging="284"/>
              <w:rPr>
                <w:rFonts w:cstheme="minorHAnsi"/>
                <w:color w:val="000000" w:themeColor="text1"/>
              </w:rPr>
            </w:pPr>
            <w:r w:rsidRPr="000A5D7C">
              <w:rPr>
                <w:rFonts w:cstheme="minorHAnsi"/>
                <w:color w:val="000000" w:themeColor="text1"/>
              </w:rPr>
              <w:t>Indigenous research platform</w:t>
            </w:r>
          </w:p>
          <w:p w:rsidR="00CB541A" w:rsidRDefault="00CB541A" w:rsidP="004F2B82">
            <w:pPr>
              <w:pStyle w:val="ListParagraph"/>
              <w:numPr>
                <w:ilvl w:val="0"/>
                <w:numId w:val="6"/>
              </w:numPr>
              <w:ind w:left="268" w:hanging="283"/>
            </w:pPr>
            <w:r>
              <w:t xml:space="preserve">Coordinated tracer programs for imaging and therapy, and the associated integrated management, to effectively utilise current and future cyclotrons and reactor-based isotope production </w:t>
            </w:r>
          </w:p>
          <w:p w:rsidR="00CB541A" w:rsidRDefault="00DD4435" w:rsidP="004F2B82">
            <w:pPr>
              <w:pStyle w:val="ListParagraph"/>
              <w:numPr>
                <w:ilvl w:val="0"/>
                <w:numId w:val="6"/>
              </w:numPr>
              <w:ind w:left="268" w:hanging="283"/>
            </w:pPr>
            <w:r>
              <w:t>Certification and</w:t>
            </w:r>
            <w:r w:rsidR="00CB541A">
              <w:t xml:space="preserve"> expansion for </w:t>
            </w:r>
            <w:r w:rsidR="00D53FD0">
              <w:t>B</w:t>
            </w:r>
            <w:r w:rsidR="00CB541A">
              <w:t>io</w:t>
            </w:r>
            <w:r w:rsidR="00D53FD0">
              <w:t>security L</w:t>
            </w:r>
            <w:r w:rsidR="00CB541A">
              <w:t xml:space="preserve">evel 4 laboratory </w:t>
            </w:r>
          </w:p>
          <w:p w:rsidR="00CB541A" w:rsidRPr="00884903" w:rsidRDefault="00CB541A" w:rsidP="00704D82">
            <w:pPr>
              <w:pStyle w:val="ListParagraph"/>
              <w:numPr>
                <w:ilvl w:val="0"/>
                <w:numId w:val="6"/>
              </w:numPr>
              <w:ind w:left="268" w:hanging="283"/>
              <w:rPr>
                <w:rFonts w:ascii="Calibri" w:hAnsi="Calibri"/>
                <w:color w:val="000000" w:themeColor="text1"/>
              </w:rPr>
            </w:pPr>
            <w:r w:rsidRPr="00C02C6B">
              <w:t xml:space="preserve">Bioengineering </w:t>
            </w:r>
            <w:r>
              <w:t>s</w:t>
            </w:r>
            <w:r w:rsidRPr="00C02C6B">
              <w:t>olutions for</w:t>
            </w:r>
            <w:r>
              <w:t xml:space="preserve"> precision </w:t>
            </w:r>
            <w:r w:rsidR="00D53FD0">
              <w:t>m</w:t>
            </w:r>
            <w:r>
              <w:t>edicine for:</w:t>
            </w:r>
            <w:r w:rsidRPr="00106223">
              <w:rPr>
                <w:rFonts w:cstheme="minorHAnsi"/>
                <w:color w:val="000000" w:themeColor="text1"/>
              </w:rPr>
              <w:t xml:space="preserve"> biologics and </w:t>
            </w:r>
            <w:r>
              <w:rPr>
                <w:rFonts w:cstheme="minorHAnsi"/>
                <w:color w:val="000000" w:themeColor="text1"/>
              </w:rPr>
              <w:t>a</w:t>
            </w:r>
            <w:r w:rsidRPr="00106223">
              <w:rPr>
                <w:rFonts w:cstheme="minorHAnsi"/>
                <w:color w:val="000000" w:themeColor="text1"/>
              </w:rPr>
              <w:t xml:space="preserve">ntibody technology, </w:t>
            </w:r>
            <w:r>
              <w:rPr>
                <w:rFonts w:cstheme="minorHAnsi"/>
                <w:color w:val="000000" w:themeColor="text1"/>
              </w:rPr>
              <w:t>c</w:t>
            </w:r>
            <w:r w:rsidRPr="00106223">
              <w:rPr>
                <w:rFonts w:cstheme="minorHAnsi"/>
                <w:color w:val="000000" w:themeColor="text1"/>
              </w:rPr>
              <w:t xml:space="preserve">ell </w:t>
            </w:r>
            <w:r>
              <w:rPr>
                <w:rFonts w:cstheme="minorHAnsi"/>
                <w:color w:val="000000" w:themeColor="text1"/>
              </w:rPr>
              <w:t>t</w:t>
            </w:r>
            <w:r w:rsidRPr="00106223">
              <w:rPr>
                <w:rFonts w:cstheme="minorHAnsi"/>
                <w:color w:val="000000" w:themeColor="text1"/>
              </w:rPr>
              <w:t>herapies</w:t>
            </w:r>
            <w:r>
              <w:rPr>
                <w:rFonts w:cstheme="minorHAnsi"/>
                <w:color w:val="000000" w:themeColor="text1"/>
              </w:rPr>
              <w:t>, and s</w:t>
            </w:r>
            <w:r w:rsidRPr="00C3079A">
              <w:rPr>
                <w:rFonts w:cstheme="minorHAnsi"/>
                <w:color w:val="000000" w:themeColor="text1"/>
              </w:rPr>
              <w:t xml:space="preserve">tem </w:t>
            </w:r>
            <w:r>
              <w:rPr>
                <w:rFonts w:cstheme="minorHAnsi"/>
                <w:color w:val="000000" w:themeColor="text1"/>
              </w:rPr>
              <w:t>c</w:t>
            </w:r>
            <w:r w:rsidRPr="00C3079A">
              <w:rPr>
                <w:rFonts w:cstheme="minorHAnsi"/>
                <w:color w:val="000000" w:themeColor="text1"/>
              </w:rPr>
              <w:t>ell</w:t>
            </w:r>
            <w:r w:rsidRPr="00A1700C">
              <w:rPr>
                <w:rFonts w:cstheme="minorHAnsi"/>
                <w:color w:val="000000" w:themeColor="text1"/>
              </w:rPr>
              <w:t xml:space="preserve"> </w:t>
            </w:r>
            <w:r>
              <w:rPr>
                <w:rFonts w:cstheme="minorHAnsi"/>
                <w:color w:val="000000" w:themeColor="text1"/>
              </w:rPr>
              <w:t>c</w:t>
            </w:r>
            <w:r w:rsidRPr="00A1700C">
              <w:rPr>
                <w:rFonts w:cstheme="minorHAnsi"/>
                <w:color w:val="000000" w:themeColor="text1"/>
              </w:rPr>
              <w:t xml:space="preserve">ore </w:t>
            </w:r>
            <w:r>
              <w:rPr>
                <w:rFonts w:cstheme="minorHAnsi"/>
                <w:color w:val="000000" w:themeColor="text1"/>
              </w:rPr>
              <w:t>f</w:t>
            </w:r>
            <w:r w:rsidRPr="00A1700C">
              <w:rPr>
                <w:rFonts w:cstheme="minorHAnsi"/>
                <w:color w:val="000000" w:themeColor="text1"/>
              </w:rPr>
              <w:t>acilities</w:t>
            </w:r>
          </w:p>
        </w:tc>
      </w:tr>
    </w:tbl>
    <w:p w:rsidR="00CB541A" w:rsidRDefault="00CB541A" w:rsidP="00CB541A">
      <w:r w:rsidRPr="00012345">
        <w:rPr>
          <w:rFonts w:ascii="Calibri" w:eastAsiaTheme="majorEastAsia" w:hAnsi="Calibri" w:cstheme="majorBidi"/>
          <w:bCs/>
          <w:color w:val="000000" w:themeColor="text1"/>
          <w:sz w:val="18"/>
          <w:szCs w:val="18"/>
        </w:rPr>
        <w:t xml:space="preserve"> </w:t>
      </w:r>
    </w:p>
    <w:tbl>
      <w:tblPr>
        <w:tblStyle w:val="TableGrid"/>
        <w:tblW w:w="9781" w:type="dxa"/>
        <w:tblInd w:w="-34" w:type="dxa"/>
        <w:tblLook w:val="04A0" w:firstRow="1" w:lastRow="0" w:firstColumn="1" w:lastColumn="0" w:noHBand="0" w:noVBand="1"/>
        <w:tblCaption w:val="Table cell containing Questions 15, 16 &amp; 17 (relating to Health &amp; Medical Science)"/>
        <w:tblDescription w:val="Q15: Are the identified emerging directions and research infrastructure capabilities for Health and Medical Sciences right? Are there any missing or additional needed?&#10;Q16: Are there any international research infrastructure collaborations or emerging projects that Australia should engage in over the next ten years and beyond?&#10;Q17: Is there anything else that needs to be included or considered in the 2016 Roadmap for the Health and Medical Sciences capability area?&#10;"/>
      </w:tblPr>
      <w:tblGrid>
        <w:gridCol w:w="9781"/>
      </w:tblGrid>
      <w:tr w:rsidR="00CB541A" w:rsidRPr="00E70C42" w:rsidTr="00676CA8">
        <w:tc>
          <w:tcPr>
            <w:tcW w:w="9781" w:type="dxa"/>
            <w:shd w:val="clear" w:color="auto" w:fill="FFC000"/>
          </w:tcPr>
          <w:p w:rsidR="00CB541A" w:rsidRPr="00E70C42" w:rsidRDefault="00CB541A" w:rsidP="00676CA8">
            <w:pPr>
              <w:autoSpaceDE w:val="0"/>
              <w:autoSpaceDN w:val="0"/>
              <w:adjustRightInd w:val="0"/>
              <w:spacing w:before="180" w:after="180" w:line="276" w:lineRule="auto"/>
              <w:ind w:left="1418" w:hanging="1276"/>
              <w:rPr>
                <w:rFonts w:cstheme="minorHAnsi"/>
                <w:b/>
              </w:rPr>
            </w:pPr>
            <w:r w:rsidRPr="00E70C42">
              <w:rPr>
                <w:rFonts w:cstheme="minorHAnsi"/>
                <w:b/>
              </w:rPr>
              <w:t>Question 1</w:t>
            </w:r>
            <w:r w:rsidR="00DE7B22">
              <w:rPr>
                <w:rFonts w:cstheme="minorHAnsi"/>
                <w:b/>
              </w:rPr>
              <w:t>5</w:t>
            </w:r>
            <w:r w:rsidRPr="00E70C42">
              <w:rPr>
                <w:rFonts w:cstheme="minorHAnsi"/>
                <w:b/>
              </w:rPr>
              <w:t>:</w:t>
            </w:r>
            <w:r w:rsidRPr="00E70C42">
              <w:rPr>
                <w:rFonts w:cstheme="minorHAnsi"/>
                <w:b/>
              </w:rPr>
              <w:tab/>
              <w:t>Are the identified emerging directions and research infrastructure capabilities for Health and Medical Sciences right? Are there any missing or additional needed?</w:t>
            </w:r>
          </w:p>
          <w:p w:rsidR="00CB541A" w:rsidRPr="00E70C42" w:rsidRDefault="00CB541A" w:rsidP="00676CA8">
            <w:pPr>
              <w:autoSpaceDE w:val="0"/>
              <w:autoSpaceDN w:val="0"/>
              <w:adjustRightInd w:val="0"/>
              <w:spacing w:before="180" w:after="180" w:line="276" w:lineRule="auto"/>
              <w:ind w:left="1418" w:hanging="1276"/>
              <w:rPr>
                <w:rFonts w:cstheme="minorHAnsi"/>
                <w:b/>
              </w:rPr>
            </w:pPr>
            <w:r w:rsidRPr="00E70C42">
              <w:rPr>
                <w:rFonts w:cstheme="minorHAnsi"/>
                <w:b/>
              </w:rPr>
              <w:t>Question 1</w:t>
            </w:r>
            <w:r w:rsidR="00DE7B22">
              <w:rPr>
                <w:rFonts w:cstheme="minorHAnsi"/>
                <w:b/>
              </w:rPr>
              <w:t>6</w:t>
            </w:r>
            <w:r w:rsidRPr="00E70C42">
              <w:rPr>
                <w:rFonts w:cstheme="minorHAnsi"/>
                <w:b/>
              </w:rPr>
              <w:t>:</w:t>
            </w:r>
            <w:r w:rsidRPr="00E70C42">
              <w:rPr>
                <w:rFonts w:cstheme="minorHAnsi"/>
                <w:b/>
              </w:rPr>
              <w:tab/>
              <w:t>Are there any international research infrastructure collaborations or emerging projects that Australia should engage in over the next ten years and beyond?</w:t>
            </w:r>
          </w:p>
          <w:p w:rsidR="00CB541A" w:rsidRPr="00E70C42" w:rsidRDefault="00CB541A" w:rsidP="00676CA8">
            <w:pPr>
              <w:autoSpaceDE w:val="0"/>
              <w:autoSpaceDN w:val="0"/>
              <w:adjustRightInd w:val="0"/>
              <w:spacing w:before="200" w:after="180" w:line="276" w:lineRule="auto"/>
              <w:ind w:left="1418" w:hanging="1276"/>
              <w:rPr>
                <w:b/>
              </w:rPr>
            </w:pPr>
            <w:r w:rsidRPr="00E70C42">
              <w:rPr>
                <w:rFonts w:cstheme="minorHAnsi"/>
                <w:b/>
              </w:rPr>
              <w:t>Question 1</w:t>
            </w:r>
            <w:r w:rsidR="00DE7B22">
              <w:rPr>
                <w:rFonts w:cstheme="minorHAnsi"/>
                <w:b/>
              </w:rPr>
              <w:t>7</w:t>
            </w:r>
            <w:r w:rsidRPr="00E70C42">
              <w:rPr>
                <w:rFonts w:cstheme="minorHAnsi"/>
                <w:b/>
              </w:rPr>
              <w:t>:</w:t>
            </w:r>
            <w:r w:rsidRPr="00E70C42">
              <w:rPr>
                <w:rFonts w:cstheme="minorHAnsi"/>
                <w:b/>
              </w:rPr>
              <w:tab/>
              <w:t>Is there anything else that needs to be included or considered in the 2016 Roadmap for the Health and Medical Sciences capability area?</w:t>
            </w:r>
          </w:p>
        </w:tc>
      </w:tr>
    </w:tbl>
    <w:p w:rsidR="00CB541A" w:rsidRDefault="00CB541A" w:rsidP="00CB541A">
      <w:pPr>
        <w:rPr>
          <w:rFonts w:eastAsia="Calibri"/>
        </w:rPr>
      </w:pPr>
    </w:p>
    <w:p w:rsidR="00CB541A" w:rsidRDefault="003956C1" w:rsidP="004F2B82">
      <w:pPr>
        <w:pStyle w:val="Heading1"/>
        <w:ind w:right="-188"/>
      </w:pPr>
      <w:r>
        <w:br w:type="page"/>
      </w:r>
      <w:bookmarkStart w:id="18" w:name="_Toc456042393"/>
      <w:bookmarkStart w:id="19" w:name="_Toc456449022"/>
      <w:bookmarkStart w:id="20" w:name="_Toc455445504"/>
      <w:bookmarkEnd w:id="17"/>
      <w:r w:rsidR="00CB541A">
        <w:lastRenderedPageBreak/>
        <w:t>Environment and Natural Resource Management</w:t>
      </w:r>
      <w:bookmarkEnd w:id="18"/>
      <w:bookmarkEnd w:id="19"/>
    </w:p>
    <w:p w:rsidR="00CB541A" w:rsidRDefault="00CB541A" w:rsidP="00676CA8">
      <w:pPr>
        <w:spacing w:before="120"/>
        <w:ind w:right="-188"/>
      </w:pPr>
      <w:r w:rsidRPr="009166D6">
        <w:t xml:space="preserve">Australia’s </w:t>
      </w:r>
      <w:proofErr w:type="gramStart"/>
      <w:r w:rsidRPr="009166D6">
        <w:t>productivity,</w:t>
      </w:r>
      <w:proofErr w:type="gramEnd"/>
      <w:r w:rsidRPr="009166D6">
        <w:t xml:space="preserve"> </w:t>
      </w:r>
      <w:r>
        <w:t xml:space="preserve">and many of its industries, as well as the </w:t>
      </w:r>
      <w:r w:rsidRPr="009166D6">
        <w:t>wellbeing and health of ecosystems and population</w:t>
      </w:r>
      <w:r>
        <w:t xml:space="preserve"> </w:t>
      </w:r>
      <w:r w:rsidRPr="009166D6">
        <w:t>depend on the environment and the ecosystem</w:t>
      </w:r>
      <w:r>
        <w:t xml:space="preserve"> service</w:t>
      </w:r>
      <w:r w:rsidRPr="009166D6">
        <w:t>s</w:t>
      </w:r>
      <w:r>
        <w:t>. To ensure that development is optimised in a sustainable and effective manner, a robust</w:t>
      </w:r>
      <w:r w:rsidR="004106E9">
        <w:t>,</w:t>
      </w:r>
      <w:r>
        <w:t xml:space="preserve"> evidence base</w:t>
      </w:r>
      <w:r w:rsidR="004106E9">
        <w:t>d</w:t>
      </w:r>
      <w:r>
        <w:t xml:space="preserve"> </w:t>
      </w:r>
      <w:r w:rsidR="004106E9">
        <w:t xml:space="preserve">national </w:t>
      </w:r>
      <w:r>
        <w:t>system to understand and manage water, carbon, soil and air resources is needed</w:t>
      </w:r>
      <w:r w:rsidRPr="009166D6">
        <w:t>.</w:t>
      </w:r>
      <w:r>
        <w:t xml:space="preserve"> </w:t>
      </w:r>
      <w:r w:rsidR="004106E9">
        <w:t>We need</w:t>
      </w:r>
      <w:r>
        <w:t xml:space="preserve"> to continuously improve our understanding of </w:t>
      </w:r>
      <w:r w:rsidR="004106E9">
        <w:t xml:space="preserve">the </w:t>
      </w:r>
      <w:r>
        <w:t>plants, animals and mineral resources that underpin</w:t>
      </w:r>
      <w:r w:rsidR="004106E9">
        <w:t xml:space="preserve"> our</w:t>
      </w:r>
      <w:r>
        <w:t xml:space="preserve"> agricultural and resource </w:t>
      </w:r>
      <w:r w:rsidR="004106E9">
        <w:t xml:space="preserve">sectors </w:t>
      </w:r>
      <w:r>
        <w:t xml:space="preserve">to ensure a balance between development and the environment. </w:t>
      </w:r>
    </w:p>
    <w:p w:rsidR="00CB541A" w:rsidRDefault="00CB541A" w:rsidP="00CB541A">
      <w:r>
        <w:t xml:space="preserve">The lists of capabilities presented here are neither exhaustive nor prioritised. </w:t>
      </w:r>
    </w:p>
    <w:p w:rsidR="00CB541A" w:rsidRPr="00DB7654" w:rsidRDefault="00CB541A" w:rsidP="00CB541A">
      <w:pPr>
        <w:pStyle w:val="Heading2"/>
        <w:spacing w:before="120"/>
        <w:ind w:left="578" w:hanging="578"/>
      </w:pPr>
      <w:r w:rsidRPr="00DB7654">
        <w:t>Emerging Directions</w:t>
      </w:r>
    </w:p>
    <w:p w:rsidR="00CB541A" w:rsidRPr="00D04989" w:rsidRDefault="00CB541A" w:rsidP="00CB541A">
      <w:pPr>
        <w:pStyle w:val="Heading3"/>
      </w:pPr>
      <w:r>
        <w:t>Integration</w:t>
      </w:r>
    </w:p>
    <w:p w:rsidR="00CB541A" w:rsidRDefault="00CB541A" w:rsidP="00CB541A">
      <w:pPr>
        <w:widowControl w:val="0"/>
        <w:autoSpaceDE w:val="0"/>
        <w:autoSpaceDN w:val="0"/>
        <w:adjustRightInd w:val="0"/>
        <w:ind w:right="-330"/>
        <w:rPr>
          <w:rFonts w:cs="Helvetica"/>
        </w:rPr>
      </w:pPr>
      <w:r w:rsidRPr="002403A7">
        <w:rPr>
          <w:rFonts w:cs="Helvetica"/>
        </w:rPr>
        <w:t xml:space="preserve">In the first wave of ‘big data’, research looked for patterns to drive the creation of hypotheses. This coming decade will see </w:t>
      </w:r>
      <w:r>
        <w:rPr>
          <w:rFonts w:cs="Helvetica"/>
        </w:rPr>
        <w:t>greater data</w:t>
      </w:r>
      <w:r w:rsidRPr="002403A7">
        <w:rPr>
          <w:rFonts w:cs="Helvetica"/>
        </w:rPr>
        <w:t xml:space="preserve"> integrati</w:t>
      </w:r>
      <w:r>
        <w:rPr>
          <w:rFonts w:cs="Helvetica"/>
        </w:rPr>
        <w:t>on</w:t>
      </w:r>
      <w:r w:rsidRPr="002403A7">
        <w:rPr>
          <w:rFonts w:cs="Helvetica"/>
        </w:rPr>
        <w:t xml:space="preserve"> through ‘smart data’ methods</w:t>
      </w:r>
      <w:r>
        <w:rPr>
          <w:rFonts w:cs="Helvetica"/>
        </w:rPr>
        <w:t>.</w:t>
      </w:r>
      <w:r w:rsidRPr="002403A7">
        <w:rPr>
          <w:rFonts w:cs="Helvetica"/>
        </w:rPr>
        <w:t xml:space="preserve"> Recent advances will see future effort</w:t>
      </w:r>
      <w:r w:rsidR="00D81182">
        <w:rPr>
          <w:rFonts w:cs="Helvetica"/>
        </w:rPr>
        <w:t>s</w:t>
      </w:r>
      <w:r w:rsidRPr="002403A7">
        <w:rPr>
          <w:rFonts w:cs="Helvetica"/>
        </w:rPr>
        <w:t xml:space="preserve"> shifting from how to </w:t>
      </w:r>
      <w:r w:rsidR="00D81182">
        <w:rPr>
          <w:rFonts w:cs="Helvetica"/>
        </w:rPr>
        <w:t xml:space="preserve">collect and manage </w:t>
      </w:r>
      <w:r w:rsidRPr="002403A7">
        <w:rPr>
          <w:rFonts w:cs="Helvetica"/>
        </w:rPr>
        <w:t>data to how to support data integration, modelling and analysis to improve prediction</w:t>
      </w:r>
      <w:r>
        <w:rPr>
          <w:rFonts w:cs="Helvetica"/>
        </w:rPr>
        <w:t xml:space="preserve"> and reduce uncertainty</w:t>
      </w:r>
      <w:r w:rsidRPr="002403A7">
        <w:rPr>
          <w:rFonts w:cs="Helvetica"/>
        </w:rPr>
        <w:t>.</w:t>
      </w:r>
      <w:r>
        <w:rPr>
          <w:rFonts w:cs="Helvetica"/>
        </w:rPr>
        <w:t xml:space="preserve"> Integration will include next generation infrastructure capability including large public databases, such </w:t>
      </w:r>
      <w:r w:rsidR="004106E9">
        <w:rPr>
          <w:rFonts w:cs="Helvetica"/>
        </w:rPr>
        <w:t xml:space="preserve">as </w:t>
      </w:r>
      <w:r>
        <w:t xml:space="preserve">access to </w:t>
      </w:r>
      <w:r w:rsidRPr="00D81D7B">
        <w:t>regional climate and weather model</w:t>
      </w:r>
      <w:r>
        <w:t>s</w:t>
      </w:r>
      <w:r w:rsidR="004106E9">
        <w:t xml:space="preserve"> </w:t>
      </w:r>
      <w:r w:rsidR="00D81182">
        <w:t>widely across the public and private sector</w:t>
      </w:r>
      <w:r w:rsidR="00655981">
        <w:t>s</w:t>
      </w:r>
      <w:r w:rsidRPr="00D81D7B">
        <w:t xml:space="preserve"> to </w:t>
      </w:r>
      <w:r>
        <w:t>increase productivity.</w:t>
      </w:r>
    </w:p>
    <w:p w:rsidR="00CB541A" w:rsidRDefault="00CB541A" w:rsidP="00CB541A">
      <w:pPr>
        <w:widowControl w:val="0"/>
        <w:autoSpaceDE w:val="0"/>
        <w:autoSpaceDN w:val="0"/>
        <w:adjustRightInd w:val="0"/>
        <w:ind w:right="-330"/>
      </w:pPr>
      <w:r>
        <w:rPr>
          <w:rFonts w:cs="Helvetica"/>
        </w:rPr>
        <w:t>Big data</w:t>
      </w:r>
      <w:r w:rsidRPr="004B7BA9">
        <w:rPr>
          <w:rFonts w:cs="Helvetica"/>
        </w:rPr>
        <w:t xml:space="preserve"> should include the dissemination of integrated </w:t>
      </w:r>
      <w:r w:rsidRPr="004B7BA9">
        <w:t>timely and harmonised data for and from both research and non-research purposes</w:t>
      </w:r>
      <w:r>
        <w:t xml:space="preserve"> to maximise the sustainable management of </w:t>
      </w:r>
      <w:r>
        <w:rPr>
          <w:rFonts w:cs="Helvetica"/>
        </w:rPr>
        <w:t xml:space="preserve">our </w:t>
      </w:r>
      <w:r>
        <w:t>continent</w:t>
      </w:r>
      <w:r>
        <w:rPr>
          <w:rFonts w:cs="Helvetica"/>
        </w:rPr>
        <w:t xml:space="preserve">’s </w:t>
      </w:r>
      <w:r w:rsidR="004106E9">
        <w:rPr>
          <w:rFonts w:cs="Helvetica"/>
        </w:rPr>
        <w:t>7.741 </w:t>
      </w:r>
      <w:r w:rsidRPr="000A5C03">
        <w:rPr>
          <w:rFonts w:cs="Helvetica"/>
        </w:rPr>
        <w:t xml:space="preserve">million </w:t>
      </w:r>
      <w:proofErr w:type="spellStart"/>
      <w:r w:rsidRPr="000A5C03">
        <w:rPr>
          <w:rFonts w:cs="Helvetica"/>
        </w:rPr>
        <w:t>km²</w:t>
      </w:r>
      <w:proofErr w:type="spellEnd"/>
      <w:r w:rsidRPr="004B7BA9">
        <w:t xml:space="preserve">. Operational data from the Bureau of Meteorology, Geoscience Australia, and many other operational organisations will be critical inputs. </w:t>
      </w:r>
    </w:p>
    <w:p w:rsidR="00D81182" w:rsidRPr="00676CA8" w:rsidRDefault="00CB541A" w:rsidP="00676CA8">
      <w:pPr>
        <w:widowControl w:val="0"/>
        <w:autoSpaceDE w:val="0"/>
        <w:autoSpaceDN w:val="0"/>
        <w:adjustRightInd w:val="0"/>
        <w:ind w:right="-330"/>
        <w:rPr>
          <w:rFonts w:cs="Helvetica"/>
        </w:rPr>
      </w:pPr>
      <w:proofErr w:type="spellStart"/>
      <w:r w:rsidRPr="00655981">
        <w:rPr>
          <w:rFonts w:cs="Helvetica"/>
        </w:rPr>
        <w:t>Spatio</w:t>
      </w:r>
      <w:proofErr w:type="spellEnd"/>
      <w:r w:rsidRPr="00655981">
        <w:rPr>
          <w:rFonts w:cs="Helvetica"/>
        </w:rPr>
        <w:t xml:space="preserve">-temporal predictive modelling allows the prediction </w:t>
      </w:r>
      <w:r w:rsidR="00655981" w:rsidRPr="00655981">
        <w:rPr>
          <w:rFonts w:cs="Helvetica"/>
        </w:rPr>
        <w:t>of</w:t>
      </w:r>
      <w:r w:rsidR="00655981">
        <w:rPr>
          <w:rFonts w:cs="Helvetica"/>
        </w:rPr>
        <w:t xml:space="preserve"> extreme events and </w:t>
      </w:r>
      <w:r w:rsidRPr="00655981">
        <w:rPr>
          <w:rFonts w:cs="Helvetica"/>
        </w:rPr>
        <w:t>cumulative impacts, so informed decisions can be made and timely biological and engineering solutions can be developed. This can be applied to areas from groundwater cumulative impact modelling through to climate</w:t>
      </w:r>
      <w:r w:rsidR="004715B8">
        <w:rPr>
          <w:rFonts w:cs="Helvetica"/>
        </w:rPr>
        <w:t> </w:t>
      </w:r>
      <w:r w:rsidRPr="00655981">
        <w:rPr>
          <w:rFonts w:cs="Helvetica"/>
        </w:rPr>
        <w:t>smart/precision agriculture.</w:t>
      </w:r>
    </w:p>
    <w:p w:rsidR="00CB541A" w:rsidRPr="00FE6E81" w:rsidRDefault="00CB541A" w:rsidP="00CB541A">
      <w:pPr>
        <w:pStyle w:val="Heading3"/>
      </w:pPr>
      <w:r>
        <w:t>Climate and w</w:t>
      </w:r>
      <w:r w:rsidRPr="00FE6E81">
        <w:t xml:space="preserve">ater </w:t>
      </w:r>
      <w:r>
        <w:t>r</w:t>
      </w:r>
      <w:r w:rsidRPr="00FE6E81">
        <w:t>esources</w:t>
      </w:r>
    </w:p>
    <w:p w:rsidR="004106E9" w:rsidRDefault="00CB541A" w:rsidP="00AD2D49">
      <w:r w:rsidRPr="007F2E9A">
        <w:t>Knowledge</w:t>
      </w:r>
      <w:r w:rsidR="00285317">
        <w:t> </w:t>
      </w:r>
      <w:r w:rsidRPr="007F2E9A">
        <w:t xml:space="preserve">based and adaptive </w:t>
      </w:r>
      <w:r w:rsidRPr="00A3123C">
        <w:t xml:space="preserve">water management approaches at all scales, from </w:t>
      </w:r>
      <w:r w:rsidR="00D81182">
        <w:t xml:space="preserve">near and </w:t>
      </w:r>
      <w:r w:rsidRPr="00A3123C">
        <w:t xml:space="preserve">deep oceans to </w:t>
      </w:r>
      <w:r w:rsidR="00D81182">
        <w:t xml:space="preserve">urban to </w:t>
      </w:r>
      <w:r w:rsidRPr="00A3123C">
        <w:t xml:space="preserve">farm </w:t>
      </w:r>
      <w:proofErr w:type="gramStart"/>
      <w:r w:rsidR="00655981">
        <w:t>use</w:t>
      </w:r>
      <w:r w:rsidRPr="00A3123C">
        <w:t>,</w:t>
      </w:r>
      <w:proofErr w:type="gramEnd"/>
      <w:r>
        <w:t xml:space="preserve"> will </w:t>
      </w:r>
      <w:r w:rsidRPr="00A3123C">
        <w:t xml:space="preserve">be critical tools in Australia’s efforts to achieve </w:t>
      </w:r>
      <w:r>
        <w:t>sustainability and benefit the economy. K</w:t>
      </w:r>
      <w:r w:rsidRPr="00A3123C">
        <w:t>ey challenge</w:t>
      </w:r>
      <w:r>
        <w:t>s</w:t>
      </w:r>
      <w:r w:rsidRPr="00A3123C">
        <w:t xml:space="preserve"> for Australia over the next few decades will be</w:t>
      </w:r>
      <w:r>
        <w:t xml:space="preserve"> climate variability, environmental change, </w:t>
      </w:r>
      <w:r w:rsidRPr="00A3123C">
        <w:t>water security</w:t>
      </w:r>
      <w:r>
        <w:t xml:space="preserve"> </w:t>
      </w:r>
      <w:r w:rsidRPr="00A3123C">
        <w:t xml:space="preserve">and </w:t>
      </w:r>
      <w:r>
        <w:t>our</w:t>
      </w:r>
      <w:r w:rsidRPr="00A3123C">
        <w:t xml:space="preserve"> ability to sustainably manage </w:t>
      </w:r>
      <w:r>
        <w:t xml:space="preserve">the </w:t>
      </w:r>
      <w:r w:rsidRPr="00A3123C">
        <w:t>competing uses</w:t>
      </w:r>
      <w:r>
        <w:t xml:space="preserve"> of</w:t>
      </w:r>
      <w:r w:rsidRPr="00A3123C">
        <w:t xml:space="preserve">: agriculture, </w:t>
      </w:r>
      <w:r>
        <w:t xml:space="preserve">minerals extraction, industry, </w:t>
      </w:r>
      <w:r w:rsidRPr="00A3123C">
        <w:t>environment, and energy.</w:t>
      </w:r>
      <w:r w:rsidR="00A255E5">
        <w:t xml:space="preserve"> </w:t>
      </w:r>
      <w:r w:rsidRPr="00A3123C">
        <w:t>In the southern half of the country</w:t>
      </w:r>
      <w:r>
        <w:t>,</w:t>
      </w:r>
      <w:r w:rsidRPr="00A3123C">
        <w:t xml:space="preserve"> </w:t>
      </w:r>
      <w:r>
        <w:t xml:space="preserve">challenges include </w:t>
      </w:r>
      <w:r w:rsidRPr="00A3123C">
        <w:t>more efficient and smarter use of identified surface and groundwater resources</w:t>
      </w:r>
      <w:r>
        <w:t>,</w:t>
      </w:r>
      <w:r w:rsidRPr="00A3123C">
        <w:t xml:space="preserve"> while not compromising vulnerable ecosystems. </w:t>
      </w:r>
    </w:p>
    <w:p w:rsidR="00CB541A" w:rsidRDefault="00CB541A" w:rsidP="00676CA8">
      <w:pPr>
        <w:spacing w:after="0"/>
        <w:ind w:right="-188"/>
        <w:rPr>
          <w:szCs w:val="24"/>
        </w:rPr>
      </w:pPr>
      <w:r>
        <w:t xml:space="preserve">In coastal areas, challenges include </w:t>
      </w:r>
      <w:r w:rsidRPr="00A3123C">
        <w:t>prevent</w:t>
      </w:r>
      <w:r>
        <w:t>ion of</w:t>
      </w:r>
      <w:r w:rsidRPr="00A3123C">
        <w:t xml:space="preserve"> over</w:t>
      </w:r>
      <w:r w:rsidR="00285317">
        <w:t> </w:t>
      </w:r>
      <w:r w:rsidRPr="00A3123C">
        <w:t>exploitation of coastal aquifers and minimis</w:t>
      </w:r>
      <w:r>
        <w:t>ation of</w:t>
      </w:r>
      <w:r w:rsidRPr="00A3123C">
        <w:t xml:space="preserve"> the hazard posed by ingress of seawater intrusion</w:t>
      </w:r>
      <w:r w:rsidR="00D81182">
        <w:t xml:space="preserve"> and coastal </w:t>
      </w:r>
      <w:r w:rsidR="00655981">
        <w:t>inundation</w:t>
      </w:r>
      <w:r w:rsidRPr="00A3123C">
        <w:t>. In the northern</w:t>
      </w:r>
      <w:r w:rsidRPr="007F2E9A">
        <w:rPr>
          <w:szCs w:val="24"/>
        </w:rPr>
        <w:t xml:space="preserve"> half of the continent, </w:t>
      </w:r>
      <w:r>
        <w:rPr>
          <w:szCs w:val="24"/>
        </w:rPr>
        <w:t>challenges include</w:t>
      </w:r>
      <w:r w:rsidRPr="007F2E9A">
        <w:rPr>
          <w:szCs w:val="24"/>
        </w:rPr>
        <w:t xml:space="preserve"> identify</w:t>
      </w:r>
      <w:r>
        <w:rPr>
          <w:szCs w:val="24"/>
        </w:rPr>
        <w:t>ing</w:t>
      </w:r>
      <w:r w:rsidRPr="007F2E9A">
        <w:rPr>
          <w:szCs w:val="24"/>
        </w:rPr>
        <w:t xml:space="preserve"> groundwater resource options to </w:t>
      </w:r>
      <w:r>
        <w:rPr>
          <w:szCs w:val="24"/>
        </w:rPr>
        <w:t>balance</w:t>
      </w:r>
      <w:r w:rsidRPr="007F2E9A">
        <w:rPr>
          <w:szCs w:val="24"/>
        </w:rPr>
        <w:t xml:space="preserve"> economic development</w:t>
      </w:r>
      <w:r>
        <w:rPr>
          <w:szCs w:val="24"/>
        </w:rPr>
        <w:t xml:space="preserve"> and</w:t>
      </w:r>
      <w:r w:rsidRPr="007F2E9A">
        <w:rPr>
          <w:szCs w:val="24"/>
        </w:rPr>
        <w:t xml:space="preserve"> environmental </w:t>
      </w:r>
      <w:r>
        <w:rPr>
          <w:szCs w:val="24"/>
        </w:rPr>
        <w:t>sustainability</w:t>
      </w:r>
      <w:r w:rsidRPr="007F2E9A">
        <w:rPr>
          <w:szCs w:val="24"/>
        </w:rPr>
        <w:t xml:space="preserve">. </w:t>
      </w:r>
      <w:r>
        <w:rPr>
          <w:szCs w:val="24"/>
        </w:rPr>
        <w:t xml:space="preserve">As an example, inland development and changing precipitation patterns could have downstream impacts on coastal or terrestrial aquaculture </w:t>
      </w:r>
      <w:r>
        <w:rPr>
          <w:szCs w:val="24"/>
        </w:rPr>
        <w:lastRenderedPageBreak/>
        <w:t>industries which will need to be managed in the future given the likely high future demand/appetite for fish and fish products (</w:t>
      </w:r>
      <w:r w:rsidR="00897B37">
        <w:rPr>
          <w:szCs w:val="24"/>
        </w:rPr>
        <w:t xml:space="preserve">this is explored further in </w:t>
      </w:r>
      <w:r w:rsidR="00E10F72">
        <w:rPr>
          <w:szCs w:val="24"/>
        </w:rPr>
        <w:t>Chapter</w:t>
      </w:r>
      <w:r>
        <w:rPr>
          <w:szCs w:val="24"/>
        </w:rPr>
        <w:t xml:space="preserve"> 9 National Security).</w:t>
      </w:r>
    </w:p>
    <w:p w:rsidR="00CB541A" w:rsidRPr="000A5C03" w:rsidRDefault="00CB541A" w:rsidP="00CB541A">
      <w:pPr>
        <w:pStyle w:val="Heading2"/>
        <w:spacing w:before="120"/>
        <w:ind w:left="578" w:hanging="578"/>
      </w:pPr>
      <w:r w:rsidRPr="000A5C03">
        <w:t>Current Capabilities and Emerging Capability Needs</w:t>
      </w:r>
    </w:p>
    <w:p w:rsidR="00CB541A" w:rsidRPr="0049482D" w:rsidRDefault="00CB541A" w:rsidP="00AD2D49">
      <w:r w:rsidRPr="00FC2CB7">
        <w:t>Some clear gaps have emerged includ</w:t>
      </w:r>
      <w:r w:rsidR="004106E9">
        <w:t>ing</w:t>
      </w:r>
      <w:r>
        <w:t>:</w:t>
      </w:r>
      <w:r w:rsidRPr="00FC2CB7">
        <w:t xml:space="preserve"> monitoring key alpine</w:t>
      </w:r>
      <w:r>
        <w:t>, tropical</w:t>
      </w:r>
      <w:r w:rsidRPr="00FC2CB7">
        <w:t xml:space="preserve"> and desert ecosystems; soils (carbon, water, nutrients flow); vegetation response to changing water flows; surface and groundwater interactions</w:t>
      </w:r>
      <w:r>
        <w:t xml:space="preserve"> with</w:t>
      </w:r>
      <w:r w:rsidRPr="00FC2CB7">
        <w:t xml:space="preserve"> the coastal zone where </w:t>
      </w:r>
      <w:r>
        <w:t xml:space="preserve">there exist </w:t>
      </w:r>
      <w:r w:rsidRPr="00FC2CB7">
        <w:t>competing demands and increasing risks from sea level rise</w:t>
      </w:r>
      <w:r>
        <w:t xml:space="preserve"> and</w:t>
      </w:r>
      <w:r w:rsidRPr="00FC2CB7">
        <w:t xml:space="preserve"> climate change are most acute.</w:t>
      </w:r>
    </w:p>
    <w:p w:rsidR="00CB541A" w:rsidRPr="006F3472" w:rsidRDefault="00CB541A" w:rsidP="00AD2D49">
      <w:pPr>
        <w:pStyle w:val="Heading3"/>
      </w:pPr>
      <w:r w:rsidRPr="006F3472">
        <w:t xml:space="preserve">Atmospheric </w:t>
      </w:r>
      <w:r w:rsidR="00FB7031">
        <w:t>o</w:t>
      </w:r>
      <w:r w:rsidRPr="006F3472">
        <w:t>bservations</w:t>
      </w:r>
    </w:p>
    <w:p w:rsidR="00CB541A" w:rsidRDefault="00D81182" w:rsidP="00CB541A">
      <w:r>
        <w:t>Atmospheric observation</w:t>
      </w:r>
      <w:r w:rsidRPr="00BC25B6">
        <w:t xml:space="preserve"> </w:t>
      </w:r>
      <w:r w:rsidR="00CB541A">
        <w:t>capabilit</w:t>
      </w:r>
      <w:r w:rsidR="00D3164C">
        <w:t>y</w:t>
      </w:r>
      <w:r>
        <w:t>, including modelling based on observations,</w:t>
      </w:r>
      <w:r w:rsidR="00CB541A">
        <w:t xml:space="preserve"> continues to be a high priority</w:t>
      </w:r>
      <w:r>
        <w:t xml:space="preserve">. </w:t>
      </w:r>
      <w:r w:rsidR="00CB541A">
        <w:t xml:space="preserve">The ongoing development of a national weather, climate and </w:t>
      </w:r>
      <w:r w:rsidR="00D3164C">
        <w:t>e</w:t>
      </w:r>
      <w:r w:rsidR="00CB541A">
        <w:t>arth system simulation capability</w:t>
      </w:r>
      <w:r w:rsidR="00D3164C">
        <w:t xml:space="preserve">, </w:t>
      </w:r>
      <w:r w:rsidR="00CB541A">
        <w:t xml:space="preserve">for example </w:t>
      </w:r>
      <w:r w:rsidR="004B0077">
        <w:t xml:space="preserve">the </w:t>
      </w:r>
      <w:r w:rsidR="004B0077" w:rsidRPr="004B0077">
        <w:t xml:space="preserve">Australian Community Climate and </w:t>
      </w:r>
      <w:r w:rsidR="004B0077">
        <w:t>Earth</w:t>
      </w:r>
      <w:r w:rsidR="00285317">
        <w:t> </w:t>
      </w:r>
      <w:r w:rsidR="004B0077">
        <w:t>System Simulator</w:t>
      </w:r>
      <w:r w:rsidR="00D53FD0">
        <w:t xml:space="preserve"> </w:t>
      </w:r>
      <w:r w:rsidR="00897B37">
        <w:t>(</w:t>
      </w:r>
      <w:r w:rsidR="00CB541A">
        <w:t>ACCESS</w:t>
      </w:r>
      <w:r w:rsidR="00897B37">
        <w:t>)</w:t>
      </w:r>
      <w:r w:rsidR="00CB541A">
        <w:t xml:space="preserve">, including leveraging international activity, </w:t>
      </w:r>
      <w:r>
        <w:t xml:space="preserve">will </w:t>
      </w:r>
      <w:r w:rsidR="00CB541A">
        <w:t xml:space="preserve">continue to </w:t>
      </w:r>
      <w:r w:rsidR="00D3164C">
        <w:t>require attention</w:t>
      </w:r>
      <w:r w:rsidR="00CB541A">
        <w:t xml:space="preserve">. </w:t>
      </w:r>
    </w:p>
    <w:p w:rsidR="004106E9" w:rsidRDefault="00CB541A" w:rsidP="00CB541A">
      <w:r w:rsidRPr="00D32D5D">
        <w:t>The Marine National Facility</w:t>
      </w:r>
      <w:r w:rsidRPr="00D32D5D" w:rsidDel="00AA290A">
        <w:t xml:space="preserve"> </w:t>
      </w:r>
      <w:r w:rsidRPr="00D32D5D">
        <w:t xml:space="preserve">has achieved a step change in </w:t>
      </w:r>
      <w:r>
        <w:t xml:space="preserve">ocean-atmosphere observations, and continued capability in atmospheric composition, dynamics and land-air fluxes, which are essential for improved weather forecasting. In addition, the current </w:t>
      </w:r>
      <w:r w:rsidRPr="002B3185">
        <w:t>network of land-air CO</w:t>
      </w:r>
      <w:r w:rsidRPr="00546EAB">
        <w:rPr>
          <w:vertAlign w:val="subscript"/>
        </w:rPr>
        <w:t>2</w:t>
      </w:r>
      <w:r>
        <w:t xml:space="preserve"> and water</w:t>
      </w:r>
      <w:r w:rsidRPr="002B3185">
        <w:t xml:space="preserve"> fluxes (</w:t>
      </w:r>
      <w:proofErr w:type="spellStart"/>
      <w:r w:rsidRPr="002B3185">
        <w:t>OzFlux</w:t>
      </w:r>
      <w:proofErr w:type="spellEnd"/>
      <w:r w:rsidRPr="002B3185">
        <w:t xml:space="preserve">) </w:t>
      </w:r>
      <w:r w:rsidR="00D81182">
        <w:t xml:space="preserve">that </w:t>
      </w:r>
      <w:r w:rsidRPr="002B3185">
        <w:t>monitor greenhouse gas concentrations</w:t>
      </w:r>
      <w:r>
        <w:t xml:space="preserve"> and land-air fluxes of water</w:t>
      </w:r>
      <w:r w:rsidR="00D81182">
        <w:t xml:space="preserve"> will need to be enhanced to provide integrated observations</w:t>
      </w:r>
      <w:r w:rsidRPr="002B3185">
        <w:t>.</w:t>
      </w:r>
    </w:p>
    <w:p w:rsidR="00CB541A" w:rsidRDefault="00CB541A" w:rsidP="00CB541A">
      <w:r w:rsidRPr="004B7BA9">
        <w:t>The ACCESS model system leverages international work by incorporating some components from the UK Met Office (the atmospheric model) and the US</w:t>
      </w:r>
      <w:r w:rsidR="00D3164C">
        <w:t>A</w:t>
      </w:r>
      <w:r w:rsidRPr="004B7BA9">
        <w:t xml:space="preserve"> (the ocean model</w:t>
      </w:r>
      <w:r w:rsidR="00C07ADB">
        <w:t xml:space="preserve"> –</w:t>
      </w:r>
      <w:r w:rsidRPr="004B7BA9">
        <w:t xml:space="preserve"> MOM) with Australia’s land module (CABLE). </w:t>
      </w:r>
      <w:r>
        <w:t>Effective w</w:t>
      </w:r>
      <w:r w:rsidRPr="004B7BA9">
        <w:t>eather</w:t>
      </w:r>
      <w:r w:rsidRPr="007F2E9A">
        <w:t xml:space="preserve"> and climate predictions</w:t>
      </w:r>
      <w:r>
        <w:t xml:space="preserve"> </w:t>
      </w:r>
      <w:r w:rsidRPr="007F2E9A">
        <w:t xml:space="preserve">build preparedness and resilience to </w:t>
      </w:r>
      <w:r w:rsidR="00D81182">
        <w:t xml:space="preserve">seasonal variability and </w:t>
      </w:r>
      <w:r w:rsidRPr="007F2E9A">
        <w:t>climate extremes</w:t>
      </w:r>
      <w:r>
        <w:t xml:space="preserve"> </w:t>
      </w:r>
      <w:r w:rsidRPr="007F2E9A">
        <w:t xml:space="preserve">and </w:t>
      </w:r>
      <w:r w:rsidR="00D3164C">
        <w:t>e</w:t>
      </w:r>
      <w:r w:rsidRPr="007F2E9A">
        <w:t xml:space="preserve">arth system simulations </w:t>
      </w:r>
      <w:r>
        <w:t>enable exploration of</w:t>
      </w:r>
      <w:r w:rsidRPr="007F2E9A">
        <w:t xml:space="preserve"> future climate trajectories for different </w:t>
      </w:r>
      <w:r w:rsidR="00D81182">
        <w:t>scenarios</w:t>
      </w:r>
      <w:r w:rsidRPr="007F2E9A">
        <w:t xml:space="preserve">, provide </w:t>
      </w:r>
      <w:r w:rsidR="00D81182">
        <w:t xml:space="preserve">guidance </w:t>
      </w:r>
      <w:r w:rsidRPr="007F2E9A">
        <w:t>of future choices, and identify potential system tipping points</w:t>
      </w:r>
      <w:r>
        <w:t xml:space="preserve"> so industries and the environment can </w:t>
      </w:r>
      <w:r w:rsidR="00D81182">
        <w:t>best manage emerging risks</w:t>
      </w:r>
      <w:r w:rsidRPr="007F2E9A">
        <w:t>.</w:t>
      </w:r>
      <w:r w:rsidR="000126C7">
        <w:t xml:space="preserve"> </w:t>
      </w:r>
    </w:p>
    <w:p w:rsidR="00CB541A" w:rsidRPr="002737BC" w:rsidRDefault="00FB7031" w:rsidP="00CB541A">
      <w:pPr>
        <w:pStyle w:val="Heading3"/>
      </w:pPr>
      <w:r>
        <w:t>Marine e</w:t>
      </w:r>
      <w:r w:rsidR="00CB541A" w:rsidRPr="002737BC">
        <w:t>nvironment</w:t>
      </w:r>
    </w:p>
    <w:p w:rsidR="00D81182" w:rsidRDefault="00CB541A" w:rsidP="00CB541A">
      <w:r>
        <w:t xml:space="preserve">While significant progress has been made with modelling observational and biological data, integration needs to be enhanced. </w:t>
      </w:r>
      <w:r w:rsidR="00D81182">
        <w:t xml:space="preserve">To maintain Australia’s world leadership in marine science, particularly in the Southern Ocean and the Antarctic, ocean observation and monitoring, blue water research and related data modelling and simulation capabilities need to be sustained. </w:t>
      </w:r>
    </w:p>
    <w:p w:rsidR="00CB541A" w:rsidRDefault="00CB541A" w:rsidP="00CB541A">
      <w:r w:rsidRPr="00FE69CE">
        <w:t xml:space="preserve">In addition, </w:t>
      </w:r>
      <w:r>
        <w:t xml:space="preserve">ongoing capability building will be required to </w:t>
      </w:r>
      <w:r w:rsidRPr="00FE69CE">
        <w:rPr>
          <w:lang w:val="en"/>
        </w:rPr>
        <w:t>improve aquaculture</w:t>
      </w:r>
      <w:r w:rsidR="00EC6BD6">
        <w:rPr>
          <w:lang w:val="en"/>
        </w:rPr>
        <w:t xml:space="preserve">, </w:t>
      </w:r>
      <w:r w:rsidR="00D81182">
        <w:rPr>
          <w:lang w:val="en"/>
        </w:rPr>
        <w:t xml:space="preserve">both </w:t>
      </w:r>
      <w:r w:rsidR="00D81182" w:rsidRPr="00FE69CE">
        <w:rPr>
          <w:lang w:val="en"/>
        </w:rPr>
        <w:t>fresh and saltwater</w:t>
      </w:r>
      <w:r w:rsidR="00344ADA">
        <w:rPr>
          <w:lang w:val="en"/>
        </w:rPr>
        <w:t>,</w:t>
      </w:r>
      <w:r w:rsidR="00D81182">
        <w:rPr>
          <w:lang w:val="en"/>
        </w:rPr>
        <w:t xml:space="preserve"> </w:t>
      </w:r>
      <w:r w:rsidRPr="00FE69CE">
        <w:rPr>
          <w:lang w:val="en"/>
        </w:rPr>
        <w:t xml:space="preserve">through integrated studies of genetics, physiology, health, </w:t>
      </w:r>
      <w:proofErr w:type="spellStart"/>
      <w:r w:rsidRPr="00FE69CE">
        <w:rPr>
          <w:lang w:val="en"/>
        </w:rPr>
        <w:t>aquafeeds</w:t>
      </w:r>
      <w:proofErr w:type="spellEnd"/>
      <w:r w:rsidRPr="00FE69CE">
        <w:rPr>
          <w:lang w:val="en"/>
        </w:rPr>
        <w:t xml:space="preserve">, environments and food science </w:t>
      </w:r>
      <w:r w:rsidRPr="00D1024F">
        <w:t xml:space="preserve">to meet </w:t>
      </w:r>
      <w:r w:rsidRPr="00FE69CE">
        <w:t xml:space="preserve">food </w:t>
      </w:r>
      <w:r w:rsidRPr="00D1024F">
        <w:t>demand</w:t>
      </w:r>
      <w:r w:rsidRPr="00FE69CE">
        <w:t>s</w:t>
      </w:r>
      <w:r w:rsidRPr="00D1024F">
        <w:t xml:space="preserve"> and restock depleted recreational and commercial stocks</w:t>
      </w:r>
      <w:r w:rsidRPr="00FE69CE">
        <w:t>.</w:t>
      </w:r>
    </w:p>
    <w:p w:rsidR="003608CF" w:rsidRDefault="00EC6BD6" w:rsidP="00CB541A">
      <w:r>
        <w:t>This capability c</w:t>
      </w:r>
      <w:r w:rsidRPr="00BC25B6">
        <w:t>ontinues as a high priority</w:t>
      </w:r>
      <w:r>
        <w:t xml:space="preserve"> requiring</w:t>
      </w:r>
      <w:r w:rsidRPr="00FF5B58">
        <w:t xml:space="preserve"> enhanced data management and integration </w:t>
      </w:r>
      <w:r>
        <w:t xml:space="preserve">to ensure </w:t>
      </w:r>
      <w:r w:rsidRPr="00FF5B58">
        <w:t>Australian participation in international science projects.</w:t>
      </w:r>
    </w:p>
    <w:p w:rsidR="00CB541A" w:rsidRPr="002737BC" w:rsidRDefault="00FB7031" w:rsidP="00CB541A">
      <w:pPr>
        <w:pStyle w:val="Heading3"/>
      </w:pPr>
      <w:r>
        <w:t>Terrestrial s</w:t>
      </w:r>
      <w:r w:rsidR="00CB541A" w:rsidRPr="002737BC">
        <w:t>ystems</w:t>
      </w:r>
    </w:p>
    <w:p w:rsidR="00344ADA" w:rsidRDefault="00CB541A" w:rsidP="00D81182">
      <w:pPr>
        <w:ind w:right="-330"/>
      </w:pPr>
      <w:r>
        <w:t>This capability c</w:t>
      </w:r>
      <w:r w:rsidRPr="00BC25B6">
        <w:t>ontinues as high priority</w:t>
      </w:r>
      <w:r>
        <w:t xml:space="preserve"> </w:t>
      </w:r>
      <w:r w:rsidR="004106E9">
        <w:t>and</w:t>
      </w:r>
      <w:r>
        <w:t xml:space="preserve"> require</w:t>
      </w:r>
      <w:r w:rsidR="004106E9">
        <w:t>s</w:t>
      </w:r>
      <w:r w:rsidRPr="00FF5B58">
        <w:t xml:space="preserve"> integration across data types, priority ecosystems and gaps </w:t>
      </w:r>
      <w:r>
        <w:t xml:space="preserve">in </w:t>
      </w:r>
      <w:r w:rsidRPr="00FF5B58">
        <w:t>soil, ground water, air</w:t>
      </w:r>
      <w:r>
        <w:t xml:space="preserve"> and the tropical and </w:t>
      </w:r>
      <w:r w:rsidRPr="00FF5B58">
        <w:t>coastal zone</w:t>
      </w:r>
      <w:r>
        <w:t>s</w:t>
      </w:r>
      <w:r w:rsidRPr="00FF5B58">
        <w:t>.</w:t>
      </w:r>
      <w:r>
        <w:t xml:space="preserve"> The emerging trend of linking terrestrial systems observational data to biological data needs to continue. Significant progress has been made in this area, but major gaps still exist. </w:t>
      </w:r>
    </w:p>
    <w:p w:rsidR="009716A3" w:rsidRDefault="00CB541A" w:rsidP="00AD2D49">
      <w:pPr>
        <w:ind w:right="-472"/>
      </w:pPr>
      <w:r>
        <w:lastRenderedPageBreak/>
        <w:t>There is a need to engage a wider range of stakeholders and end</w:t>
      </w:r>
      <w:r w:rsidR="00285317">
        <w:t> </w:t>
      </w:r>
      <w:r>
        <w:t xml:space="preserve">users to agree on the essential environmental variables to measure and further encourage researchers to collaborate and integrate data, models and infrastructure. </w:t>
      </w:r>
      <w:r w:rsidR="00F13F02">
        <w:t>D</w:t>
      </w:r>
      <w:r w:rsidR="00D81182">
        <w:t>ata collect</w:t>
      </w:r>
      <w:r w:rsidR="00344ADA">
        <w:t>ed</w:t>
      </w:r>
      <w:r w:rsidR="00D81182">
        <w:t xml:space="preserve"> </w:t>
      </w:r>
      <w:r w:rsidR="00344ADA">
        <w:t>on agreed</w:t>
      </w:r>
      <w:r w:rsidR="00D81182">
        <w:t xml:space="preserve"> </w:t>
      </w:r>
      <w:r w:rsidR="00F13F02">
        <w:t xml:space="preserve">long term </w:t>
      </w:r>
      <w:r w:rsidR="00D81182">
        <w:t>environmental variables</w:t>
      </w:r>
      <w:r w:rsidR="00F13F02">
        <w:t xml:space="preserve"> to sustainably </w:t>
      </w:r>
      <w:r w:rsidR="00344ADA">
        <w:t xml:space="preserve">manage </w:t>
      </w:r>
      <w:r w:rsidR="00F13F02">
        <w:t>resources and ecosystems</w:t>
      </w:r>
      <w:r w:rsidR="00F13F02">
        <w:rPr>
          <w:rStyle w:val="FootnoteReference"/>
        </w:rPr>
        <w:footnoteReference w:id="12"/>
      </w:r>
      <w:r w:rsidR="00F13F02">
        <w:t xml:space="preserve"> is essential. For example, long term data on </w:t>
      </w:r>
      <w:r w:rsidR="00344ADA">
        <w:t xml:space="preserve">the potential impact </w:t>
      </w:r>
      <w:r w:rsidR="00D81182">
        <w:t xml:space="preserve">of mining, nutrient </w:t>
      </w:r>
      <w:proofErr w:type="gramStart"/>
      <w:r w:rsidR="00D81182">
        <w:t>flows,</w:t>
      </w:r>
      <w:proofErr w:type="gramEnd"/>
      <w:r w:rsidR="00D81182">
        <w:t xml:space="preserve"> climate change, urbanization and sea level</w:t>
      </w:r>
      <w:r w:rsidR="00344ADA">
        <w:t>s</w:t>
      </w:r>
      <w:r w:rsidR="00D81182">
        <w:t xml:space="preserve"> on ecosystems </w:t>
      </w:r>
      <w:r w:rsidR="000F464C">
        <w:t>are</w:t>
      </w:r>
      <w:r w:rsidR="00F13F02">
        <w:t xml:space="preserve"> required t</w:t>
      </w:r>
      <w:r w:rsidR="00D81182">
        <w:t>o establish viable solution</w:t>
      </w:r>
      <w:r w:rsidR="00497930">
        <w:t>s</w:t>
      </w:r>
      <w:r w:rsidR="009716A3">
        <w:t>.</w:t>
      </w:r>
    </w:p>
    <w:p w:rsidR="009716A3" w:rsidRDefault="009716A3" w:rsidP="009716A3">
      <w:pPr>
        <w:pStyle w:val="Heading3"/>
      </w:pPr>
      <w:r>
        <w:t>Solid earth</w:t>
      </w:r>
    </w:p>
    <w:p w:rsidR="00CB541A" w:rsidRDefault="00CB541A" w:rsidP="009716A3">
      <w:r>
        <w:t>This capability c</w:t>
      </w:r>
      <w:r w:rsidRPr="00BC25B6">
        <w:t xml:space="preserve">ontinues as a high priority </w:t>
      </w:r>
      <w:r>
        <w:t xml:space="preserve">and must </w:t>
      </w:r>
      <w:r w:rsidRPr="00FF5B58">
        <w:t xml:space="preserve">focus </w:t>
      </w:r>
      <w:r w:rsidRPr="004B7BA9">
        <w:t>on improving efficiency in mineral extraction,</w:t>
      </w:r>
      <w:r>
        <w:t xml:space="preserve"> </w:t>
      </w:r>
      <w:r w:rsidRPr="00FF5B58">
        <w:t>water</w:t>
      </w:r>
      <w:r w:rsidRPr="00FF5B58">
        <w:rPr>
          <w:szCs w:val="20"/>
        </w:rPr>
        <w:t xml:space="preserve"> security and remote sensing</w:t>
      </w:r>
      <w:r>
        <w:rPr>
          <w:i/>
          <w:szCs w:val="20"/>
        </w:rPr>
        <w:t xml:space="preserve">. </w:t>
      </w:r>
      <w:r>
        <w:rPr>
          <w:szCs w:val="20"/>
        </w:rPr>
        <w:t>The</w:t>
      </w:r>
      <w:r w:rsidRPr="007D1770">
        <w:rPr>
          <w:szCs w:val="20"/>
        </w:rPr>
        <w:t xml:space="preserve"> need for Australia to continue </w:t>
      </w:r>
      <w:r>
        <w:rPr>
          <w:szCs w:val="20"/>
        </w:rPr>
        <w:t xml:space="preserve">to effectively </w:t>
      </w:r>
      <w:r w:rsidRPr="007D1770">
        <w:rPr>
          <w:szCs w:val="20"/>
        </w:rPr>
        <w:t>collaborate national</w:t>
      </w:r>
      <w:r>
        <w:rPr>
          <w:szCs w:val="20"/>
        </w:rPr>
        <w:t>ly and globally to access data and analytical capability has increased for sustainable resource management and flow on benefits to the economy</w:t>
      </w:r>
      <w:r w:rsidRPr="007D1770">
        <w:rPr>
          <w:szCs w:val="20"/>
        </w:rPr>
        <w:t>.</w:t>
      </w:r>
      <w:r>
        <w:rPr>
          <w:szCs w:val="20"/>
        </w:rPr>
        <w:t xml:space="preserve"> </w:t>
      </w:r>
      <w:r w:rsidR="004106E9">
        <w:rPr>
          <w:szCs w:val="20"/>
        </w:rPr>
        <w:t xml:space="preserve">The current </w:t>
      </w:r>
      <w:proofErr w:type="spellStart"/>
      <w:r w:rsidRPr="007D1770">
        <w:rPr>
          <w:szCs w:val="20"/>
        </w:rPr>
        <w:t>AuScope</w:t>
      </w:r>
      <w:proofErr w:type="spellEnd"/>
      <w:r w:rsidRPr="007D1770">
        <w:rPr>
          <w:szCs w:val="20"/>
        </w:rPr>
        <w:t xml:space="preserve"> investment provide</w:t>
      </w:r>
      <w:r>
        <w:rPr>
          <w:szCs w:val="20"/>
        </w:rPr>
        <w:t>s</w:t>
      </w:r>
      <w:r w:rsidRPr="007D1770">
        <w:rPr>
          <w:szCs w:val="20"/>
        </w:rPr>
        <w:t xml:space="preserve"> Australian geodesists and</w:t>
      </w:r>
      <w:r w:rsidR="004106E9">
        <w:rPr>
          <w:szCs w:val="20"/>
        </w:rPr>
        <w:t xml:space="preserve"> </w:t>
      </w:r>
      <w:r w:rsidRPr="007D1770">
        <w:rPr>
          <w:szCs w:val="20"/>
        </w:rPr>
        <w:t>geoscientists</w:t>
      </w:r>
      <w:r w:rsidR="004106E9">
        <w:rPr>
          <w:szCs w:val="20"/>
        </w:rPr>
        <w:t xml:space="preserve"> </w:t>
      </w:r>
      <w:r w:rsidRPr="007D1770">
        <w:rPr>
          <w:szCs w:val="20"/>
        </w:rPr>
        <w:t>with a</w:t>
      </w:r>
      <w:r w:rsidR="004106E9">
        <w:rPr>
          <w:szCs w:val="20"/>
        </w:rPr>
        <w:t xml:space="preserve"> </w:t>
      </w:r>
      <w:r w:rsidRPr="007D1770">
        <w:rPr>
          <w:szCs w:val="20"/>
        </w:rPr>
        <w:t>world class positioning infrastructure system that is now one of the most heavily used in the world.</w:t>
      </w:r>
      <w:r>
        <w:t xml:space="preserve"> Extensive research to address multiple environmental challenges, including future </w:t>
      </w:r>
      <w:r w:rsidR="00F13F02">
        <w:t xml:space="preserve">conventional and </w:t>
      </w:r>
      <w:r>
        <w:t>non-conventional gas developments and data integration is being undertaken at Geoscience Australia through the Data Cube and collaborative activities between the Department of the Environment</w:t>
      </w:r>
      <w:r w:rsidR="00D35175">
        <w:t xml:space="preserve"> and Energy</w:t>
      </w:r>
      <w:r>
        <w:t>, Bureau of Meteorology, CSIRO and Geoscience Australia on Bioregional Assessments.</w:t>
      </w:r>
      <w:r w:rsidR="00A255E5">
        <w:t xml:space="preserve"> </w:t>
      </w:r>
    </w:p>
    <w:p w:rsidR="00CB541A" w:rsidRPr="000A5C03" w:rsidRDefault="00CB541A" w:rsidP="00CB541A">
      <w:pPr>
        <w:pStyle w:val="Heading2"/>
        <w:spacing w:before="120"/>
        <w:ind w:left="578" w:hanging="578"/>
      </w:pPr>
      <w:r w:rsidRPr="000A5C03">
        <w:t>Desirable New Capabilities</w:t>
      </w:r>
    </w:p>
    <w:p w:rsidR="00CB541A" w:rsidRPr="00497930" w:rsidRDefault="00CB541A" w:rsidP="00AD2D49">
      <w:r w:rsidRPr="00AD2D49">
        <w:t>Overall, both the targeted and enabling capabilities identified in earlier roadmaps remain a high priority as Australia’s water</w:t>
      </w:r>
      <w:r w:rsidR="00285317">
        <w:rPr>
          <w:b/>
        </w:rPr>
        <w:t> </w:t>
      </w:r>
      <w:r w:rsidRPr="00AD2D49">
        <w:t xml:space="preserve">related challenges </w:t>
      </w:r>
      <w:r w:rsidR="004106E9" w:rsidRPr="00AD2D49">
        <w:t>increase</w:t>
      </w:r>
      <w:r w:rsidR="00497930">
        <w:rPr>
          <w:b/>
        </w:rPr>
        <w:t>.</w:t>
      </w:r>
    </w:p>
    <w:p w:rsidR="00CB541A" w:rsidRDefault="00CB541A" w:rsidP="00BA5937">
      <w:r w:rsidRPr="007F2E9A">
        <w:rPr>
          <w:rFonts w:cs="Tahoma"/>
        </w:rPr>
        <w:t xml:space="preserve">There are </w:t>
      </w:r>
      <w:r w:rsidRPr="007F2E9A">
        <w:t xml:space="preserve">several areas </w:t>
      </w:r>
      <w:r w:rsidR="00D53FD0">
        <w:t>of</w:t>
      </w:r>
      <w:r>
        <w:t xml:space="preserve"> existing national capability</w:t>
      </w:r>
      <w:r w:rsidR="00D53FD0">
        <w:t xml:space="preserve"> that should be built up</w:t>
      </w:r>
      <w:r w:rsidRPr="007F2E9A">
        <w:t>, including:</w:t>
      </w:r>
      <w:r>
        <w:t xml:space="preserve"> </w:t>
      </w:r>
      <w:r w:rsidRPr="007F2E9A">
        <w:t>a more explicit emphasis on pe</w:t>
      </w:r>
      <w:r>
        <w:t xml:space="preserve">ople and networks/collaboration; </w:t>
      </w:r>
      <w:r w:rsidRPr="007F2E9A">
        <w:t>integration across all three elements of research capability</w:t>
      </w:r>
      <w:r>
        <w:t xml:space="preserve"> (people, networks and infrastructure);</w:t>
      </w:r>
      <w:r w:rsidR="00A81F15">
        <w:t xml:space="preserve"> </w:t>
      </w:r>
      <w:r>
        <w:t>emerging technologies in sensors and sensor networks, biolog</w:t>
      </w:r>
      <w:r w:rsidR="00D53FD0">
        <w:t>ical and environmental sciences and the</w:t>
      </w:r>
      <w:r>
        <w:t xml:space="preserve"> </w:t>
      </w:r>
      <w:r w:rsidR="00D53FD0">
        <w:t xml:space="preserve">ongoing supply </w:t>
      </w:r>
      <w:r w:rsidR="00D53FD0" w:rsidRPr="006E6F6E">
        <w:t xml:space="preserve">of </w:t>
      </w:r>
      <w:r w:rsidR="00D81182">
        <w:t>internationally competitive</w:t>
      </w:r>
      <w:r w:rsidR="00D53FD0" w:rsidRPr="006E6F6E">
        <w:t xml:space="preserve">, high-performance computing </w:t>
      </w:r>
      <w:r w:rsidR="00D81182">
        <w:t xml:space="preserve">and data </w:t>
      </w:r>
      <w:r w:rsidR="00D53FD0" w:rsidRPr="006E6F6E">
        <w:t xml:space="preserve">infrastructure </w:t>
      </w:r>
      <w:r w:rsidR="00D53FD0">
        <w:t xml:space="preserve">to develop new models and provide critical insights for the development of </w:t>
      </w:r>
      <w:r w:rsidR="00D81182">
        <w:t xml:space="preserve">effective management </w:t>
      </w:r>
      <w:r w:rsidR="00D53FD0">
        <w:t xml:space="preserve">solutions to </w:t>
      </w:r>
      <w:r w:rsidR="00D81182">
        <w:t xml:space="preserve">climate variability and climate </w:t>
      </w:r>
      <w:r w:rsidR="00D53FD0">
        <w:t>change</w:t>
      </w:r>
      <w:r w:rsidR="001A458A">
        <w:t>.</w:t>
      </w:r>
    </w:p>
    <w:p w:rsidR="00D53FD0" w:rsidRDefault="00CB541A" w:rsidP="00CB541A">
      <w:pPr>
        <w:widowControl w:val="0"/>
        <w:autoSpaceDE w:val="0"/>
        <w:autoSpaceDN w:val="0"/>
        <w:adjustRightInd w:val="0"/>
      </w:pPr>
      <w:r>
        <w:t>P</w:t>
      </w:r>
      <w:r w:rsidRPr="007F2E9A">
        <w:t xml:space="preserve">riority areas </w:t>
      </w:r>
      <w:r>
        <w:t>yet to be addressed include</w:t>
      </w:r>
      <w:r w:rsidRPr="007F2E9A">
        <w:t>: access to international satellite</w:t>
      </w:r>
      <w:r w:rsidR="00285317">
        <w:t> </w:t>
      </w:r>
      <w:r w:rsidRPr="007F2E9A">
        <w:t>based remote sensing data</w:t>
      </w:r>
      <w:r>
        <w:t>;</w:t>
      </w:r>
      <w:r w:rsidRPr="007F2E9A">
        <w:t xml:space="preserve"> </w:t>
      </w:r>
      <w:r>
        <w:t xml:space="preserve">the </w:t>
      </w:r>
      <w:r w:rsidRPr="00A3123C">
        <w:t>operationalisation of the</w:t>
      </w:r>
      <w:r w:rsidRPr="007F2E9A">
        <w:t xml:space="preserve"> sites that provide </w:t>
      </w:r>
      <w:r>
        <w:t xml:space="preserve">the </w:t>
      </w:r>
      <w:r w:rsidRPr="007F2E9A">
        <w:t>calibration and validation</w:t>
      </w:r>
      <w:r>
        <w:t xml:space="preserve"> data that underpins</w:t>
      </w:r>
      <w:r w:rsidRPr="007F2E9A">
        <w:t xml:space="preserve"> remote sensing products</w:t>
      </w:r>
      <w:r>
        <w:t>;</w:t>
      </w:r>
      <w:r w:rsidRPr="007F2E9A">
        <w:t xml:space="preserve"> and skilled personnel </w:t>
      </w:r>
      <w:r>
        <w:t xml:space="preserve">to </w:t>
      </w:r>
      <w:r w:rsidRPr="007F2E9A">
        <w:t>d</w:t>
      </w:r>
      <w:r>
        <w:t xml:space="preserve">evelop algorithms and tools to fully exploit the data for </w:t>
      </w:r>
      <w:r w:rsidRPr="007F2E9A">
        <w:t xml:space="preserve">the global satellite community. </w:t>
      </w:r>
    </w:p>
    <w:p w:rsidR="00CB541A" w:rsidRDefault="00D53FD0" w:rsidP="00CB541A">
      <w:pPr>
        <w:widowControl w:val="0"/>
        <w:autoSpaceDE w:val="0"/>
        <w:autoSpaceDN w:val="0"/>
        <w:adjustRightInd w:val="0"/>
        <w:rPr>
          <w:rFonts w:cs="Tahoma"/>
          <w:szCs w:val="20"/>
        </w:rPr>
      </w:pPr>
      <w:r>
        <w:rPr>
          <w:rFonts w:cs="Tahoma"/>
          <w:szCs w:val="20"/>
        </w:rPr>
        <w:t xml:space="preserve">Research capabilities will be </w:t>
      </w:r>
      <w:r w:rsidR="00CB541A">
        <w:rPr>
          <w:rFonts w:cs="Tahoma"/>
          <w:szCs w:val="20"/>
        </w:rPr>
        <w:t>critical</w:t>
      </w:r>
      <w:r>
        <w:rPr>
          <w:rFonts w:cs="Tahoma"/>
          <w:szCs w:val="20"/>
        </w:rPr>
        <w:t xml:space="preserve"> to the </w:t>
      </w:r>
      <w:r w:rsidR="00CB541A">
        <w:rPr>
          <w:rFonts w:cs="Tahoma"/>
          <w:szCs w:val="20"/>
        </w:rPr>
        <w:t xml:space="preserve">deployment of </w:t>
      </w:r>
      <w:r w:rsidR="00CB541A" w:rsidRPr="002016C5">
        <w:rPr>
          <w:rFonts w:cs="Tahoma"/>
          <w:szCs w:val="20"/>
        </w:rPr>
        <w:t xml:space="preserve">technological advances to build measurement networks and platforms </w:t>
      </w:r>
      <w:r w:rsidR="00CB541A" w:rsidRPr="004D0132">
        <w:rPr>
          <w:rFonts w:cs="Tahoma"/>
          <w:szCs w:val="20"/>
        </w:rPr>
        <w:t>across</w:t>
      </w:r>
      <w:r w:rsidR="00CB541A" w:rsidRPr="00332A0A">
        <w:rPr>
          <w:rFonts w:cs="Tahoma"/>
          <w:b/>
          <w:i/>
          <w:szCs w:val="20"/>
        </w:rPr>
        <w:t xml:space="preserve"> </w:t>
      </w:r>
      <w:r w:rsidR="00CB541A">
        <w:rPr>
          <w:rFonts w:cs="Tahoma"/>
          <w:szCs w:val="20"/>
        </w:rPr>
        <w:t>the domains of water, land, and atmosphere and integrate this knowledge for use in a wide variety of domains including conservation, agriculture, mining and fisheries, including aquaculture.</w:t>
      </w:r>
      <w:r w:rsidR="00A255E5">
        <w:rPr>
          <w:rFonts w:cs="Tahoma"/>
          <w:szCs w:val="20"/>
        </w:rPr>
        <w:t xml:space="preserve"> </w:t>
      </w:r>
      <w:r w:rsidR="00CB541A">
        <w:rPr>
          <w:rFonts w:cs="Tahoma"/>
          <w:szCs w:val="20"/>
        </w:rPr>
        <w:t xml:space="preserve">For example, a quantitative understanding of our groundwater resources and its interaction with surface water </w:t>
      </w:r>
      <w:r w:rsidR="00D81182">
        <w:rPr>
          <w:rFonts w:cs="Tahoma"/>
          <w:szCs w:val="20"/>
        </w:rPr>
        <w:t xml:space="preserve">and ecosystems </w:t>
      </w:r>
      <w:r w:rsidR="00CB541A">
        <w:rPr>
          <w:rFonts w:cs="Tahoma"/>
          <w:szCs w:val="20"/>
        </w:rPr>
        <w:t xml:space="preserve">is essential as </w:t>
      </w:r>
      <w:r w:rsidR="00CB541A">
        <w:rPr>
          <w:rFonts w:cs="Tahoma"/>
          <w:szCs w:val="20"/>
        </w:rPr>
        <w:lastRenderedPageBreak/>
        <w:t>groundwater constitutes more than 95 per cent of Australia’s fresh water</w:t>
      </w:r>
      <w:r w:rsidR="00CB541A">
        <w:rPr>
          <w:rStyle w:val="FootnoteReference"/>
          <w:rFonts w:cs="Tahoma"/>
          <w:szCs w:val="20"/>
        </w:rPr>
        <w:footnoteReference w:id="13"/>
      </w:r>
      <w:r w:rsidR="00CB541A">
        <w:rPr>
          <w:rFonts w:cs="Tahoma"/>
          <w:szCs w:val="20"/>
        </w:rPr>
        <w:t>.</w:t>
      </w:r>
    </w:p>
    <w:p w:rsidR="00CB541A" w:rsidRDefault="00CB541A" w:rsidP="00CB541A">
      <w:pPr>
        <w:tabs>
          <w:tab w:val="left" w:pos="4111"/>
        </w:tabs>
        <w:spacing w:after="0"/>
      </w:pPr>
      <w:r>
        <w:t>N</w:t>
      </w:r>
      <w:r w:rsidRPr="00A03BE8">
        <w:t>ew national research infrastructure requirements</w:t>
      </w:r>
      <w:r>
        <w:t xml:space="preserve"> must be </w:t>
      </w:r>
      <w:r w:rsidRPr="00A03BE8">
        <w:t>aligned with broader research priorities and directions</w:t>
      </w:r>
      <w:r>
        <w:t>,</w:t>
      </w:r>
      <w:r w:rsidDel="00737711">
        <w:t xml:space="preserve"> </w:t>
      </w:r>
      <w:r>
        <w:t>possibly by the development of an</w:t>
      </w:r>
      <w:r w:rsidRPr="00A03BE8">
        <w:t xml:space="preserve"> overarching national strategic plan </w:t>
      </w:r>
      <w:r>
        <w:t>for future</w:t>
      </w:r>
      <w:r w:rsidR="00A255E5">
        <w:t xml:space="preserve"> </w:t>
      </w:r>
      <w:r w:rsidR="00D53FD0">
        <w:t>e</w:t>
      </w:r>
      <w:r>
        <w:t xml:space="preserve">nvironmental </w:t>
      </w:r>
      <w:r w:rsidRPr="00A03BE8">
        <w:t>research capabilit</w:t>
      </w:r>
      <w:r>
        <w:t>ies, including infrastructure. Such</w:t>
      </w:r>
      <w:r w:rsidRPr="00A03BE8">
        <w:t xml:space="preserve"> a framework </w:t>
      </w:r>
      <w:r>
        <w:t xml:space="preserve">could </w:t>
      </w:r>
      <w:r w:rsidR="00D81182">
        <w:t xml:space="preserve">be developed from </w:t>
      </w:r>
      <w:r w:rsidRPr="00A03BE8">
        <w:t xml:space="preserve">existing plans, such as the </w:t>
      </w:r>
      <w:r w:rsidRPr="00A03BE8">
        <w:rPr>
          <w:i/>
        </w:rPr>
        <w:t>National Marine S</w:t>
      </w:r>
      <w:r w:rsidRPr="00000584">
        <w:rPr>
          <w:i/>
        </w:rPr>
        <w:t>cience Plan</w:t>
      </w:r>
      <w:r w:rsidRPr="00000584">
        <w:t xml:space="preserve"> and </w:t>
      </w:r>
      <w:r w:rsidRPr="00000584">
        <w:rPr>
          <w:i/>
        </w:rPr>
        <w:t>Foundations for the Future</w:t>
      </w:r>
      <w:r w:rsidR="00285317">
        <w:rPr>
          <w:i/>
        </w:rPr>
        <w:t xml:space="preserve"> </w:t>
      </w:r>
      <w:r w:rsidR="00E30E3E">
        <w:rPr>
          <w:i/>
        </w:rPr>
        <w:t>-</w:t>
      </w:r>
      <w:r w:rsidR="00285317">
        <w:rPr>
          <w:i/>
        </w:rPr>
        <w:t xml:space="preserve"> </w:t>
      </w:r>
      <w:r w:rsidRPr="00000584">
        <w:rPr>
          <w:i/>
        </w:rPr>
        <w:t>A long term plan for Australian ecosystem science</w:t>
      </w:r>
      <w:r w:rsidRPr="00A03BE8">
        <w:t>.</w:t>
      </w:r>
    </w:p>
    <w:p w:rsidR="00CB541A" w:rsidRDefault="00CB541A" w:rsidP="00CB541A">
      <w:pPr>
        <w:pStyle w:val="Heading3"/>
      </w:pPr>
      <w:r>
        <w:t>Nationally integrated automat</w:t>
      </w:r>
      <w:r w:rsidR="0064723C">
        <w:t>ed</w:t>
      </w:r>
      <w:r>
        <w:t xml:space="preserve"> database</w:t>
      </w:r>
    </w:p>
    <w:p w:rsidR="00CB541A" w:rsidRDefault="00CB541A" w:rsidP="00CB541A">
      <w:pPr>
        <w:rPr>
          <w:rFonts w:cs="Helvetica"/>
        </w:rPr>
      </w:pPr>
      <w:r>
        <w:t>Australia requires continuing access to s</w:t>
      </w:r>
      <w:r w:rsidRPr="00332A0A">
        <w:rPr>
          <w:lang w:eastAsia="en-AU"/>
        </w:rPr>
        <w:t>atellite</w:t>
      </w:r>
      <w:r w:rsidR="00F772C4">
        <w:rPr>
          <w:lang w:eastAsia="en-AU"/>
        </w:rPr>
        <w:t xml:space="preserve"> </w:t>
      </w:r>
      <w:r w:rsidRPr="00332A0A">
        <w:rPr>
          <w:lang w:eastAsia="en-AU"/>
        </w:rPr>
        <w:t xml:space="preserve">based and proximal </w:t>
      </w:r>
      <w:r w:rsidRPr="00B13A07">
        <w:t>remote sensing</w:t>
      </w:r>
      <w:r w:rsidRPr="00332A0A">
        <w:rPr>
          <w:i/>
          <w:iCs/>
          <w:color w:val="0070C0"/>
          <w:lang w:eastAsia="en-AU"/>
        </w:rPr>
        <w:t xml:space="preserve"> </w:t>
      </w:r>
      <w:r w:rsidRPr="00332A0A">
        <w:rPr>
          <w:lang w:eastAsia="en-AU"/>
        </w:rPr>
        <w:t>to enable automated large</w:t>
      </w:r>
      <w:r w:rsidR="00F772C4">
        <w:rPr>
          <w:lang w:eastAsia="en-AU"/>
        </w:rPr>
        <w:t xml:space="preserve"> </w:t>
      </w:r>
      <w:r w:rsidRPr="00332A0A">
        <w:rPr>
          <w:lang w:eastAsia="en-AU"/>
        </w:rPr>
        <w:t>scale collection of environmental data</w:t>
      </w:r>
      <w:r>
        <w:rPr>
          <w:lang w:eastAsia="en-AU"/>
        </w:rPr>
        <w:t xml:space="preserve">. </w:t>
      </w:r>
      <w:r>
        <w:rPr>
          <w:rFonts w:cs="Helvetica"/>
        </w:rPr>
        <w:t>This includes in</w:t>
      </w:r>
      <w:r w:rsidR="00F772C4">
        <w:rPr>
          <w:rFonts w:cs="Helvetica"/>
        </w:rPr>
        <w:t xml:space="preserve"> </w:t>
      </w:r>
      <w:r>
        <w:rPr>
          <w:rFonts w:cs="Helvetica"/>
        </w:rPr>
        <w:t>situ, airborne and satellite</w:t>
      </w:r>
      <w:r w:rsidR="00F772C4">
        <w:rPr>
          <w:rFonts w:cs="Helvetica"/>
        </w:rPr>
        <w:t xml:space="preserve"> </w:t>
      </w:r>
      <w:r>
        <w:rPr>
          <w:rFonts w:cs="Helvetica"/>
        </w:rPr>
        <w:t>based observations; measurement platforms; and</w:t>
      </w:r>
      <w:r w:rsidRPr="00AD6CE6">
        <w:rPr>
          <w:rFonts w:cs="Helvetica"/>
        </w:rPr>
        <w:t xml:space="preserve"> </w:t>
      </w:r>
      <w:r>
        <w:rPr>
          <w:rFonts w:cs="Helvetica"/>
        </w:rPr>
        <w:t xml:space="preserve">observatory and analytical infrastructure. </w:t>
      </w:r>
      <w:r w:rsidRPr="00332A0A">
        <w:t>Sensors and sensor networks for automated observation and collection of data</w:t>
      </w:r>
      <w:r>
        <w:t xml:space="preserve"> </w:t>
      </w:r>
      <w:r w:rsidR="00D81182">
        <w:rPr>
          <w:rFonts w:cs="Tahoma"/>
          <w:szCs w:val="20"/>
        </w:rPr>
        <w:t xml:space="preserve">can </w:t>
      </w:r>
      <w:r>
        <w:rPr>
          <w:rFonts w:cs="Tahoma"/>
          <w:szCs w:val="20"/>
        </w:rPr>
        <w:t xml:space="preserve">provide automated monitoring </w:t>
      </w:r>
      <w:r w:rsidRPr="00676CA8">
        <w:rPr>
          <w:rFonts w:cs="Tahoma"/>
          <w:szCs w:val="20"/>
        </w:rPr>
        <w:t>in situ</w:t>
      </w:r>
      <w:r>
        <w:rPr>
          <w:rFonts w:cs="Tahoma"/>
          <w:szCs w:val="20"/>
        </w:rPr>
        <w:t xml:space="preserve"> for agreed </w:t>
      </w:r>
      <w:r w:rsidRPr="00B13A07">
        <w:t>essential environmental variables</w:t>
      </w:r>
      <w:r>
        <w:t xml:space="preserve">. </w:t>
      </w:r>
      <w:r w:rsidR="00D81182">
        <w:t>Gathering large amounts of essential data automatically is the most cost</w:t>
      </w:r>
      <w:r w:rsidR="00285317">
        <w:t> </w:t>
      </w:r>
      <w:r w:rsidR="00D81182">
        <w:t>effective solution to data gathering needs, given g</w:t>
      </w:r>
      <w:r w:rsidRPr="004638E3">
        <w:t xml:space="preserve">aps in observing </w:t>
      </w:r>
      <w:r>
        <w:t xml:space="preserve">networks </w:t>
      </w:r>
      <w:r w:rsidRPr="004638E3">
        <w:t>have been identified across the atmosphere, soils (carbon, water and nutrients), coasts, oceans, freshwater and groundwater domains.</w:t>
      </w:r>
      <w:r>
        <w:t xml:space="preserve"> </w:t>
      </w:r>
    </w:p>
    <w:p w:rsidR="00CB541A" w:rsidRDefault="00CB541A" w:rsidP="00CB541A">
      <w:r>
        <w:t xml:space="preserve">A national approach to sensor networks </w:t>
      </w:r>
      <w:r w:rsidR="00D81182">
        <w:t xml:space="preserve">could lead to the establishment of a </w:t>
      </w:r>
      <w:r w:rsidRPr="00332A0A">
        <w:t>baseline state</w:t>
      </w:r>
      <w:r>
        <w:t xml:space="preserve">, </w:t>
      </w:r>
      <w:r w:rsidRPr="00332A0A">
        <w:t xml:space="preserve">and </w:t>
      </w:r>
      <w:r>
        <w:t xml:space="preserve">provide data on </w:t>
      </w:r>
      <w:r w:rsidRPr="00332A0A">
        <w:t>how this is changing</w:t>
      </w:r>
      <w:r>
        <w:t xml:space="preserve"> in response to external factors, to assess the effectiveness of interventions</w:t>
      </w:r>
      <w:r w:rsidRPr="00332A0A">
        <w:t>.</w:t>
      </w:r>
      <w:r>
        <w:t xml:space="preserve"> It will be </w:t>
      </w:r>
      <w:r>
        <w:rPr>
          <w:rFonts w:cs="Tahoma"/>
          <w:szCs w:val="20"/>
        </w:rPr>
        <w:t>important to utilise significant adva</w:t>
      </w:r>
      <w:r w:rsidR="004106E9">
        <w:rPr>
          <w:rFonts w:cs="Tahoma"/>
          <w:szCs w:val="20"/>
        </w:rPr>
        <w:t xml:space="preserve">nces being made by the publicly </w:t>
      </w:r>
      <w:r>
        <w:rPr>
          <w:rFonts w:cs="Tahoma"/>
          <w:szCs w:val="20"/>
        </w:rPr>
        <w:t>funded research agencies and the private sector within Australia, as well as the private and public sectors internationally.</w:t>
      </w:r>
    </w:p>
    <w:p w:rsidR="00CB541A" w:rsidRDefault="00D53FD0" w:rsidP="00CB541A">
      <w:pPr>
        <w:rPr>
          <w:rFonts w:eastAsia="Times New Roman"/>
          <w:lang w:eastAsia="en-AU"/>
        </w:rPr>
      </w:pPr>
      <w:r>
        <w:rPr>
          <w:rFonts w:eastAsia="Times New Roman"/>
          <w:lang w:eastAsia="en-AU"/>
        </w:rPr>
        <w:t>A</w:t>
      </w:r>
      <w:r w:rsidR="00CB541A">
        <w:rPr>
          <w:rFonts w:eastAsia="Times New Roman"/>
          <w:lang w:eastAsia="en-AU"/>
        </w:rPr>
        <w:t xml:space="preserve"> challenge will be to find mechanisms to give researchers access to databases from a variety of sources, both public and private. </w:t>
      </w:r>
    </w:p>
    <w:p w:rsidR="00CB541A" w:rsidRDefault="00CB541A" w:rsidP="00CB541A">
      <w:pPr>
        <w:pStyle w:val="Heading3"/>
        <w:rPr>
          <w:lang w:val="en-US" w:eastAsia="en-AU"/>
        </w:rPr>
      </w:pPr>
      <w:r w:rsidRPr="001523E7">
        <w:t xml:space="preserve">National model systems </w:t>
      </w:r>
    </w:p>
    <w:p w:rsidR="00CB541A" w:rsidRDefault="00CB541A" w:rsidP="00CB541A">
      <w:r>
        <w:t xml:space="preserve">Agreed national model systems, such as the ACCESS climate model, will be required for a range of </w:t>
      </w:r>
      <w:r w:rsidRPr="00273AC7">
        <w:t>Earth System Models</w:t>
      </w:r>
      <w:r>
        <w:t xml:space="preserve"> </w:t>
      </w:r>
      <w:r w:rsidRPr="00740434">
        <w:rPr>
          <w:rFonts w:cs="Tahoma"/>
          <w:szCs w:val="20"/>
        </w:rPr>
        <w:t>(weather, climate, atmosphere, terrestrial biogeochemical and hydrological processes, ocean biogeochemistry, human socioeconomic systems</w:t>
      </w:r>
      <w:r>
        <w:rPr>
          <w:rFonts w:cs="Tahoma"/>
          <w:szCs w:val="20"/>
        </w:rPr>
        <w:t xml:space="preserve">; and biodiversity) </w:t>
      </w:r>
      <w:r w:rsidRPr="00273AC7">
        <w:t>to provide a synthesis and predictive capability for Australia’s weather and climate</w:t>
      </w:r>
      <w:r>
        <w:t xml:space="preserve"> including:</w:t>
      </w:r>
      <w:r w:rsidRPr="00273AC7">
        <w:t xml:space="preserve"> </w:t>
      </w:r>
    </w:p>
    <w:p w:rsidR="00CB541A" w:rsidRDefault="00CB541A" w:rsidP="00CB541A">
      <w:pPr>
        <w:pStyle w:val="ListParagraph"/>
        <w:numPr>
          <w:ilvl w:val="0"/>
          <w:numId w:val="86"/>
        </w:numPr>
      </w:pPr>
      <w:r w:rsidRPr="00273AC7">
        <w:t>ecosystem biodiversity and resources (air, water, carbon and nutrients</w:t>
      </w:r>
      <w:r>
        <w:t>)</w:t>
      </w:r>
      <w:r w:rsidRPr="00273AC7">
        <w:t xml:space="preserve"> </w:t>
      </w:r>
    </w:p>
    <w:p w:rsidR="00CB541A" w:rsidRDefault="00CB541A" w:rsidP="00CB541A">
      <w:pPr>
        <w:pStyle w:val="ListParagraph"/>
        <w:numPr>
          <w:ilvl w:val="0"/>
          <w:numId w:val="86"/>
        </w:numPr>
      </w:pPr>
      <w:r w:rsidRPr="00273AC7">
        <w:t>coasts and oceans</w:t>
      </w:r>
      <w:r>
        <w:t>, and</w:t>
      </w:r>
    </w:p>
    <w:p w:rsidR="00CB541A" w:rsidRDefault="00CB541A" w:rsidP="00CB541A">
      <w:pPr>
        <w:pStyle w:val="ListParagraph"/>
        <w:numPr>
          <w:ilvl w:val="0"/>
          <w:numId w:val="86"/>
        </w:numPr>
      </w:pPr>
      <w:proofErr w:type="gramStart"/>
      <w:r>
        <w:t>agriculture</w:t>
      </w:r>
      <w:proofErr w:type="gramEnd"/>
      <w:r>
        <w:t>, mining and energy resource exploration</w:t>
      </w:r>
      <w:r w:rsidRPr="00273AC7">
        <w:t>.</w:t>
      </w:r>
      <w:r w:rsidR="00A255E5">
        <w:t xml:space="preserve"> </w:t>
      </w:r>
    </w:p>
    <w:p w:rsidR="00CB541A" w:rsidRDefault="00CB541A" w:rsidP="00CB541A">
      <w:r>
        <w:t xml:space="preserve">These national models will rely on international collaboration and so </w:t>
      </w:r>
      <w:r w:rsidRPr="0094035B">
        <w:t xml:space="preserve">Australia must </w:t>
      </w:r>
      <w:r w:rsidRPr="00CC5720">
        <w:rPr>
          <w:bCs/>
        </w:rPr>
        <w:t>give as well as take</w:t>
      </w:r>
      <w:r w:rsidRPr="00597B63">
        <w:rPr>
          <w:b/>
          <w:bCs/>
        </w:rPr>
        <w:t xml:space="preserve"> </w:t>
      </w:r>
      <w:r w:rsidRPr="00597B63">
        <w:rPr>
          <w:bCs/>
        </w:rPr>
        <w:t xml:space="preserve">to ensure ongoing access </w:t>
      </w:r>
      <w:r w:rsidRPr="0094035B">
        <w:t xml:space="preserve">to globally significant models. </w:t>
      </w:r>
    </w:p>
    <w:p w:rsidR="00CB541A" w:rsidRDefault="00CB541A" w:rsidP="00CB541A">
      <w:r>
        <w:rPr>
          <w:szCs w:val="20"/>
        </w:rPr>
        <w:t xml:space="preserve">New capability and infrastructure are needed to enable future </w:t>
      </w:r>
      <w:r>
        <w:t xml:space="preserve">national water security. </w:t>
      </w:r>
      <w:r>
        <w:rPr>
          <w:szCs w:val="20"/>
        </w:rPr>
        <w:t>Surface water and groundwater research and integration need to be expanded and enhanced</w:t>
      </w:r>
      <w:r>
        <w:t xml:space="preserve"> to manage water </w:t>
      </w:r>
      <w:r>
        <w:lastRenderedPageBreak/>
        <w:t>demands in the future. As research matures, operational components could be managed by the Bureau of Meteorology, where appropriate.</w:t>
      </w:r>
    </w:p>
    <w:p w:rsidR="00CB541A" w:rsidRDefault="00CB541A" w:rsidP="00CB541A">
      <w:pPr>
        <w:ind w:right="-188"/>
      </w:pPr>
      <w:r>
        <w:t>For Australia to continue to be one of the world leaders in marine re</w:t>
      </w:r>
      <w:r w:rsidRPr="00EF3541">
        <w:t>search</w:t>
      </w:r>
      <w:r>
        <w:t xml:space="preserve"> and to protect Antarctica, there is a need to utilise marine vessels</w:t>
      </w:r>
      <w:r w:rsidRPr="00354A2E">
        <w:t xml:space="preserve"> </w:t>
      </w:r>
      <w:r w:rsidR="004106E9">
        <w:t xml:space="preserve">and the marine fleet </w:t>
      </w:r>
      <w:r>
        <w:t>more efficiently, build modelling capacity across hydrodynamic and biogeochemical (oceans and coasts), examine deep oceans, coastal zones, terrestrial waters, cumulative impacts on marine ecosystems and ocean-air interactions.</w:t>
      </w:r>
      <w:r w:rsidR="00A255E5">
        <w:t xml:space="preserve"> </w:t>
      </w:r>
    </w:p>
    <w:p w:rsidR="00CB541A" w:rsidRDefault="00CB541A" w:rsidP="00CB541A">
      <w:pPr>
        <w:pStyle w:val="Heading3"/>
      </w:pPr>
      <w:r w:rsidRPr="004638E3">
        <w:t xml:space="preserve">Integrated biological facilities for </w:t>
      </w:r>
      <w:r>
        <w:t xml:space="preserve">plant and animal </w:t>
      </w:r>
      <w:r w:rsidRPr="004638E3">
        <w:t xml:space="preserve">sciences </w:t>
      </w:r>
    </w:p>
    <w:p w:rsidR="00CB541A" w:rsidRDefault="00CB541A" w:rsidP="00CB541A">
      <w:r w:rsidRPr="004B7BA9">
        <w:t xml:space="preserve">Existing facilities in plant and animal biological sciences will need to continue to support frontier technologies as they will grow in importance and play a key role in addressing barriers to agricultural yields, including adaptation </w:t>
      </w:r>
      <w:r w:rsidR="00D81182">
        <w:t>and mitigation of climate change</w:t>
      </w:r>
      <w:r w:rsidRPr="004B7BA9">
        <w:t>.</w:t>
      </w:r>
      <w:r>
        <w:t xml:space="preserve"> </w:t>
      </w:r>
    </w:p>
    <w:p w:rsidR="00CB541A" w:rsidRDefault="00CB541A" w:rsidP="00CB541A">
      <w:pPr>
        <w:rPr>
          <w:rFonts w:cs="Helvetica"/>
        </w:rPr>
      </w:pPr>
      <w:r>
        <w:rPr>
          <w:rFonts w:cs="Helvetica"/>
        </w:rPr>
        <w:t xml:space="preserve">Future capability must include greater integration of genomic, </w:t>
      </w:r>
      <w:proofErr w:type="spellStart"/>
      <w:r>
        <w:rPr>
          <w:rFonts w:cs="Helvetica"/>
        </w:rPr>
        <w:t>phenomic</w:t>
      </w:r>
      <w:proofErr w:type="spellEnd"/>
      <w:r>
        <w:rPr>
          <w:rFonts w:cs="Helvetica"/>
        </w:rPr>
        <w:t xml:space="preserve">, </w:t>
      </w:r>
      <w:proofErr w:type="spellStart"/>
      <w:r>
        <w:rPr>
          <w:rFonts w:cs="Helvetica"/>
        </w:rPr>
        <w:t>metabolomic</w:t>
      </w:r>
      <w:proofErr w:type="spellEnd"/>
      <w:r>
        <w:rPr>
          <w:rFonts w:cs="Helvetica"/>
        </w:rPr>
        <w:t xml:space="preserve"> and proteomic facilities to capture new scientific advances at the intersection of these areas. Data integration will be </w:t>
      </w:r>
      <w:proofErr w:type="gramStart"/>
      <w:r>
        <w:rPr>
          <w:rFonts w:cs="Helvetica"/>
        </w:rPr>
        <w:t>key</w:t>
      </w:r>
      <w:proofErr w:type="gramEnd"/>
      <w:r>
        <w:rPr>
          <w:rFonts w:cs="Helvetica"/>
        </w:rPr>
        <w:t xml:space="preserve"> and will require advances in bioinformatics, visualisation and software development. Advances in gene editing and in visualisation will require increased sophistication in computing and software development and access to eResearch infrastructure. </w:t>
      </w:r>
      <w:r>
        <w:t>Support will also be needed to continue building on existing taxonomy capability.</w:t>
      </w:r>
    </w:p>
    <w:p w:rsidR="00CB541A" w:rsidRDefault="00CB541A" w:rsidP="00676CA8">
      <w:pPr>
        <w:ind w:right="-188"/>
        <w:rPr>
          <w:rFonts w:ascii="Calibri" w:eastAsiaTheme="majorEastAsia" w:hAnsi="Calibri" w:cstheme="majorBidi"/>
          <w:bCs/>
          <w:lang w:eastAsia="en-AU"/>
        </w:rPr>
      </w:pPr>
      <w:r>
        <w:rPr>
          <w:lang w:eastAsia="en-AU"/>
        </w:rPr>
        <w:t>There is an opportunity to create nationally i</w:t>
      </w:r>
      <w:r w:rsidRPr="00332A0A">
        <w:rPr>
          <w:lang w:eastAsia="en-AU"/>
        </w:rPr>
        <w:t xml:space="preserve">ntegrated research facilities </w:t>
      </w:r>
      <w:r w:rsidRPr="00332A0A">
        <w:rPr>
          <w:color w:val="000000" w:themeColor="text1"/>
          <w:lang w:eastAsia="en-AU"/>
        </w:rPr>
        <w:t>to b</w:t>
      </w:r>
      <w:r w:rsidR="00CA3065">
        <w:rPr>
          <w:color w:val="000000" w:themeColor="text1"/>
          <w:lang w:eastAsia="en-AU"/>
        </w:rPr>
        <w:t>ecome ‘</w:t>
      </w:r>
      <w:r>
        <w:rPr>
          <w:color w:val="000000" w:themeColor="text1"/>
          <w:lang w:eastAsia="en-AU"/>
        </w:rPr>
        <w:t xml:space="preserve">ecosystem observatories’. </w:t>
      </w:r>
      <w:r w:rsidRPr="001523E7">
        <w:rPr>
          <w:rFonts w:ascii="Calibri" w:eastAsiaTheme="majorEastAsia" w:hAnsi="Calibri" w:cstheme="majorBidi"/>
          <w:bCs/>
          <w:lang w:eastAsia="en-AU"/>
        </w:rPr>
        <w:t>Australia</w:t>
      </w:r>
      <w:r>
        <w:rPr>
          <w:rFonts w:ascii="Calibri" w:eastAsiaTheme="majorEastAsia" w:hAnsi="Calibri" w:cstheme="majorBidi"/>
          <w:bCs/>
          <w:lang w:eastAsia="en-AU"/>
        </w:rPr>
        <w:t xml:space="preserve"> has a range of experimental facilities and sites across the country including long term monitoring sites, agricultural field stations and marine or experimental aquaculture facilities. Greater coordination of these facilities would enable better utilisation of resources and support collaborative efforts for national scale modelling to, for example, increase agricultural nutritional value without additional land requirements and reduce </w:t>
      </w:r>
      <w:r w:rsidR="0064723C">
        <w:rPr>
          <w:rFonts w:ascii="Calibri" w:eastAsiaTheme="majorEastAsia" w:hAnsi="Calibri" w:cstheme="majorBidi"/>
          <w:bCs/>
          <w:lang w:eastAsia="en-AU"/>
        </w:rPr>
        <w:t xml:space="preserve">the </w:t>
      </w:r>
      <w:r>
        <w:rPr>
          <w:rFonts w:ascii="Calibri" w:eastAsiaTheme="majorEastAsia" w:hAnsi="Calibri" w:cstheme="majorBidi"/>
          <w:bCs/>
          <w:lang w:eastAsia="en-AU"/>
        </w:rPr>
        <w:t>risk</w:t>
      </w:r>
      <w:r w:rsidR="0064723C">
        <w:rPr>
          <w:rFonts w:ascii="Calibri" w:eastAsiaTheme="majorEastAsia" w:hAnsi="Calibri" w:cstheme="majorBidi"/>
          <w:bCs/>
          <w:lang w:eastAsia="en-AU"/>
        </w:rPr>
        <w:t xml:space="preserve"> of</w:t>
      </w:r>
      <w:r>
        <w:rPr>
          <w:rFonts w:ascii="Calibri" w:eastAsiaTheme="majorEastAsia" w:hAnsi="Calibri" w:cstheme="majorBidi"/>
          <w:bCs/>
          <w:lang w:eastAsia="en-AU"/>
        </w:rPr>
        <w:t xml:space="preserve"> disease in </w:t>
      </w:r>
      <w:r w:rsidR="00F772C4">
        <w:rPr>
          <w:rFonts w:ascii="Calibri" w:eastAsiaTheme="majorEastAsia" w:hAnsi="Calibri" w:cstheme="majorBidi"/>
          <w:bCs/>
          <w:lang w:eastAsia="en-AU"/>
        </w:rPr>
        <w:t>aquaculture</w:t>
      </w:r>
      <w:r>
        <w:rPr>
          <w:rFonts w:ascii="Calibri" w:eastAsiaTheme="majorEastAsia" w:hAnsi="Calibri" w:cstheme="majorBidi"/>
          <w:bCs/>
          <w:lang w:eastAsia="en-AU"/>
        </w:rPr>
        <w:t xml:space="preserve"> industries. </w:t>
      </w:r>
    </w:p>
    <w:p w:rsidR="004F2B82" w:rsidRDefault="004F2B82" w:rsidP="00CB541A">
      <w:pPr>
        <w:ind w:right="-330"/>
        <w:rPr>
          <w:szCs w:val="20"/>
        </w:rPr>
      </w:pPr>
      <w:r>
        <w:rPr>
          <w:szCs w:val="20"/>
        </w:rPr>
        <w:br w:type="page"/>
      </w:r>
    </w:p>
    <w:p w:rsidR="00CB541A" w:rsidRPr="00CB541A" w:rsidRDefault="00CB541A" w:rsidP="00CB541A">
      <w:pPr>
        <w:ind w:right="-330"/>
        <w:rPr>
          <w:szCs w:val="20"/>
        </w:rPr>
      </w:pPr>
      <w:r>
        <w:rPr>
          <w:szCs w:val="20"/>
        </w:rPr>
        <w:lastRenderedPageBreak/>
        <w:t>This</w:t>
      </w:r>
      <w:r w:rsidRPr="00CB541A">
        <w:rPr>
          <w:szCs w:val="20"/>
        </w:rPr>
        <w:t xml:space="preserve"> table provides a snapshot of the current and proposed future research infrastructure capabilities. </w:t>
      </w:r>
      <w:r w:rsidRPr="00CB541A">
        <w:rPr>
          <w:rFonts w:ascii="Calibri" w:eastAsiaTheme="majorEastAsia" w:hAnsi="Calibri" w:cstheme="majorBidi"/>
          <w:bCs/>
          <w:lang w:eastAsia="en-AU"/>
        </w:rPr>
        <w:t>These are examples and are not an exhaustive list</w:t>
      </w:r>
      <w:r>
        <w:rPr>
          <w:rFonts w:ascii="Calibri" w:eastAsiaTheme="majorEastAsia" w:hAnsi="Calibri" w:cstheme="majorBidi"/>
          <w:bCs/>
          <w:lang w:eastAsia="en-AU"/>
        </w:rPr>
        <w:t>.</w:t>
      </w:r>
    </w:p>
    <w:tbl>
      <w:tblPr>
        <w:tblStyle w:val="TableGrid"/>
        <w:tblW w:w="9464" w:type="dxa"/>
        <w:tblLook w:val="04A0" w:firstRow="1" w:lastRow="0" w:firstColumn="1" w:lastColumn="0" w:noHBand="0" w:noVBand="1"/>
        <w:tblCaption w:val="Table describing research Infrastructure Snapshot - Environment &amp; Natural Resource Management"/>
        <w:tblDescription w:val="4 quadrants listing existing capability elements, existing infrastructure, emerging trends and examples of potential new infrastructure"/>
      </w:tblPr>
      <w:tblGrid>
        <w:gridCol w:w="959"/>
        <w:gridCol w:w="3143"/>
        <w:gridCol w:w="5362"/>
      </w:tblGrid>
      <w:tr w:rsidR="00CB541A" w:rsidTr="004F2B82">
        <w:trPr>
          <w:trHeight w:val="341"/>
        </w:trPr>
        <w:tc>
          <w:tcPr>
            <w:tcW w:w="9464" w:type="dxa"/>
            <w:gridSpan w:val="3"/>
            <w:shd w:val="clear" w:color="auto" w:fill="FFC000"/>
          </w:tcPr>
          <w:p w:rsidR="00CB541A" w:rsidRDefault="00CB541A" w:rsidP="004F2B82">
            <w:pPr>
              <w:spacing w:before="120" w:after="120"/>
              <w:jc w:val="center"/>
              <w:rPr>
                <w:b/>
              </w:rPr>
            </w:pPr>
            <w:r>
              <w:rPr>
                <w:b/>
              </w:rPr>
              <w:t>Research Infrastructure Snapshot – Environment and Natural Resource Management</w:t>
            </w:r>
          </w:p>
        </w:tc>
      </w:tr>
      <w:tr w:rsidR="00CB541A" w:rsidRPr="00F86FE1" w:rsidTr="004F2B82">
        <w:tc>
          <w:tcPr>
            <w:tcW w:w="959" w:type="dxa"/>
            <w:shd w:val="clear" w:color="auto" w:fill="499FE1" w:themeFill="accent1" w:themeFillTint="99"/>
          </w:tcPr>
          <w:p w:rsidR="00CB541A" w:rsidRDefault="00CB541A" w:rsidP="004F2B82">
            <w:pPr>
              <w:rPr>
                <w:b/>
              </w:rPr>
            </w:pPr>
          </w:p>
        </w:tc>
        <w:tc>
          <w:tcPr>
            <w:tcW w:w="3143" w:type="dxa"/>
            <w:shd w:val="clear" w:color="auto" w:fill="499FE1" w:themeFill="accent1" w:themeFillTint="99"/>
          </w:tcPr>
          <w:p w:rsidR="00CB541A" w:rsidRPr="00B80905" w:rsidRDefault="00CB541A" w:rsidP="00CB541A">
            <w:pPr>
              <w:rPr>
                <w:b/>
              </w:rPr>
            </w:pPr>
            <w:r>
              <w:rPr>
                <w:b/>
              </w:rPr>
              <w:t>Existing c</w:t>
            </w:r>
            <w:r w:rsidRPr="00B80905">
              <w:rPr>
                <w:b/>
              </w:rPr>
              <w:t xml:space="preserve">apability </w:t>
            </w:r>
            <w:r>
              <w:rPr>
                <w:b/>
              </w:rPr>
              <w:t>e</w:t>
            </w:r>
            <w:r w:rsidRPr="00B80905">
              <w:rPr>
                <w:b/>
              </w:rPr>
              <w:t>lements</w:t>
            </w:r>
          </w:p>
        </w:tc>
        <w:tc>
          <w:tcPr>
            <w:tcW w:w="5362" w:type="dxa"/>
            <w:shd w:val="clear" w:color="auto" w:fill="499FE1" w:themeFill="accent1" w:themeFillTint="99"/>
          </w:tcPr>
          <w:p w:rsidR="00CB541A" w:rsidRPr="00B80905" w:rsidRDefault="00CB541A" w:rsidP="00CB541A">
            <w:pPr>
              <w:rPr>
                <w:b/>
              </w:rPr>
            </w:pPr>
            <w:r>
              <w:rPr>
                <w:b/>
              </w:rPr>
              <w:t>Existing infrastructure</w:t>
            </w:r>
          </w:p>
        </w:tc>
      </w:tr>
      <w:tr w:rsidR="00CB541A" w:rsidRPr="009829EE" w:rsidTr="004F2B82">
        <w:trPr>
          <w:trHeight w:val="3534"/>
        </w:trPr>
        <w:tc>
          <w:tcPr>
            <w:tcW w:w="959" w:type="dxa"/>
            <w:vAlign w:val="center"/>
          </w:tcPr>
          <w:p w:rsidR="00CB541A" w:rsidRDefault="00CB541A" w:rsidP="004F2B82">
            <w:pPr>
              <w:rPr>
                <w:b/>
              </w:rPr>
            </w:pPr>
            <w:r>
              <w:rPr>
                <w:b/>
              </w:rPr>
              <w:t>Now</w:t>
            </w:r>
          </w:p>
        </w:tc>
        <w:tc>
          <w:tcPr>
            <w:tcW w:w="3143" w:type="dxa"/>
          </w:tcPr>
          <w:p w:rsidR="00CB541A" w:rsidRPr="00B80905" w:rsidRDefault="00CB541A" w:rsidP="004F2B82">
            <w:pPr>
              <w:pStyle w:val="ListParagraph"/>
              <w:numPr>
                <w:ilvl w:val="0"/>
                <w:numId w:val="10"/>
              </w:numPr>
              <w:ind w:left="175" w:hanging="208"/>
            </w:pPr>
            <w:r w:rsidRPr="00B80905">
              <w:t>Atmospheric observations</w:t>
            </w:r>
          </w:p>
          <w:p w:rsidR="00CB541A" w:rsidRDefault="00CB541A" w:rsidP="004F2B82">
            <w:pPr>
              <w:pStyle w:val="ListParagraph"/>
              <w:numPr>
                <w:ilvl w:val="0"/>
                <w:numId w:val="10"/>
              </w:numPr>
              <w:ind w:left="175" w:hanging="208"/>
            </w:pPr>
            <w:r w:rsidRPr="00B80905">
              <w:t>eResearch</w:t>
            </w:r>
          </w:p>
          <w:p w:rsidR="00CB541A" w:rsidRPr="00B80905" w:rsidRDefault="00CB541A" w:rsidP="004F2B82">
            <w:pPr>
              <w:pStyle w:val="ListParagraph"/>
              <w:numPr>
                <w:ilvl w:val="0"/>
                <w:numId w:val="10"/>
              </w:numPr>
              <w:ind w:left="175" w:hanging="208"/>
            </w:pPr>
            <w:r w:rsidRPr="00B80905">
              <w:t>Marine environment</w:t>
            </w:r>
          </w:p>
          <w:p w:rsidR="00CB541A" w:rsidRPr="00B80905" w:rsidRDefault="00CB541A" w:rsidP="004F2B82">
            <w:pPr>
              <w:pStyle w:val="ListParagraph"/>
              <w:numPr>
                <w:ilvl w:val="0"/>
                <w:numId w:val="10"/>
              </w:numPr>
              <w:ind w:left="175" w:hanging="208"/>
            </w:pPr>
            <w:r w:rsidRPr="00B80905">
              <w:t>Solid earth</w:t>
            </w:r>
          </w:p>
          <w:p w:rsidR="00CB541A" w:rsidRPr="00B80905" w:rsidRDefault="00CB541A" w:rsidP="004F2B82">
            <w:pPr>
              <w:pStyle w:val="ListParagraph"/>
              <w:numPr>
                <w:ilvl w:val="0"/>
                <w:numId w:val="10"/>
              </w:numPr>
              <w:ind w:left="175" w:hanging="208"/>
            </w:pPr>
            <w:r w:rsidRPr="00B80905">
              <w:t>Terrestrials systems</w:t>
            </w:r>
          </w:p>
          <w:p w:rsidR="00CB541A" w:rsidRPr="00B80905" w:rsidRDefault="00CB541A" w:rsidP="004F2B82"/>
        </w:tc>
        <w:tc>
          <w:tcPr>
            <w:tcW w:w="5362" w:type="dxa"/>
          </w:tcPr>
          <w:p w:rsidR="00CB541A" w:rsidRDefault="00CB541A" w:rsidP="00382DD6">
            <w:pPr>
              <w:pStyle w:val="ListParagraph"/>
              <w:numPr>
                <w:ilvl w:val="0"/>
                <w:numId w:val="10"/>
              </w:numPr>
            </w:pPr>
            <w:r w:rsidRPr="00B80905">
              <w:t xml:space="preserve">Access to </w:t>
            </w:r>
            <w:r w:rsidR="00E30E3E">
              <w:t>O</w:t>
            </w:r>
            <w:r w:rsidRPr="00B80905">
              <w:t xml:space="preserve">cean </w:t>
            </w:r>
            <w:r w:rsidR="00E30E3E">
              <w:t>D</w:t>
            </w:r>
            <w:r w:rsidRPr="00B80905">
              <w:t xml:space="preserve">ata </w:t>
            </w:r>
            <w:r w:rsidR="00E30E3E">
              <w:t>Network</w:t>
            </w:r>
          </w:p>
          <w:p w:rsidR="00CB541A" w:rsidRPr="00382DD6" w:rsidRDefault="00D81182" w:rsidP="00382DD6">
            <w:pPr>
              <w:pStyle w:val="ListParagraph"/>
              <w:numPr>
                <w:ilvl w:val="0"/>
                <w:numId w:val="10"/>
              </w:numPr>
              <w:rPr>
                <w:color w:val="1F497D"/>
              </w:rPr>
            </w:pPr>
            <w:r>
              <w:t xml:space="preserve">ACCESS </w:t>
            </w:r>
            <w:r w:rsidR="008C5EA8">
              <w:t>model</w:t>
            </w:r>
            <w:r w:rsidR="00CB541A" w:rsidRPr="00B80905">
              <w:t xml:space="preserve"> </w:t>
            </w:r>
          </w:p>
          <w:p w:rsidR="00CB541A" w:rsidRDefault="00CB541A" w:rsidP="00382DD6">
            <w:pPr>
              <w:pStyle w:val="ListParagraph"/>
              <w:numPr>
                <w:ilvl w:val="0"/>
                <w:numId w:val="10"/>
              </w:numPr>
            </w:pPr>
            <w:proofErr w:type="spellStart"/>
            <w:r w:rsidRPr="00B80905">
              <w:t>AuScope</w:t>
            </w:r>
            <w:proofErr w:type="spellEnd"/>
            <w:r w:rsidRPr="00B80905">
              <w:t xml:space="preserve"> </w:t>
            </w:r>
          </w:p>
          <w:p w:rsidR="00CB541A" w:rsidRDefault="00382DD6" w:rsidP="00382DD6">
            <w:pPr>
              <w:pStyle w:val="Default"/>
              <w:numPr>
                <w:ilvl w:val="0"/>
                <w:numId w:val="10"/>
              </w:numPr>
              <w:rPr>
                <w:sz w:val="22"/>
                <w:szCs w:val="22"/>
              </w:rPr>
            </w:pPr>
            <w:r>
              <w:rPr>
                <w:sz w:val="22"/>
                <w:szCs w:val="22"/>
              </w:rPr>
              <w:t>Atlas of L</w:t>
            </w:r>
            <w:r w:rsidR="008C5EA8">
              <w:rPr>
                <w:sz w:val="22"/>
                <w:szCs w:val="22"/>
              </w:rPr>
              <w:t>iving Australia</w:t>
            </w:r>
          </w:p>
          <w:p w:rsidR="00CB541A" w:rsidRPr="00B80905" w:rsidDel="00E8746C" w:rsidRDefault="00CB541A" w:rsidP="00382DD6">
            <w:pPr>
              <w:pStyle w:val="Default"/>
              <w:numPr>
                <w:ilvl w:val="0"/>
                <w:numId w:val="10"/>
              </w:numPr>
              <w:rPr>
                <w:sz w:val="22"/>
                <w:szCs w:val="22"/>
              </w:rPr>
            </w:pPr>
            <w:r w:rsidRPr="00B80905">
              <w:rPr>
                <w:sz w:val="22"/>
                <w:szCs w:val="22"/>
              </w:rPr>
              <w:t>Australian</w:t>
            </w:r>
            <w:r w:rsidR="008C5EA8">
              <w:rPr>
                <w:sz w:val="22"/>
                <w:szCs w:val="22"/>
              </w:rPr>
              <w:t xml:space="preserve"> Animal Health Laboratory</w:t>
            </w:r>
          </w:p>
          <w:p w:rsidR="00CB541A" w:rsidRPr="00B80905" w:rsidRDefault="00CB541A" w:rsidP="00382DD6">
            <w:pPr>
              <w:pStyle w:val="ListParagraph"/>
              <w:numPr>
                <w:ilvl w:val="0"/>
                <w:numId w:val="10"/>
              </w:numPr>
            </w:pPr>
            <w:r w:rsidRPr="00B80905">
              <w:t>Australian</w:t>
            </w:r>
            <w:r w:rsidR="008C5EA8">
              <w:t xml:space="preserve"> Plant Phenomics Facility</w:t>
            </w:r>
          </w:p>
          <w:p w:rsidR="00CB541A" w:rsidRDefault="00CB541A" w:rsidP="00382DD6">
            <w:pPr>
              <w:pStyle w:val="ListParagraph"/>
              <w:numPr>
                <w:ilvl w:val="0"/>
                <w:numId w:val="10"/>
              </w:numPr>
            </w:pPr>
            <w:r w:rsidRPr="00382DD6">
              <w:rPr>
                <w:rFonts w:eastAsia="Times New Roman"/>
              </w:rPr>
              <w:t xml:space="preserve">Bioplatforms </w:t>
            </w:r>
            <w:r w:rsidR="008C5EA8">
              <w:t>Australia</w:t>
            </w:r>
          </w:p>
          <w:p w:rsidR="00CB541A" w:rsidRDefault="00CB541A" w:rsidP="00382DD6">
            <w:pPr>
              <w:pStyle w:val="ListParagraph"/>
              <w:numPr>
                <w:ilvl w:val="0"/>
                <w:numId w:val="10"/>
              </w:numPr>
            </w:pPr>
            <w:r w:rsidRPr="00421609">
              <w:t xml:space="preserve">eResearch </w:t>
            </w:r>
          </w:p>
          <w:p w:rsidR="00CB541A" w:rsidRPr="00421609" w:rsidRDefault="00CB541A" w:rsidP="00382DD6">
            <w:pPr>
              <w:pStyle w:val="ListParagraph"/>
              <w:numPr>
                <w:ilvl w:val="0"/>
                <w:numId w:val="10"/>
              </w:numPr>
            </w:pPr>
            <w:r>
              <w:t>National Co</w:t>
            </w:r>
            <w:r w:rsidR="008C5EA8">
              <w:t>mputational Infrastructure</w:t>
            </w:r>
          </w:p>
          <w:p w:rsidR="00CB541A" w:rsidRDefault="00CB541A" w:rsidP="00382DD6">
            <w:pPr>
              <w:pStyle w:val="ListParagraph"/>
              <w:numPr>
                <w:ilvl w:val="0"/>
                <w:numId w:val="10"/>
              </w:numPr>
            </w:pPr>
            <w:r w:rsidRPr="00421609">
              <w:t>Groundwater projects</w:t>
            </w:r>
            <w:r w:rsidRPr="00B80905">
              <w:t xml:space="preserve"> </w:t>
            </w:r>
          </w:p>
          <w:p w:rsidR="00CB541A" w:rsidRPr="00421609" w:rsidRDefault="00CB541A" w:rsidP="00382DD6">
            <w:pPr>
              <w:pStyle w:val="ListParagraph"/>
              <w:numPr>
                <w:ilvl w:val="0"/>
                <w:numId w:val="10"/>
              </w:numPr>
            </w:pPr>
            <w:r w:rsidRPr="00421609">
              <w:t>Integ</w:t>
            </w:r>
            <w:r w:rsidR="008C5EA8">
              <w:t xml:space="preserve">rated </w:t>
            </w:r>
            <w:r w:rsidR="004106E9">
              <w:t>Marine Monitoring System</w:t>
            </w:r>
          </w:p>
          <w:p w:rsidR="00CB541A" w:rsidRDefault="00CB541A" w:rsidP="00382DD6">
            <w:pPr>
              <w:pStyle w:val="ListParagraph"/>
              <w:numPr>
                <w:ilvl w:val="0"/>
                <w:numId w:val="10"/>
              </w:numPr>
            </w:pPr>
            <w:r w:rsidRPr="00421609">
              <w:t>Marine National</w:t>
            </w:r>
            <w:r w:rsidR="008C5EA8">
              <w:t xml:space="preserve"> Facility </w:t>
            </w:r>
            <w:r>
              <w:t xml:space="preserve">including </w:t>
            </w:r>
            <w:r w:rsidRPr="00B80905">
              <w:t xml:space="preserve">RV Investigator and the Icebreaker </w:t>
            </w:r>
          </w:p>
          <w:p w:rsidR="00CB541A" w:rsidRPr="00B80905" w:rsidRDefault="00CB541A" w:rsidP="00382DD6">
            <w:pPr>
              <w:pStyle w:val="ListParagraph"/>
              <w:numPr>
                <w:ilvl w:val="0"/>
                <w:numId w:val="10"/>
              </w:numPr>
            </w:pPr>
            <w:r w:rsidRPr="00B80905">
              <w:t>Terrestrial Ec</w:t>
            </w:r>
            <w:r w:rsidR="008C5EA8">
              <w:t>osystem Research Network</w:t>
            </w:r>
            <w:r w:rsidRPr="00B80905">
              <w:t xml:space="preserve"> </w:t>
            </w:r>
          </w:p>
        </w:tc>
      </w:tr>
      <w:tr w:rsidR="00CB541A" w:rsidRPr="00F86FE1" w:rsidTr="004F2B82">
        <w:tc>
          <w:tcPr>
            <w:tcW w:w="959" w:type="dxa"/>
            <w:shd w:val="clear" w:color="auto" w:fill="499FE1" w:themeFill="accent1" w:themeFillTint="99"/>
          </w:tcPr>
          <w:p w:rsidR="00CB541A" w:rsidRDefault="00CB541A" w:rsidP="004F2B82">
            <w:pPr>
              <w:jc w:val="center"/>
              <w:rPr>
                <w:b/>
              </w:rPr>
            </w:pPr>
          </w:p>
        </w:tc>
        <w:tc>
          <w:tcPr>
            <w:tcW w:w="3143" w:type="dxa"/>
            <w:shd w:val="clear" w:color="auto" w:fill="499FE1" w:themeFill="accent1" w:themeFillTint="99"/>
          </w:tcPr>
          <w:p w:rsidR="00CB541A" w:rsidRPr="00B80905" w:rsidRDefault="00CB541A" w:rsidP="00CB541A">
            <w:pPr>
              <w:rPr>
                <w:b/>
              </w:rPr>
            </w:pPr>
            <w:r>
              <w:rPr>
                <w:b/>
              </w:rPr>
              <w:t>Emerging trends</w:t>
            </w:r>
          </w:p>
        </w:tc>
        <w:tc>
          <w:tcPr>
            <w:tcW w:w="5362" w:type="dxa"/>
            <w:shd w:val="clear" w:color="auto" w:fill="499FE1" w:themeFill="accent1" w:themeFillTint="99"/>
          </w:tcPr>
          <w:p w:rsidR="00CB541A" w:rsidRPr="00B80905" w:rsidRDefault="00CB541A" w:rsidP="00CB541A">
            <w:pPr>
              <w:rPr>
                <w:b/>
              </w:rPr>
            </w:pPr>
            <w:r>
              <w:rPr>
                <w:b/>
              </w:rPr>
              <w:t>Examples of potential new infrastructure</w:t>
            </w:r>
          </w:p>
        </w:tc>
      </w:tr>
      <w:tr w:rsidR="00CB541A" w:rsidRPr="00CD5E2F" w:rsidTr="004F2B82">
        <w:trPr>
          <w:trHeight w:val="416"/>
        </w:trPr>
        <w:tc>
          <w:tcPr>
            <w:tcW w:w="959" w:type="dxa"/>
            <w:vAlign w:val="center"/>
          </w:tcPr>
          <w:p w:rsidR="00CB541A" w:rsidRDefault="00CB541A" w:rsidP="004F2B82">
            <w:pPr>
              <w:rPr>
                <w:b/>
              </w:rPr>
            </w:pPr>
            <w:r>
              <w:rPr>
                <w:b/>
              </w:rPr>
              <w:t>Future</w:t>
            </w:r>
          </w:p>
        </w:tc>
        <w:tc>
          <w:tcPr>
            <w:tcW w:w="3143" w:type="dxa"/>
            <w:tcBorders>
              <w:bottom w:val="single" w:sz="4" w:space="0" w:color="auto"/>
            </w:tcBorders>
          </w:tcPr>
          <w:p w:rsidR="00CB541A" w:rsidRDefault="00CB541A" w:rsidP="004F2B82">
            <w:pPr>
              <w:pStyle w:val="ListParagraph"/>
              <w:numPr>
                <w:ilvl w:val="0"/>
                <w:numId w:val="10"/>
              </w:numPr>
              <w:ind w:left="175" w:hanging="185"/>
            </w:pPr>
            <w:r>
              <w:t>B</w:t>
            </w:r>
            <w:r w:rsidRPr="00B80905">
              <w:t>etter integration</w:t>
            </w:r>
            <w:r>
              <w:t xml:space="preserve"> across capability elements</w:t>
            </w:r>
          </w:p>
          <w:p w:rsidR="00CB541A" w:rsidRDefault="00D04046" w:rsidP="004F2B82">
            <w:pPr>
              <w:pStyle w:val="ListParagraph"/>
              <w:numPr>
                <w:ilvl w:val="0"/>
                <w:numId w:val="10"/>
              </w:numPr>
              <w:ind w:left="175" w:hanging="185"/>
            </w:pPr>
            <w:r>
              <w:t>eResearch enhanced</w:t>
            </w:r>
          </w:p>
          <w:p w:rsidR="00CB541A" w:rsidRPr="00B80905" w:rsidRDefault="00CB541A" w:rsidP="004F2B82">
            <w:pPr>
              <w:pStyle w:val="ListParagraph"/>
              <w:numPr>
                <w:ilvl w:val="0"/>
                <w:numId w:val="10"/>
              </w:numPr>
              <w:ind w:left="175" w:hanging="185"/>
            </w:pPr>
            <w:r>
              <w:t>Marine</w:t>
            </w:r>
            <w:r w:rsidR="00D04046">
              <w:t xml:space="preserve"> </w:t>
            </w:r>
            <w:r>
              <w:t>expanded</w:t>
            </w:r>
            <w:r w:rsidRPr="00B80905">
              <w:t xml:space="preserve"> </w:t>
            </w:r>
            <w:r>
              <w:t>to include</w:t>
            </w:r>
            <w:r w:rsidRPr="00B80905">
              <w:t xml:space="preserve"> coastal zones</w:t>
            </w:r>
          </w:p>
          <w:p w:rsidR="00CB541A" w:rsidRPr="00B80905" w:rsidRDefault="00CB541A" w:rsidP="004F2B82">
            <w:pPr>
              <w:pStyle w:val="ListParagraph"/>
              <w:numPr>
                <w:ilvl w:val="0"/>
                <w:numId w:val="10"/>
              </w:numPr>
              <w:ind w:left="175" w:hanging="185"/>
            </w:pPr>
            <w:r w:rsidRPr="00B80905">
              <w:t>Solid earth</w:t>
            </w:r>
            <w:r w:rsidR="00D04046">
              <w:t xml:space="preserve"> </w:t>
            </w:r>
            <w:r w:rsidRPr="00B80905">
              <w:t>improved surface and groundwater interactions</w:t>
            </w:r>
          </w:p>
          <w:p w:rsidR="00CB541A" w:rsidRPr="00B80905" w:rsidRDefault="00D04046" w:rsidP="004F2B82">
            <w:pPr>
              <w:pStyle w:val="ListParagraph"/>
              <w:numPr>
                <w:ilvl w:val="0"/>
                <w:numId w:val="10"/>
              </w:numPr>
              <w:ind w:left="175" w:hanging="185"/>
            </w:pPr>
            <w:r>
              <w:t xml:space="preserve">Terrestrials systems </w:t>
            </w:r>
            <w:r w:rsidR="00CB541A">
              <w:t>expanded to include</w:t>
            </w:r>
            <w:r w:rsidR="00CB541A" w:rsidRPr="00B80905">
              <w:t xml:space="preserve"> desert</w:t>
            </w:r>
            <w:r w:rsidR="00CB541A">
              <w:t>, tropical</w:t>
            </w:r>
            <w:r w:rsidR="00CB541A" w:rsidRPr="00B80905">
              <w:t xml:space="preserve"> and alpine regions</w:t>
            </w:r>
          </w:p>
        </w:tc>
        <w:tc>
          <w:tcPr>
            <w:tcW w:w="5362" w:type="dxa"/>
            <w:tcBorders>
              <w:bottom w:val="single" w:sz="4" w:space="0" w:color="auto"/>
            </w:tcBorders>
          </w:tcPr>
          <w:p w:rsidR="00CB541A" w:rsidRDefault="00CB541A" w:rsidP="004F2B82">
            <w:pPr>
              <w:pStyle w:val="ListParagraph"/>
              <w:numPr>
                <w:ilvl w:val="0"/>
                <w:numId w:val="10"/>
              </w:numPr>
              <w:ind w:left="175" w:hanging="208"/>
            </w:pPr>
            <w:r>
              <w:t>National integrated automa</w:t>
            </w:r>
            <w:r w:rsidR="0064723C">
              <w:t>t</w:t>
            </w:r>
            <w:r w:rsidR="00EE1FDA">
              <w:t>ed</w:t>
            </w:r>
            <w:r>
              <w:t xml:space="preserve"> database system</w:t>
            </w:r>
          </w:p>
          <w:p w:rsidR="00CB541A" w:rsidRPr="00D1024F" w:rsidRDefault="00CB541A" w:rsidP="004F2B82">
            <w:pPr>
              <w:pStyle w:val="ListParagraph"/>
              <w:numPr>
                <w:ilvl w:val="0"/>
                <w:numId w:val="10"/>
              </w:numPr>
              <w:ind w:left="175" w:hanging="208"/>
            </w:pPr>
            <w:r>
              <w:t>Enhancement of eResearch capabilities</w:t>
            </w:r>
          </w:p>
          <w:p w:rsidR="00CB541A" w:rsidRPr="00D1024F" w:rsidRDefault="00CB541A" w:rsidP="004F2B82">
            <w:pPr>
              <w:pStyle w:val="ListParagraph"/>
              <w:numPr>
                <w:ilvl w:val="0"/>
                <w:numId w:val="10"/>
              </w:numPr>
              <w:ind w:left="175" w:hanging="208"/>
            </w:pPr>
            <w:r>
              <w:t>Integrated observing/modelling systems and facilities</w:t>
            </w:r>
          </w:p>
          <w:p w:rsidR="00CB541A" w:rsidRPr="00D1024F" w:rsidRDefault="00CB541A" w:rsidP="004F2B82">
            <w:pPr>
              <w:pStyle w:val="ListParagraph"/>
              <w:numPr>
                <w:ilvl w:val="0"/>
                <w:numId w:val="10"/>
              </w:numPr>
              <w:ind w:left="175" w:hanging="208"/>
            </w:pPr>
            <w:r>
              <w:t xml:space="preserve">Marine vessels to support ongoing research </w:t>
            </w:r>
          </w:p>
          <w:p w:rsidR="00CB541A" w:rsidRPr="0085479E" w:rsidRDefault="00CB541A" w:rsidP="00D04046">
            <w:pPr>
              <w:pStyle w:val="ListParagraph"/>
              <w:numPr>
                <w:ilvl w:val="0"/>
                <w:numId w:val="10"/>
              </w:numPr>
              <w:ind w:left="175" w:hanging="208"/>
              <w:rPr>
                <w:rFonts w:ascii="Calibri" w:eastAsiaTheme="minorHAnsi" w:hAnsi="Calibri" w:cs="Calibri"/>
              </w:rPr>
            </w:pPr>
            <w:r w:rsidRPr="00533E9B">
              <w:t xml:space="preserve">Integrated biological facilities for plant and animal </w:t>
            </w:r>
            <w:r>
              <w:t>research</w:t>
            </w:r>
          </w:p>
          <w:p w:rsidR="00CB541A" w:rsidRPr="00B80905" w:rsidRDefault="00D04046" w:rsidP="004F2B82">
            <w:pPr>
              <w:pStyle w:val="ListParagraph"/>
              <w:numPr>
                <w:ilvl w:val="0"/>
                <w:numId w:val="10"/>
              </w:numPr>
              <w:ind w:left="175" w:hanging="208"/>
            </w:pPr>
            <w:r>
              <w:t>C</w:t>
            </w:r>
            <w:r w:rsidR="00CB541A">
              <w:t xml:space="preserve">ollaboration and engagement, across public, private and international domains </w:t>
            </w:r>
          </w:p>
        </w:tc>
      </w:tr>
    </w:tbl>
    <w:p w:rsidR="00CB541A" w:rsidRDefault="00CB541A" w:rsidP="00CB541A">
      <w:pPr>
        <w:rPr>
          <w:rFonts w:ascii="Calibri" w:eastAsiaTheme="majorEastAsia" w:hAnsi="Calibri" w:cstheme="majorBidi"/>
          <w:bCs/>
          <w:color w:val="000000" w:themeColor="text1"/>
          <w:sz w:val="18"/>
          <w:szCs w:val="18"/>
        </w:rPr>
      </w:pPr>
    </w:p>
    <w:tbl>
      <w:tblPr>
        <w:tblStyle w:val="TableGrid"/>
        <w:tblW w:w="9498" w:type="dxa"/>
        <w:tblInd w:w="-34" w:type="dxa"/>
        <w:tblLook w:val="04A0" w:firstRow="1" w:lastRow="0" w:firstColumn="1" w:lastColumn="0" w:noHBand="0" w:noVBand="1"/>
        <w:tblCaption w:val="Table cell containing uestions 18, 19 &amp; 20"/>
        <w:tblDescription w:val="Q18: Are the identified emerging directions and research infrastructure capabilities for Environment and Natural Resource Management right? Are there any missing or additional needed?&#10;Q19: Are there any international research infrastructure collaborations or emerging projects that Australia should engage in over the next ten years and beyond?&#10;Q20: Is there anything else that needs to be included or considered in the 2016 Roadmap for the Environment and Natural Resource Management capability area?&#10;"/>
      </w:tblPr>
      <w:tblGrid>
        <w:gridCol w:w="9498"/>
      </w:tblGrid>
      <w:tr w:rsidR="00CB541A" w:rsidRPr="00F843C9" w:rsidTr="00676CA8">
        <w:tc>
          <w:tcPr>
            <w:tcW w:w="9498" w:type="dxa"/>
            <w:shd w:val="clear" w:color="auto" w:fill="FFC000"/>
          </w:tcPr>
          <w:p w:rsidR="00CB541A" w:rsidRPr="00E70C42" w:rsidRDefault="00CB541A" w:rsidP="00676CA8">
            <w:pPr>
              <w:autoSpaceDE w:val="0"/>
              <w:autoSpaceDN w:val="0"/>
              <w:adjustRightInd w:val="0"/>
              <w:spacing w:before="200" w:after="180" w:line="276" w:lineRule="auto"/>
              <w:ind w:left="1418" w:hanging="1276"/>
              <w:rPr>
                <w:rFonts w:cstheme="minorHAnsi"/>
                <w:b/>
              </w:rPr>
            </w:pPr>
            <w:r w:rsidRPr="00E70C42">
              <w:rPr>
                <w:rFonts w:cstheme="minorHAnsi"/>
                <w:b/>
              </w:rPr>
              <w:t>Question 1</w:t>
            </w:r>
            <w:r w:rsidR="00DE7B22">
              <w:rPr>
                <w:rFonts w:cstheme="minorHAnsi"/>
                <w:b/>
              </w:rPr>
              <w:t>8</w:t>
            </w:r>
            <w:r w:rsidRPr="00E70C42">
              <w:rPr>
                <w:rFonts w:cstheme="minorHAnsi"/>
                <w:b/>
              </w:rPr>
              <w:t>:</w:t>
            </w:r>
            <w:r w:rsidRPr="00E70C42">
              <w:rPr>
                <w:rFonts w:cstheme="minorHAnsi"/>
                <w:b/>
              </w:rPr>
              <w:tab/>
            </w:r>
            <w:r w:rsidRPr="00E70C42">
              <w:rPr>
                <w:b/>
              </w:rPr>
              <w:t xml:space="preserve">Are the </w:t>
            </w:r>
            <w:r w:rsidRPr="00E70C42">
              <w:rPr>
                <w:rFonts w:cstheme="minorHAnsi"/>
                <w:b/>
              </w:rPr>
              <w:t xml:space="preserve">identified emerging directions and research infrastructure capabilities for </w:t>
            </w:r>
            <w:r w:rsidRPr="00E70C42">
              <w:rPr>
                <w:b/>
              </w:rPr>
              <w:t>Environment and Natural Resource Management right</w:t>
            </w:r>
            <w:r w:rsidRPr="00E70C42">
              <w:rPr>
                <w:rFonts w:cstheme="minorHAnsi"/>
                <w:b/>
              </w:rPr>
              <w:t>? Are there any missing or additional needed?</w:t>
            </w:r>
          </w:p>
          <w:p w:rsidR="00CB541A" w:rsidRPr="00E70C42" w:rsidRDefault="00CB541A" w:rsidP="00676CA8">
            <w:pPr>
              <w:autoSpaceDE w:val="0"/>
              <w:autoSpaceDN w:val="0"/>
              <w:adjustRightInd w:val="0"/>
              <w:spacing w:before="200" w:after="180" w:line="276" w:lineRule="auto"/>
              <w:ind w:left="1418" w:hanging="1276"/>
              <w:rPr>
                <w:b/>
              </w:rPr>
            </w:pPr>
            <w:r w:rsidRPr="00E70C42">
              <w:rPr>
                <w:rFonts w:cstheme="minorHAnsi"/>
                <w:b/>
              </w:rPr>
              <w:t xml:space="preserve">Question </w:t>
            </w:r>
            <w:r w:rsidR="00DE7B22">
              <w:rPr>
                <w:rFonts w:cstheme="minorHAnsi"/>
                <w:b/>
              </w:rPr>
              <w:t>19</w:t>
            </w:r>
            <w:r w:rsidRPr="00E70C42">
              <w:rPr>
                <w:rFonts w:cstheme="minorHAnsi"/>
                <w:b/>
              </w:rPr>
              <w:t>:</w:t>
            </w:r>
            <w:r w:rsidRPr="00E70C42">
              <w:rPr>
                <w:rFonts w:cstheme="minorHAnsi"/>
                <w:b/>
              </w:rPr>
              <w:tab/>
              <w:t xml:space="preserve">Are there any international research infrastructure collaborations or emerging </w:t>
            </w:r>
            <w:r w:rsidRPr="00E70C42">
              <w:rPr>
                <w:b/>
              </w:rPr>
              <w:t>projects that Australia should engage in over the next ten years and beyond?</w:t>
            </w:r>
          </w:p>
          <w:p w:rsidR="00CB541A" w:rsidRPr="00F843C9" w:rsidRDefault="00CB541A" w:rsidP="00676CA8">
            <w:pPr>
              <w:autoSpaceDE w:val="0"/>
              <w:autoSpaceDN w:val="0"/>
              <w:adjustRightInd w:val="0"/>
              <w:spacing w:before="200" w:after="180" w:line="276" w:lineRule="auto"/>
              <w:ind w:left="1418" w:hanging="1276"/>
              <w:rPr>
                <w:b/>
              </w:rPr>
            </w:pPr>
            <w:r w:rsidRPr="00E70C42">
              <w:rPr>
                <w:rFonts w:cstheme="minorHAnsi"/>
                <w:b/>
              </w:rPr>
              <w:t>Question 2</w:t>
            </w:r>
            <w:r w:rsidR="00DE7B22">
              <w:rPr>
                <w:rFonts w:cstheme="minorHAnsi"/>
                <w:b/>
              </w:rPr>
              <w:t>0</w:t>
            </w:r>
            <w:r w:rsidRPr="00E70C42">
              <w:rPr>
                <w:rFonts w:cstheme="minorHAnsi"/>
                <w:b/>
              </w:rPr>
              <w:t>:</w:t>
            </w:r>
            <w:r w:rsidRPr="00E70C42">
              <w:rPr>
                <w:rFonts w:cstheme="minorHAnsi"/>
                <w:b/>
              </w:rPr>
              <w:tab/>
              <w:t xml:space="preserve">Is there anything else that needs to be included or considered in the 2016 Roadmap for the </w:t>
            </w:r>
            <w:r w:rsidRPr="00E70C42">
              <w:rPr>
                <w:b/>
              </w:rPr>
              <w:t>Environment and Natural Resource Management capability area?</w:t>
            </w:r>
          </w:p>
        </w:tc>
      </w:tr>
    </w:tbl>
    <w:p w:rsidR="00244819" w:rsidRDefault="00244819" w:rsidP="00244819">
      <w:pPr>
        <w:rPr>
          <w:rFonts w:ascii="Calibri" w:eastAsiaTheme="majorEastAsia" w:hAnsi="Calibri" w:cstheme="majorBidi"/>
          <w:bCs/>
          <w:color w:val="000000" w:themeColor="text1"/>
          <w:sz w:val="18"/>
          <w:szCs w:val="18"/>
        </w:rPr>
      </w:pPr>
    </w:p>
    <w:p w:rsidR="00244819" w:rsidRDefault="00244819" w:rsidP="000D6791">
      <w:pPr>
        <w:rPr>
          <w:rFonts w:eastAsiaTheme="majorEastAsia"/>
        </w:rPr>
      </w:pPr>
      <w:r>
        <w:rPr>
          <w:rFonts w:eastAsiaTheme="majorEastAsia"/>
        </w:rPr>
        <w:br w:type="page"/>
      </w:r>
    </w:p>
    <w:p w:rsidR="000D6791" w:rsidRDefault="000D6791" w:rsidP="000D6791">
      <w:pPr>
        <w:pStyle w:val="Heading1"/>
        <w:ind w:right="-188"/>
      </w:pPr>
      <w:bookmarkStart w:id="21" w:name="_Toc456042394"/>
      <w:bookmarkStart w:id="22" w:name="_Toc456449023"/>
      <w:bookmarkStart w:id="23" w:name="_Toc455414554"/>
      <w:bookmarkEnd w:id="20"/>
      <w:r>
        <w:lastRenderedPageBreak/>
        <w:t>Advanced Physics, Chemistry, Mathematics and Materials</w:t>
      </w:r>
      <w:bookmarkEnd w:id="21"/>
      <w:bookmarkEnd w:id="22"/>
    </w:p>
    <w:p w:rsidR="000D6791" w:rsidRPr="00EB40FB" w:rsidRDefault="000D6791" w:rsidP="00676CA8">
      <w:pPr>
        <w:spacing w:after="120"/>
        <w:ind w:right="-188"/>
        <w:rPr>
          <w:rFonts w:cstheme="minorHAnsi"/>
        </w:rPr>
      </w:pPr>
      <w:r w:rsidRPr="00EB40FB">
        <w:rPr>
          <w:rFonts w:cstheme="minorHAnsi"/>
        </w:rPr>
        <w:t xml:space="preserve">This capability area relies on the application of advanced physics and chemistry and includes research infrastructure </w:t>
      </w:r>
      <w:r w:rsidR="0084387E">
        <w:rPr>
          <w:rFonts w:cstheme="minorHAnsi"/>
        </w:rPr>
        <w:t>for</w:t>
      </w:r>
      <w:r w:rsidRPr="00EB40FB">
        <w:rPr>
          <w:rFonts w:cstheme="minorHAnsi"/>
        </w:rPr>
        <w:t xml:space="preserve"> astronomy and space science, fabrication and processing, imaging and analytics, nuclear and accelerator science</w:t>
      </w:r>
      <w:r>
        <w:rPr>
          <w:rFonts w:cstheme="minorHAnsi"/>
        </w:rPr>
        <w:t xml:space="preserve"> and defence science research fields</w:t>
      </w:r>
      <w:r w:rsidRPr="00EB40FB">
        <w:rPr>
          <w:rFonts w:cstheme="minorHAnsi"/>
        </w:rPr>
        <w:t xml:space="preserve">. These capabilities strongly rely on </w:t>
      </w:r>
      <w:r>
        <w:rPr>
          <w:rFonts w:cstheme="minorHAnsi"/>
        </w:rPr>
        <w:t>eResearch infrastructure</w:t>
      </w:r>
      <w:r w:rsidRPr="00EB40FB">
        <w:rPr>
          <w:rFonts w:cstheme="minorHAnsi"/>
        </w:rPr>
        <w:t>, particularly high</w:t>
      </w:r>
      <w:r w:rsidR="00E30E3E">
        <w:rPr>
          <w:rFonts w:cstheme="minorHAnsi"/>
        </w:rPr>
        <w:t xml:space="preserve"> </w:t>
      </w:r>
      <w:r w:rsidRPr="00EB40FB">
        <w:rPr>
          <w:rFonts w:cstheme="minorHAnsi"/>
        </w:rPr>
        <w:t xml:space="preserve">performance computing and data storage and analysis. </w:t>
      </w:r>
    </w:p>
    <w:p w:rsidR="000D6791" w:rsidRDefault="000D6791" w:rsidP="000D6791">
      <w:pPr>
        <w:spacing w:after="120"/>
        <w:rPr>
          <w:rFonts w:cstheme="minorHAnsi"/>
        </w:rPr>
      </w:pPr>
      <w:r w:rsidRPr="00EB40FB">
        <w:rPr>
          <w:rFonts w:cstheme="minorHAnsi"/>
        </w:rPr>
        <w:t xml:space="preserve">Some areas, such as astronomy and space science, can only be fully realised and enabled through international collaborations </w:t>
      </w:r>
      <w:r w:rsidR="0084387E">
        <w:rPr>
          <w:rFonts w:cstheme="minorHAnsi"/>
        </w:rPr>
        <w:t>due to</w:t>
      </w:r>
      <w:r>
        <w:rPr>
          <w:rFonts w:cstheme="minorHAnsi"/>
        </w:rPr>
        <w:t xml:space="preserve"> </w:t>
      </w:r>
      <w:r w:rsidRPr="00EB40FB">
        <w:rPr>
          <w:rFonts w:cstheme="minorHAnsi"/>
        </w:rPr>
        <w:t>the scale of infrastructure needed.</w:t>
      </w:r>
    </w:p>
    <w:p w:rsidR="000D6791" w:rsidRDefault="000D6791" w:rsidP="000D6791">
      <w:r>
        <w:t xml:space="preserve">The lists of capabilities presented here are neither exhaustive nor prioritised. </w:t>
      </w:r>
    </w:p>
    <w:p w:rsidR="000D6791" w:rsidRPr="00CC656C" w:rsidRDefault="000D6791" w:rsidP="000D6791">
      <w:pPr>
        <w:pStyle w:val="Heading2"/>
        <w:spacing w:before="120"/>
        <w:ind w:left="578" w:hanging="578"/>
      </w:pPr>
      <w:bookmarkStart w:id="24" w:name="_Toc455509086"/>
      <w:r w:rsidRPr="00CC656C">
        <w:t>Emerging Directions</w:t>
      </w:r>
      <w:bookmarkEnd w:id="24"/>
    </w:p>
    <w:p w:rsidR="000D6791" w:rsidRPr="00CF04AF" w:rsidRDefault="000D6791" w:rsidP="000D6791">
      <w:pPr>
        <w:pStyle w:val="Heading3"/>
      </w:pPr>
      <w:bookmarkStart w:id="25" w:name="_Toc455509087"/>
      <w:r w:rsidRPr="00CF04AF">
        <w:t>Precisi</w:t>
      </w:r>
      <w:r>
        <w:t>on measurement</w:t>
      </w:r>
    </w:p>
    <w:p w:rsidR="000D6791" w:rsidRPr="00620F1A" w:rsidRDefault="000D6791" w:rsidP="000D6791">
      <w:pPr>
        <w:rPr>
          <w:rFonts w:ascii="Calibri" w:hAnsi="Calibri" w:cstheme="minorHAnsi"/>
        </w:rPr>
      </w:pPr>
      <w:r w:rsidRPr="00620F1A">
        <w:rPr>
          <w:rFonts w:ascii="Calibri" w:hAnsi="Calibri" w:cstheme="minorHAnsi"/>
        </w:rPr>
        <w:t>Advanced physics methods have long underpinned measurement capabilities employed in other areas. This continues to be true, with quantum</w:t>
      </w:r>
      <w:r w:rsidR="00A6338F">
        <w:rPr>
          <w:rFonts w:ascii="Calibri" w:hAnsi="Calibri" w:cstheme="minorHAnsi"/>
        </w:rPr>
        <w:t xml:space="preserve"> </w:t>
      </w:r>
      <w:r w:rsidRPr="00620F1A">
        <w:rPr>
          <w:rFonts w:ascii="Calibri" w:hAnsi="Calibri" w:cstheme="minorHAnsi"/>
        </w:rPr>
        <w:t>enabled technologies</w:t>
      </w:r>
      <w:r>
        <w:rPr>
          <w:rFonts w:ascii="Calibri" w:hAnsi="Calibri" w:cstheme="minorHAnsi"/>
        </w:rPr>
        <w:t>, which are</w:t>
      </w:r>
      <w:r w:rsidRPr="00620F1A">
        <w:rPr>
          <w:rFonts w:ascii="Calibri" w:hAnsi="Calibri" w:cstheme="minorHAnsi"/>
        </w:rPr>
        <w:t xml:space="preserve"> likely to become increasingly important over the next decade. For example, the interferometric techniques developed in Australia </w:t>
      </w:r>
      <w:r w:rsidR="0084387E">
        <w:rPr>
          <w:rFonts w:ascii="Calibri" w:hAnsi="Calibri" w:cstheme="minorHAnsi"/>
        </w:rPr>
        <w:t>for</w:t>
      </w:r>
      <w:r w:rsidRPr="00620F1A">
        <w:rPr>
          <w:rFonts w:ascii="Calibri" w:hAnsi="Calibri" w:cstheme="minorHAnsi"/>
        </w:rPr>
        <w:t xml:space="preserve"> the Grace</w:t>
      </w:r>
      <w:r w:rsidR="007B536F">
        <w:rPr>
          <w:rFonts w:ascii="Calibri" w:hAnsi="Calibri" w:cstheme="minorHAnsi"/>
        </w:rPr>
        <w:t xml:space="preserve"> </w:t>
      </w:r>
      <w:r w:rsidRPr="00620F1A">
        <w:rPr>
          <w:rFonts w:ascii="Calibri" w:hAnsi="Calibri" w:cstheme="minorHAnsi"/>
        </w:rPr>
        <w:t>Follow</w:t>
      </w:r>
      <w:r w:rsidR="007B536F">
        <w:rPr>
          <w:rFonts w:ascii="Calibri" w:hAnsi="Calibri" w:cstheme="minorHAnsi"/>
        </w:rPr>
        <w:t>-</w:t>
      </w:r>
      <w:r w:rsidRPr="00620F1A">
        <w:rPr>
          <w:rFonts w:ascii="Calibri" w:hAnsi="Calibri" w:cstheme="minorHAnsi"/>
        </w:rPr>
        <w:t>On mission scheduled to be launched in 20</w:t>
      </w:r>
      <w:r>
        <w:rPr>
          <w:rFonts w:ascii="Calibri" w:hAnsi="Calibri" w:cstheme="minorHAnsi"/>
        </w:rPr>
        <w:t>1</w:t>
      </w:r>
      <w:r w:rsidRPr="00620F1A">
        <w:rPr>
          <w:rFonts w:ascii="Calibri" w:hAnsi="Calibri" w:cstheme="minorHAnsi"/>
        </w:rPr>
        <w:t xml:space="preserve">7, will enable better mapping and management of Australia’s water resources. The next decade will </w:t>
      </w:r>
      <w:r>
        <w:rPr>
          <w:rFonts w:ascii="Calibri" w:hAnsi="Calibri" w:cstheme="minorHAnsi"/>
        </w:rPr>
        <w:t xml:space="preserve">also </w:t>
      </w:r>
      <w:r w:rsidRPr="00620F1A">
        <w:rPr>
          <w:rFonts w:ascii="Calibri" w:hAnsi="Calibri" w:cstheme="minorHAnsi"/>
        </w:rPr>
        <w:t xml:space="preserve">see atom trapping methods being widely deployed for precision measurement. </w:t>
      </w:r>
    </w:p>
    <w:p w:rsidR="000D6791" w:rsidRPr="00CF04AF" w:rsidRDefault="000D6791" w:rsidP="000D6791">
      <w:pPr>
        <w:pStyle w:val="Heading3"/>
      </w:pPr>
      <w:r w:rsidRPr="00DA10B2">
        <w:t xml:space="preserve"> Chemistry and </w:t>
      </w:r>
      <w:r>
        <w:t>h</w:t>
      </w:r>
      <w:r w:rsidRPr="00DA10B2">
        <w:t xml:space="preserve">igh </w:t>
      </w:r>
      <w:r>
        <w:t>t</w:t>
      </w:r>
      <w:r w:rsidRPr="00DA10B2">
        <w:t xml:space="preserve">hroughput </w:t>
      </w:r>
      <w:r>
        <w:t>p</w:t>
      </w:r>
      <w:r w:rsidRPr="00DA10B2">
        <w:t>rocesses</w:t>
      </w:r>
      <w:bookmarkEnd w:id="25"/>
      <w:r w:rsidRPr="00CF04AF">
        <w:t xml:space="preserve"> </w:t>
      </w:r>
    </w:p>
    <w:p w:rsidR="000D6791" w:rsidRDefault="000D6791" w:rsidP="000D6791">
      <w:pPr>
        <w:spacing w:after="120"/>
        <w:rPr>
          <w:rFonts w:cstheme="minorHAnsi"/>
        </w:rPr>
      </w:pPr>
      <w:r w:rsidRPr="00E379F1">
        <w:rPr>
          <w:rFonts w:cstheme="minorHAnsi"/>
        </w:rPr>
        <w:t xml:space="preserve">Chemistry is a pervasive capability </w:t>
      </w:r>
      <w:r>
        <w:rPr>
          <w:rFonts w:cstheme="minorHAnsi"/>
        </w:rPr>
        <w:t>encompassing</w:t>
      </w:r>
      <w:r w:rsidRPr="00E379F1">
        <w:rPr>
          <w:rFonts w:cstheme="minorHAnsi"/>
        </w:rPr>
        <w:t xml:space="preserve"> biochemistry</w:t>
      </w:r>
      <w:r>
        <w:rPr>
          <w:rFonts w:cstheme="minorHAnsi"/>
        </w:rPr>
        <w:t>,</w:t>
      </w:r>
      <w:r w:rsidDel="004625BE">
        <w:rPr>
          <w:rFonts w:cstheme="minorHAnsi"/>
        </w:rPr>
        <w:t xml:space="preserve"> </w:t>
      </w:r>
      <w:r>
        <w:rPr>
          <w:rFonts w:cstheme="minorHAnsi"/>
        </w:rPr>
        <w:t xml:space="preserve">organic, inorganic, </w:t>
      </w:r>
      <w:r w:rsidRPr="00E379F1">
        <w:rPr>
          <w:rFonts w:cstheme="minorHAnsi"/>
        </w:rPr>
        <w:t xml:space="preserve">physical chemistry and the development of hybrid materials. Australia </w:t>
      </w:r>
      <w:r>
        <w:rPr>
          <w:rFonts w:cstheme="minorHAnsi"/>
        </w:rPr>
        <w:t>has</w:t>
      </w:r>
      <w:r w:rsidRPr="00E379F1">
        <w:rPr>
          <w:rFonts w:cstheme="minorHAnsi"/>
        </w:rPr>
        <w:t xml:space="preserve"> a world</w:t>
      </w:r>
      <w:r w:rsidR="00A6338F">
        <w:rPr>
          <w:rFonts w:cstheme="minorHAnsi"/>
        </w:rPr>
        <w:t xml:space="preserve"> </w:t>
      </w:r>
      <w:r w:rsidRPr="00E379F1">
        <w:rPr>
          <w:rFonts w:cstheme="minorHAnsi"/>
        </w:rPr>
        <w:t xml:space="preserve">class chemistry research community that is engaged in both new materials discovery and chemical process </w:t>
      </w:r>
      <w:r>
        <w:rPr>
          <w:rFonts w:cstheme="minorHAnsi"/>
        </w:rPr>
        <w:t>development and understanding such as biochemical pathways</w:t>
      </w:r>
      <w:r w:rsidRPr="00E379F1">
        <w:rPr>
          <w:rFonts w:cstheme="minorHAnsi"/>
        </w:rPr>
        <w:t>.</w:t>
      </w:r>
    </w:p>
    <w:p w:rsidR="000D6791" w:rsidRDefault="000D6791" w:rsidP="000D6791">
      <w:pPr>
        <w:spacing w:after="120"/>
        <w:rPr>
          <w:rFonts w:cstheme="minorHAnsi"/>
        </w:rPr>
      </w:pPr>
      <w:r w:rsidRPr="00E379F1">
        <w:rPr>
          <w:rFonts w:cstheme="minorHAnsi"/>
        </w:rPr>
        <w:t>Materials</w:t>
      </w:r>
      <w:r>
        <w:rPr>
          <w:rFonts w:cstheme="minorHAnsi"/>
        </w:rPr>
        <w:t xml:space="preserve">, </w:t>
      </w:r>
      <w:r w:rsidRPr="00E379F1">
        <w:rPr>
          <w:rFonts w:cstheme="minorHAnsi"/>
        </w:rPr>
        <w:t xml:space="preserve">new chemical development and the determination of </w:t>
      </w:r>
      <w:r>
        <w:rPr>
          <w:rFonts w:cstheme="minorHAnsi"/>
        </w:rPr>
        <w:t>chemical</w:t>
      </w:r>
      <w:r w:rsidRPr="00E379F1">
        <w:rPr>
          <w:rFonts w:cstheme="minorHAnsi"/>
        </w:rPr>
        <w:t xml:space="preserve"> pathways </w:t>
      </w:r>
      <w:r>
        <w:rPr>
          <w:rFonts w:cstheme="minorHAnsi"/>
        </w:rPr>
        <w:t>are</w:t>
      </w:r>
      <w:r w:rsidRPr="00E379F1">
        <w:rPr>
          <w:rFonts w:cstheme="minorHAnsi"/>
        </w:rPr>
        <w:t xml:space="preserve"> complex</w:t>
      </w:r>
      <w:r>
        <w:rPr>
          <w:rFonts w:cstheme="minorHAnsi"/>
        </w:rPr>
        <w:t xml:space="preserve"> tasks</w:t>
      </w:r>
      <w:r w:rsidRPr="00E379F1">
        <w:rPr>
          <w:rFonts w:cstheme="minorHAnsi"/>
        </w:rPr>
        <w:t xml:space="preserve"> </w:t>
      </w:r>
      <w:r>
        <w:rPr>
          <w:rFonts w:cstheme="minorHAnsi"/>
        </w:rPr>
        <w:t>that</w:t>
      </w:r>
      <w:r w:rsidRPr="00E379F1">
        <w:rPr>
          <w:rFonts w:cstheme="minorHAnsi"/>
        </w:rPr>
        <w:t xml:space="preserve"> take time and</w:t>
      </w:r>
      <w:r>
        <w:rPr>
          <w:rFonts w:cstheme="minorHAnsi"/>
        </w:rPr>
        <w:t xml:space="preserve"> require</w:t>
      </w:r>
      <w:r w:rsidRPr="00E379F1">
        <w:rPr>
          <w:rFonts w:cstheme="minorHAnsi"/>
        </w:rPr>
        <w:t xml:space="preserve"> significant support. New methods of in-sil</w:t>
      </w:r>
      <w:r>
        <w:rPr>
          <w:rFonts w:cstheme="minorHAnsi"/>
        </w:rPr>
        <w:t>ic</w:t>
      </w:r>
      <w:r w:rsidRPr="00E379F1">
        <w:rPr>
          <w:rFonts w:cstheme="minorHAnsi"/>
        </w:rPr>
        <w:t>o design and modelling, high throughput and combinatorial preparation and charac</w:t>
      </w:r>
      <w:r w:rsidR="0084387E">
        <w:rPr>
          <w:rFonts w:cstheme="minorHAnsi"/>
        </w:rPr>
        <w:t xml:space="preserve">terisation methods are emerging, </w:t>
      </w:r>
      <w:r>
        <w:rPr>
          <w:rFonts w:cstheme="minorHAnsi"/>
        </w:rPr>
        <w:t>shorten</w:t>
      </w:r>
      <w:r w:rsidR="0084387E">
        <w:rPr>
          <w:rFonts w:cstheme="minorHAnsi"/>
        </w:rPr>
        <w:t>ing</w:t>
      </w:r>
      <w:r w:rsidRPr="00E379F1">
        <w:rPr>
          <w:rFonts w:cstheme="minorHAnsi"/>
        </w:rPr>
        <w:t xml:space="preserve"> the time and cost of discovery. New chemistries that are bio-mimetic or integrating various </w:t>
      </w:r>
      <w:r>
        <w:rPr>
          <w:rFonts w:cstheme="minorHAnsi"/>
        </w:rPr>
        <w:t>chemical regimes</w:t>
      </w:r>
      <w:r w:rsidRPr="00E379F1">
        <w:rPr>
          <w:rFonts w:cstheme="minorHAnsi"/>
        </w:rPr>
        <w:t xml:space="preserve"> such as hybrid materials will need new characterisation</w:t>
      </w:r>
      <w:r>
        <w:rPr>
          <w:rFonts w:cstheme="minorHAnsi"/>
        </w:rPr>
        <w:t xml:space="preserve"> facilities</w:t>
      </w:r>
      <w:r w:rsidRPr="00E379F1">
        <w:rPr>
          <w:rFonts w:cstheme="minorHAnsi"/>
        </w:rPr>
        <w:t xml:space="preserve"> that push the current limits </w:t>
      </w:r>
      <w:r>
        <w:rPr>
          <w:rFonts w:cstheme="minorHAnsi"/>
        </w:rPr>
        <w:t>of</w:t>
      </w:r>
      <w:r w:rsidRPr="00E379F1">
        <w:rPr>
          <w:rFonts w:cstheme="minorHAnsi"/>
        </w:rPr>
        <w:t xml:space="preserve"> sensi</w:t>
      </w:r>
      <w:r>
        <w:rPr>
          <w:rFonts w:cstheme="minorHAnsi"/>
        </w:rPr>
        <w:t xml:space="preserve">tivity and parameter detection. For example, this </w:t>
      </w:r>
      <w:r w:rsidRPr="00395CF3">
        <w:rPr>
          <w:rFonts w:cstheme="minorHAnsi"/>
        </w:rPr>
        <w:t>includes conversion chemistry</w:t>
      </w:r>
      <w:r>
        <w:rPr>
          <w:rFonts w:cstheme="minorHAnsi"/>
        </w:rPr>
        <w:t xml:space="preserve"> which converts carbon dioxide </w:t>
      </w:r>
      <w:r w:rsidRPr="00395CF3">
        <w:rPr>
          <w:rFonts w:cstheme="minorHAnsi"/>
        </w:rPr>
        <w:t xml:space="preserve">into fuels </w:t>
      </w:r>
      <w:r>
        <w:rPr>
          <w:rFonts w:cstheme="minorHAnsi"/>
        </w:rPr>
        <w:t>from sunlight (</w:t>
      </w:r>
      <w:proofErr w:type="spellStart"/>
      <w:r>
        <w:rPr>
          <w:rFonts w:cstheme="minorHAnsi"/>
        </w:rPr>
        <w:t>photocatalysis</w:t>
      </w:r>
      <w:proofErr w:type="spellEnd"/>
      <w:r>
        <w:rPr>
          <w:rFonts w:cstheme="minorHAnsi"/>
        </w:rPr>
        <w:t>).</w:t>
      </w:r>
    </w:p>
    <w:p w:rsidR="000D6791" w:rsidRPr="00CC656C" w:rsidRDefault="000D6791" w:rsidP="000D6791">
      <w:pPr>
        <w:pStyle w:val="Heading2"/>
        <w:ind w:left="567"/>
      </w:pPr>
      <w:bookmarkStart w:id="26" w:name="_Toc455509091"/>
      <w:r w:rsidRPr="00CC656C">
        <w:t>Current Capabilit</w:t>
      </w:r>
      <w:r>
        <w:t>ies and Emerging Capability Needs</w:t>
      </w:r>
      <w:bookmarkEnd w:id="26"/>
    </w:p>
    <w:p w:rsidR="000D6791" w:rsidRPr="00CF04AF" w:rsidRDefault="000D6791" w:rsidP="000D6791">
      <w:pPr>
        <w:pStyle w:val="Heading3"/>
      </w:pPr>
      <w:r>
        <w:t>Astronomy and cosmology</w:t>
      </w:r>
    </w:p>
    <w:p w:rsidR="000D6791" w:rsidRDefault="000D6791" w:rsidP="000D6791">
      <w:r>
        <w:t xml:space="preserve">Australia has consistently performed at a high level in astronomy research, discovery and impact. Broadly separated into optical and radio astronomy, each requires large scale instruments with complex and sensitive instrumentation, as well as supercomputing facilities and massive data storage. This highly specialised instrumentation and associated processes have had a track record of translation through to other areas of research and industry, as devices can be adapted for use in aerospace, medical science, defence and telecommunications applications. The most widely </w:t>
      </w:r>
      <w:r>
        <w:lastRenderedPageBreak/>
        <w:t xml:space="preserve">recognised translational benefit of astronomy is the invention of </w:t>
      </w:r>
      <w:r w:rsidR="00A6508C">
        <w:t>Wi-Fi</w:t>
      </w:r>
      <w:r>
        <w:t xml:space="preserve">, developed through CSIRO’s radio astronomy research. </w:t>
      </w:r>
    </w:p>
    <w:p w:rsidR="000D6791" w:rsidRDefault="000D6791" w:rsidP="000D6791">
      <w:r w:rsidRPr="00E379F1">
        <w:t>New</w:t>
      </w:r>
      <w:r>
        <w:t xml:space="preserve"> astronomy</w:t>
      </w:r>
      <w:r w:rsidRPr="00E379F1">
        <w:t xml:space="preserve"> </w:t>
      </w:r>
      <w:r>
        <w:t>facilities coming on line, such as the Giant Magellan Telescope, the Square Kilometre Array, and the already operational</w:t>
      </w:r>
      <w:r w:rsidRPr="00DC46C3">
        <w:t xml:space="preserve"> Australian Square Kilometre Array Pathfinder</w:t>
      </w:r>
      <w:r>
        <w:t>,</w:t>
      </w:r>
      <w:r w:rsidRPr="00E379F1">
        <w:t xml:space="preserve"> </w:t>
      </w:r>
      <w:r>
        <w:t>in addition to</w:t>
      </w:r>
      <w:r w:rsidRPr="00E379F1">
        <w:t xml:space="preserve"> </w:t>
      </w:r>
      <w:r>
        <w:t>high</w:t>
      </w:r>
      <w:r w:rsidR="00A6508C">
        <w:t xml:space="preserve"> </w:t>
      </w:r>
      <w:r>
        <w:t>performance computing,</w:t>
      </w:r>
      <w:r w:rsidRPr="00E379F1">
        <w:t xml:space="preserve"> will enable multi</w:t>
      </w:r>
      <w:r w:rsidR="0084387E">
        <w:t xml:space="preserve"> </w:t>
      </w:r>
      <w:r w:rsidRPr="00E379F1">
        <w:t>wavelength and mult</w:t>
      </w:r>
      <w:r w:rsidR="0084387E">
        <w:t xml:space="preserve">i </w:t>
      </w:r>
      <w:r>
        <w:t>me</w:t>
      </w:r>
      <w:r w:rsidRPr="00E379F1">
        <w:t>sse</w:t>
      </w:r>
      <w:r>
        <w:t>n</w:t>
      </w:r>
      <w:r w:rsidRPr="00E379F1">
        <w:t xml:space="preserve">ger astronomy </w:t>
      </w:r>
      <w:r>
        <w:t xml:space="preserve">to be </w:t>
      </w:r>
      <w:r w:rsidRPr="00E379F1">
        <w:t xml:space="preserve">undertaken by </w:t>
      </w:r>
      <w:r>
        <w:t>enabling research</w:t>
      </w:r>
      <w:r w:rsidRPr="00E379F1">
        <w:t xml:space="preserve"> from many different datasets</w:t>
      </w:r>
      <w:r>
        <w:t>.</w:t>
      </w:r>
      <w:r w:rsidRPr="007A53A8">
        <w:t xml:space="preserve"> A plan is needed to enable the support of existing older infrastructure to enable wind down and repurposing while building up new infrastructure.</w:t>
      </w:r>
      <w:r w:rsidR="00A255E5">
        <w:t xml:space="preserve"> </w:t>
      </w:r>
      <w:r>
        <w:t>L</w:t>
      </w:r>
      <w:r w:rsidRPr="00DC46C3">
        <w:t xml:space="preserve">arge scale data management capabilities to support appropriate </w:t>
      </w:r>
      <w:proofErr w:type="gramStart"/>
      <w:r w:rsidRPr="00DC46C3">
        <w:t>use,</w:t>
      </w:r>
      <w:proofErr w:type="gramEnd"/>
      <w:r w:rsidRPr="00DC46C3">
        <w:t xml:space="preserve"> reuse and discovery of data</w:t>
      </w:r>
      <w:r>
        <w:t xml:space="preserve"> will be critical to the future of astronomy</w:t>
      </w:r>
      <w:r w:rsidRPr="00DC46C3">
        <w:t>. Due to the extremely high volume of dat</w:t>
      </w:r>
      <w:r>
        <w:t>a</w:t>
      </w:r>
      <w:r w:rsidRPr="00DC46C3">
        <w:t xml:space="preserve"> generated from radio astronomy, the ability to collect and manipulate the dat</w:t>
      </w:r>
      <w:r>
        <w:t>a</w:t>
      </w:r>
      <w:r w:rsidRPr="00DC46C3">
        <w:t xml:space="preserve"> is reliant on high</w:t>
      </w:r>
      <w:r w:rsidR="00A6508C">
        <w:t xml:space="preserve"> </w:t>
      </w:r>
      <w:r w:rsidRPr="00DC46C3">
        <w:t xml:space="preserve">performance computing capability such as the </w:t>
      </w:r>
      <w:proofErr w:type="spellStart"/>
      <w:r w:rsidRPr="00DC46C3">
        <w:t>Pawsey</w:t>
      </w:r>
      <w:proofErr w:type="spellEnd"/>
      <w:r>
        <w:t xml:space="preserve"> Supercomputing Centre and National Computational Infrastructure</w:t>
      </w:r>
      <w:r w:rsidRPr="00DC46C3">
        <w:t>.</w:t>
      </w:r>
      <w:r w:rsidR="00A255E5">
        <w:t xml:space="preserve"> </w:t>
      </w:r>
      <w:r>
        <w:t xml:space="preserve">High performance computing is discussed in more detail in </w:t>
      </w:r>
      <w:r w:rsidR="00E10F72">
        <w:t>Chapter</w:t>
      </w:r>
      <w:r>
        <w:t xml:space="preserve"> 10 Underpinning Research Infrastructure.</w:t>
      </w:r>
    </w:p>
    <w:p w:rsidR="000D6791" w:rsidRDefault="000D6791" w:rsidP="000D6791">
      <w:pPr>
        <w:rPr>
          <w:rFonts w:cstheme="minorHAnsi"/>
        </w:rPr>
      </w:pPr>
      <w:r w:rsidRPr="00983042">
        <w:rPr>
          <w:rFonts w:cstheme="minorHAnsi"/>
        </w:rPr>
        <w:t>Modern astronomy research facilities require substantial capital investment</w:t>
      </w:r>
      <w:r>
        <w:rPr>
          <w:rFonts w:cstheme="minorHAnsi"/>
        </w:rPr>
        <w:t xml:space="preserve">, often beyond the means of any single country. Australia currently funds access internationally based telescopes including GEMINI, Magellan and KECK. For other international </w:t>
      </w:r>
      <w:r w:rsidRPr="00983042">
        <w:rPr>
          <w:rFonts w:cstheme="minorHAnsi"/>
        </w:rPr>
        <w:t>research facilities</w:t>
      </w:r>
      <w:r>
        <w:rPr>
          <w:rFonts w:cstheme="minorHAnsi"/>
        </w:rPr>
        <w:t>, there may be opportunities to be</w:t>
      </w:r>
      <w:r w:rsidR="0084387E">
        <w:rPr>
          <w:rFonts w:cstheme="minorHAnsi"/>
        </w:rPr>
        <w:t xml:space="preserve"> a</w:t>
      </w:r>
      <w:r>
        <w:rPr>
          <w:rFonts w:cstheme="minorHAnsi"/>
        </w:rPr>
        <w:t xml:space="preserve"> founding partner or co-invest once established. T</w:t>
      </w:r>
      <w:r w:rsidRPr="00983042">
        <w:rPr>
          <w:rFonts w:cstheme="minorHAnsi"/>
        </w:rPr>
        <w:t xml:space="preserve">here is a need for a </w:t>
      </w:r>
      <w:r>
        <w:rPr>
          <w:rFonts w:cstheme="minorHAnsi"/>
        </w:rPr>
        <w:t xml:space="preserve">formal </w:t>
      </w:r>
      <w:r w:rsidRPr="00983042">
        <w:rPr>
          <w:rFonts w:cstheme="minorHAnsi"/>
        </w:rPr>
        <w:t xml:space="preserve">mechanism to </w:t>
      </w:r>
      <w:r>
        <w:rPr>
          <w:rFonts w:cstheme="minorHAnsi"/>
        </w:rPr>
        <w:t>determine if Australia should join</w:t>
      </w:r>
      <w:r w:rsidRPr="00983042">
        <w:rPr>
          <w:rFonts w:cstheme="minorHAnsi"/>
        </w:rPr>
        <w:t xml:space="preserve"> </w:t>
      </w:r>
      <w:r>
        <w:rPr>
          <w:rFonts w:cstheme="minorHAnsi"/>
        </w:rPr>
        <w:t>international</w:t>
      </w:r>
      <w:r w:rsidRPr="00983042">
        <w:rPr>
          <w:rFonts w:cstheme="minorHAnsi"/>
        </w:rPr>
        <w:t xml:space="preserve"> research facilities</w:t>
      </w:r>
      <w:r>
        <w:rPr>
          <w:rFonts w:cstheme="minorHAnsi"/>
        </w:rPr>
        <w:t xml:space="preserve">, </w:t>
      </w:r>
      <w:r w:rsidRPr="00983042">
        <w:rPr>
          <w:rFonts w:cstheme="minorHAnsi"/>
        </w:rPr>
        <w:t>such as the European Southern Observatory (</w:t>
      </w:r>
      <w:proofErr w:type="spellStart"/>
      <w:r w:rsidRPr="00983042">
        <w:rPr>
          <w:rFonts w:cstheme="minorHAnsi"/>
        </w:rPr>
        <w:t>ESO</w:t>
      </w:r>
      <w:proofErr w:type="spellEnd"/>
      <w:r w:rsidRPr="00983042">
        <w:rPr>
          <w:rFonts w:cstheme="minorHAnsi"/>
        </w:rPr>
        <w:t xml:space="preserve">), </w:t>
      </w:r>
      <w:r w:rsidRPr="00A30A85">
        <w:rPr>
          <w:rFonts w:cstheme="minorHAnsi"/>
        </w:rPr>
        <w:t>Laser Interferometer Gravitational</w:t>
      </w:r>
      <w:r w:rsidR="00DF7527">
        <w:rPr>
          <w:rFonts w:cstheme="minorHAnsi"/>
        </w:rPr>
        <w:t xml:space="preserve"> </w:t>
      </w:r>
      <w:r w:rsidRPr="00A30A85">
        <w:rPr>
          <w:rFonts w:cstheme="minorHAnsi"/>
        </w:rPr>
        <w:t xml:space="preserve">Wave Observatory </w:t>
      </w:r>
      <w:r>
        <w:rPr>
          <w:rFonts w:cstheme="minorHAnsi"/>
        </w:rPr>
        <w:t>(</w:t>
      </w:r>
      <w:proofErr w:type="spellStart"/>
      <w:r>
        <w:rPr>
          <w:rFonts w:cstheme="minorHAnsi"/>
        </w:rPr>
        <w:t>LIGO</w:t>
      </w:r>
      <w:proofErr w:type="spellEnd"/>
      <w:r>
        <w:rPr>
          <w:rFonts w:cstheme="minorHAnsi"/>
        </w:rPr>
        <w:t>)</w:t>
      </w:r>
      <w:r w:rsidRPr="00983042">
        <w:rPr>
          <w:rFonts w:cstheme="minorHAnsi"/>
        </w:rPr>
        <w:t xml:space="preserve"> </w:t>
      </w:r>
      <w:r>
        <w:rPr>
          <w:rFonts w:cstheme="minorHAnsi"/>
        </w:rPr>
        <w:t>or</w:t>
      </w:r>
      <w:r w:rsidRPr="00983042">
        <w:rPr>
          <w:rFonts w:cstheme="minorHAnsi"/>
        </w:rPr>
        <w:t xml:space="preserve"> the Virgo interferometer experiment.</w:t>
      </w:r>
      <w:r>
        <w:rPr>
          <w:rFonts w:cstheme="minorHAnsi"/>
        </w:rPr>
        <w:t xml:space="preserve"> </w:t>
      </w:r>
    </w:p>
    <w:p w:rsidR="000D6791" w:rsidRDefault="000D6791" w:rsidP="000D6791">
      <w:pPr>
        <w:rPr>
          <w:rFonts w:cstheme="minorHAnsi"/>
        </w:rPr>
      </w:pPr>
      <w:r w:rsidRPr="00620F1A">
        <w:rPr>
          <w:rFonts w:cstheme="minorHAnsi"/>
        </w:rPr>
        <w:t>There is a growing interest in Australia to deepen i</w:t>
      </w:r>
      <w:r>
        <w:rPr>
          <w:rFonts w:cstheme="minorHAnsi"/>
        </w:rPr>
        <w:t>t</w:t>
      </w:r>
      <w:r w:rsidRPr="00620F1A">
        <w:rPr>
          <w:rFonts w:cstheme="minorHAnsi"/>
        </w:rPr>
        <w:t>s skills and domestic capabilities in gravitational</w:t>
      </w:r>
      <w:r w:rsidR="00DF7527">
        <w:rPr>
          <w:rFonts w:cstheme="minorHAnsi"/>
        </w:rPr>
        <w:t> </w:t>
      </w:r>
      <w:r w:rsidRPr="00620F1A">
        <w:rPr>
          <w:rFonts w:cstheme="minorHAnsi"/>
        </w:rPr>
        <w:t xml:space="preserve">wave observations. This capability could serve both domestic and international </w:t>
      </w:r>
      <w:r>
        <w:rPr>
          <w:rFonts w:cstheme="minorHAnsi"/>
        </w:rPr>
        <w:t xml:space="preserve">research </w:t>
      </w:r>
      <w:r w:rsidRPr="00620F1A">
        <w:rPr>
          <w:rFonts w:cstheme="minorHAnsi"/>
        </w:rPr>
        <w:t xml:space="preserve">where there is a need to improve detection and triangulation </w:t>
      </w:r>
      <w:r w:rsidR="00511183">
        <w:rPr>
          <w:rFonts w:cstheme="minorHAnsi"/>
        </w:rPr>
        <w:t xml:space="preserve">of </w:t>
      </w:r>
      <w:r w:rsidRPr="00620F1A">
        <w:rPr>
          <w:rFonts w:cstheme="minorHAnsi"/>
        </w:rPr>
        <w:t xml:space="preserve">cosmic gravitational waves in consort with existing facilities </w:t>
      </w:r>
      <w:r>
        <w:rPr>
          <w:rFonts w:cstheme="minorHAnsi"/>
        </w:rPr>
        <w:t>overseas.</w:t>
      </w:r>
    </w:p>
    <w:p w:rsidR="000D6791" w:rsidRPr="00CF04AF" w:rsidRDefault="000D6791" w:rsidP="004E7816">
      <w:pPr>
        <w:pStyle w:val="Heading3"/>
      </w:pPr>
      <w:bookmarkStart w:id="27" w:name="_Toc455509093"/>
      <w:r w:rsidRPr="00CF04AF">
        <w:t xml:space="preserve">Fabrication and </w:t>
      </w:r>
      <w:r>
        <w:t>p</w:t>
      </w:r>
      <w:r w:rsidRPr="00CF04AF">
        <w:t>rocessing</w:t>
      </w:r>
      <w:bookmarkEnd w:id="27"/>
    </w:p>
    <w:p w:rsidR="000D6791" w:rsidRPr="00620F1A" w:rsidRDefault="000D6791" w:rsidP="004E7816">
      <w:r w:rsidRPr="00955F15">
        <w:t xml:space="preserve">Australia has invested well in the network of </w:t>
      </w:r>
      <w:proofErr w:type="spellStart"/>
      <w:r w:rsidRPr="00955F15">
        <w:t>nano</w:t>
      </w:r>
      <w:proofErr w:type="spellEnd"/>
      <w:r w:rsidR="0084387E">
        <w:t xml:space="preserve"> </w:t>
      </w:r>
      <w:r w:rsidRPr="00955F15">
        <w:t>and micro</w:t>
      </w:r>
      <w:r w:rsidR="0084387E">
        <w:t xml:space="preserve"> </w:t>
      </w:r>
      <w:r w:rsidRPr="00955F15">
        <w:t>fabrication facilities through the Australian National Fabrication Facility</w:t>
      </w:r>
      <w:r>
        <w:t>, leading to a</w:t>
      </w:r>
      <w:r w:rsidRPr="00955F15">
        <w:t xml:space="preserve"> strong collaborative network</w:t>
      </w:r>
      <w:r>
        <w:t xml:space="preserve"> capability that operates at</w:t>
      </w:r>
      <w:r w:rsidRPr="00955F15">
        <w:t xml:space="preserve"> a very high level. </w:t>
      </w:r>
    </w:p>
    <w:p w:rsidR="000D6791" w:rsidRPr="00620F1A" w:rsidRDefault="000D6791" w:rsidP="000D6791">
      <w:r w:rsidRPr="00620F1A">
        <w:t xml:space="preserve">A distinguishing feature of the fabrication landscape has been the breadth of development, ranging from polymeric and organic materials to inorganic semiconductors. Investment in generic and materials specific processing capabilities has proven a successful strategy for encouraging the widest research scope. </w:t>
      </w:r>
      <w:r>
        <w:t>This has created a capability environment where f</w:t>
      </w:r>
      <w:r w:rsidRPr="00620F1A">
        <w:t>uture trends in fabrication includ</w:t>
      </w:r>
      <w:r>
        <w:t>e</w:t>
      </w:r>
      <w:r w:rsidRPr="00620F1A">
        <w:t xml:space="preserve"> the development of instrumentation allowing for hybrid materials platforms </w:t>
      </w:r>
      <w:r>
        <w:t xml:space="preserve">and </w:t>
      </w:r>
      <w:r w:rsidRPr="00620F1A">
        <w:t>the creation of integrated devices that incorporate photonic and biological chemical functionalities.</w:t>
      </w:r>
    </w:p>
    <w:p w:rsidR="000D6791" w:rsidRPr="00620F1A" w:rsidRDefault="000D6791" w:rsidP="000D6791">
      <w:r w:rsidRPr="00620F1A">
        <w:t xml:space="preserve">While the investment in integrated fabrication and process monitoring has enabled device and material prototyping, a focus on packaging across multiple length scales is required to enable </w:t>
      </w:r>
      <w:proofErr w:type="spellStart"/>
      <w:r w:rsidRPr="00620F1A">
        <w:t>nano</w:t>
      </w:r>
      <w:proofErr w:type="spellEnd"/>
      <w:r w:rsidRPr="00620F1A">
        <w:t xml:space="preserve"> and micro device technologies to interface with real world systems. </w:t>
      </w:r>
      <w:r w:rsidRPr="00620F1A">
        <w:rPr>
          <w:rFonts w:eastAsia="MS Mincho" w:cs="Times New Roman"/>
          <w:lang w:val="en-US"/>
        </w:rPr>
        <w:t xml:space="preserve">Development of a national translational </w:t>
      </w:r>
      <w:r w:rsidR="0084387E">
        <w:rPr>
          <w:rFonts w:eastAsia="MS Mincho" w:cs="Times New Roman"/>
          <w:lang w:val="en-US"/>
        </w:rPr>
        <w:t>capability</w:t>
      </w:r>
      <w:r w:rsidRPr="00620F1A">
        <w:rPr>
          <w:rFonts w:eastAsia="MS Mincho" w:cs="Times New Roman"/>
          <w:lang w:val="en-US"/>
        </w:rPr>
        <w:t xml:space="preserve"> to bridge the gap between the scientific understanding of new materials and the fabrication of prototype devices through to pre-commercial testing requires the ability to </w:t>
      </w:r>
      <w:r w:rsidRPr="00620F1A">
        <w:rPr>
          <w:rFonts w:eastAsia="MS Mincho" w:cs="Times New Roman"/>
          <w:lang w:val="en-US"/>
        </w:rPr>
        <w:lastRenderedPageBreak/>
        <w:t>scale</w:t>
      </w:r>
      <w:r w:rsidR="00A6508C">
        <w:rPr>
          <w:rFonts w:eastAsia="MS Mincho" w:cs="Times New Roman"/>
          <w:lang w:val="en-US"/>
        </w:rPr>
        <w:t> </w:t>
      </w:r>
      <w:r w:rsidRPr="00620F1A">
        <w:rPr>
          <w:rFonts w:eastAsia="MS Mincho" w:cs="Times New Roman"/>
          <w:lang w:val="en-US"/>
        </w:rPr>
        <w:t xml:space="preserve">up production to yield sufficient quantities of advanced materials or devices for development and trials. </w:t>
      </w:r>
    </w:p>
    <w:p w:rsidR="000D6791" w:rsidRPr="00620F1A" w:rsidRDefault="000D6791" w:rsidP="000D6791">
      <w:r w:rsidRPr="00620F1A">
        <w:t>There is a growing need to enhance the capability, particularly around increasing packaging, scale</w:t>
      </w:r>
      <w:r w:rsidR="00486755">
        <w:t> </w:t>
      </w:r>
      <w:r w:rsidRPr="00620F1A">
        <w:t xml:space="preserve">up, and integration facilities. This will ensure that reliable and productive translation into emerging commercial opportunities can be realised. </w:t>
      </w:r>
    </w:p>
    <w:p w:rsidR="000D6791" w:rsidRPr="00620F1A" w:rsidRDefault="000D6791" w:rsidP="000D6791">
      <w:r w:rsidRPr="00620F1A">
        <w:t>Australia has made significant investment in quantum research capability and is a leader in quantum computing, which has resulted in world</w:t>
      </w:r>
      <w:r w:rsidR="00A6508C">
        <w:t xml:space="preserve"> </w:t>
      </w:r>
      <w:r w:rsidRPr="00620F1A">
        <w:t xml:space="preserve">class research outcomes. This investment has provided a competitive advantage for future quantum research. </w:t>
      </w:r>
    </w:p>
    <w:p w:rsidR="000D6791" w:rsidRDefault="00A6508C" w:rsidP="004E7816">
      <w:r>
        <w:t>The c</w:t>
      </w:r>
      <w:r w:rsidR="000D6791" w:rsidRPr="00620F1A">
        <w:t xml:space="preserve">haracterisation and </w:t>
      </w:r>
      <w:r>
        <w:t>f</w:t>
      </w:r>
      <w:r w:rsidR="000D6791" w:rsidRPr="00620F1A">
        <w:t>abrication capabilities experience some overlap, but this is unavoidable due to the research infrastructure requirement of the process quality monitoring workflow.</w:t>
      </w:r>
      <w:r w:rsidR="000D6791">
        <w:t xml:space="preserve"> </w:t>
      </w:r>
      <w:r w:rsidR="00007422" w:rsidRPr="00007422">
        <w:t>A</w:t>
      </w:r>
      <w:r w:rsidR="00BA5937">
        <w:t> </w:t>
      </w:r>
      <w:r w:rsidR="00007422" w:rsidRPr="00007422">
        <w:t>national user access scheme has been important to promote the advanced, often unique facilities.</w:t>
      </w:r>
    </w:p>
    <w:p w:rsidR="000D6791" w:rsidRPr="00CF04AF" w:rsidRDefault="000D6791" w:rsidP="000D6791">
      <w:pPr>
        <w:pStyle w:val="Heading3"/>
      </w:pPr>
      <w:bookmarkStart w:id="28" w:name="_Toc455509094"/>
      <w:r w:rsidRPr="00CF04AF">
        <w:t xml:space="preserve">Imaging and </w:t>
      </w:r>
      <w:r>
        <w:t>a</w:t>
      </w:r>
      <w:r w:rsidRPr="00CF04AF">
        <w:t>nalytics</w:t>
      </w:r>
      <w:bookmarkEnd w:id="28"/>
      <w:r w:rsidRPr="00CF04AF">
        <w:t xml:space="preserve"> </w:t>
      </w:r>
    </w:p>
    <w:p w:rsidR="000D6791" w:rsidRDefault="000D6791" w:rsidP="000D6791">
      <w:pPr>
        <w:rPr>
          <w:rFonts w:cstheme="minorHAnsi"/>
        </w:rPr>
      </w:pPr>
      <w:r>
        <w:rPr>
          <w:rFonts w:cstheme="minorHAnsi"/>
        </w:rPr>
        <w:t>Australia</w:t>
      </w:r>
      <w:r w:rsidRPr="00CF04AF">
        <w:rPr>
          <w:rFonts w:cstheme="minorHAnsi"/>
        </w:rPr>
        <w:t xml:space="preserve"> </w:t>
      </w:r>
      <w:r>
        <w:rPr>
          <w:rFonts w:cstheme="minorHAnsi"/>
        </w:rPr>
        <w:t xml:space="preserve">is well served by </w:t>
      </w:r>
      <w:r w:rsidRPr="00CF04AF">
        <w:rPr>
          <w:rFonts w:cstheme="minorHAnsi"/>
        </w:rPr>
        <w:t xml:space="preserve">facilities enabling characterisation </w:t>
      </w:r>
      <w:r>
        <w:rPr>
          <w:rFonts w:cstheme="minorHAnsi"/>
        </w:rPr>
        <w:t>both domestically and internationally</w:t>
      </w:r>
      <w:r w:rsidRPr="00CF04AF">
        <w:rPr>
          <w:rFonts w:cstheme="minorHAnsi"/>
        </w:rPr>
        <w:t xml:space="preserve">. </w:t>
      </w:r>
      <w:r>
        <w:rPr>
          <w:rFonts w:cstheme="minorHAnsi"/>
        </w:rPr>
        <w:t>Characterisation and imaging capabilities have developed parallel infrastructure, although these are now converging around shared technology, application, data management, technical skill sets and multi-modal data integration. Most integration has occurred in the biological sciences, where the two capabilities have the greatest overlap. While c</w:t>
      </w:r>
      <w:r w:rsidRPr="00E379F1">
        <w:rPr>
          <w:rFonts w:cstheme="minorHAnsi"/>
        </w:rPr>
        <w:t xml:space="preserve">haracterisation facilities </w:t>
      </w:r>
      <w:r>
        <w:rPr>
          <w:rFonts w:cstheme="minorHAnsi"/>
        </w:rPr>
        <w:t xml:space="preserve">are comprehensive, a more strategic and networked approach is the logical next step, including between characterisation and imaging to increase the potential for digital processing capacity. </w:t>
      </w:r>
    </w:p>
    <w:p w:rsidR="000D6791" w:rsidRPr="00CF04AF" w:rsidRDefault="000D6791" w:rsidP="000D6791">
      <w:pPr>
        <w:rPr>
          <w:rFonts w:cstheme="minorHAnsi"/>
        </w:rPr>
      </w:pPr>
      <w:r>
        <w:rPr>
          <w:rFonts w:cstheme="minorHAnsi"/>
        </w:rPr>
        <w:t>The translation of data integration products and even new instrumentation is identified as an area that might be enhanced in a renewed imaging and analytics capability. Currently t</w:t>
      </w:r>
      <w:r w:rsidRPr="00CF04AF">
        <w:rPr>
          <w:rFonts w:cstheme="minorHAnsi"/>
        </w:rPr>
        <w:t xml:space="preserve">here is </w:t>
      </w:r>
      <w:r>
        <w:rPr>
          <w:rFonts w:cstheme="minorHAnsi"/>
        </w:rPr>
        <w:t xml:space="preserve">limited </w:t>
      </w:r>
      <w:r w:rsidRPr="00CF04AF">
        <w:rPr>
          <w:rFonts w:cstheme="minorHAnsi"/>
        </w:rPr>
        <w:t xml:space="preserve">capacity to provide accredited and verified services to support this capability at both a data acquisition and reagent supply levels. Specific issues relating to the certifiable quality of the data acquired (owing to laboratory and process accreditation) need to be remedied to allow translational and industry readiness. </w:t>
      </w:r>
    </w:p>
    <w:p w:rsidR="000D6791" w:rsidRDefault="000D6791" w:rsidP="000D6791">
      <w:pPr>
        <w:ind w:right="-188"/>
      </w:pPr>
      <w:r w:rsidRPr="00717294">
        <w:t>The developing imaging and analytical requirements in Australia are stretching current modalities to afford additional dimensional information. Measurements are increasingly requiring multidimensional and multimodal</w:t>
      </w:r>
      <w:r>
        <w:t xml:space="preserve"> tools</w:t>
      </w:r>
      <w:r w:rsidRPr="00717294">
        <w:t xml:space="preserve">, requiring integration </w:t>
      </w:r>
      <w:r>
        <w:t>of complex analysis techniques</w:t>
      </w:r>
      <w:r w:rsidRPr="00717294">
        <w:t xml:space="preserve">. All of these </w:t>
      </w:r>
      <w:r>
        <w:t>developments</w:t>
      </w:r>
      <w:r w:rsidRPr="00717294">
        <w:t xml:space="preserve"> require an ever expanding range of specialised skills in the associated support workforce</w:t>
      </w:r>
      <w:r>
        <w:t xml:space="preserve">, and need to be recorded and transferred to ensure continuity. In many instances no commercial instrument integrates the </w:t>
      </w:r>
      <w:r w:rsidRPr="00FB1C09">
        <w:t xml:space="preserve">key modalities desired. </w:t>
      </w:r>
      <w:r>
        <w:t>User access schemes ensure a high value return on investment in highly specialised facilities.</w:t>
      </w:r>
    </w:p>
    <w:p w:rsidR="000D6791" w:rsidRPr="00620F1A" w:rsidRDefault="000D6791" w:rsidP="000D6791">
      <w:pPr>
        <w:pStyle w:val="Heading3"/>
      </w:pPr>
      <w:bookmarkStart w:id="29" w:name="_Toc455509095"/>
      <w:r w:rsidRPr="00620F1A">
        <w:t xml:space="preserve">Accelerator </w:t>
      </w:r>
      <w:r>
        <w:t>s</w:t>
      </w:r>
      <w:r w:rsidRPr="00620F1A">
        <w:t>cience</w:t>
      </w:r>
    </w:p>
    <w:p w:rsidR="000D6791" w:rsidRPr="00620F1A" w:rsidRDefault="000D6791" w:rsidP="000D6791">
      <w:pPr>
        <w:rPr>
          <w:rFonts w:ascii="Calibri" w:hAnsi="Calibri" w:cstheme="minorHAnsi"/>
        </w:rPr>
      </w:pPr>
      <w:r w:rsidRPr="00620F1A">
        <w:rPr>
          <w:rFonts w:ascii="Calibri" w:hAnsi="Calibri" w:cstheme="minorHAnsi"/>
        </w:rPr>
        <w:t xml:space="preserve">This capability is generally meeting demand within existing facilities and with maintenance should continue to meet the needs of most communities. The accelerator capability is distributed and encompasses a range of facilities including the Australian Synchrotron, medical cyclotrons and </w:t>
      </w:r>
      <w:r w:rsidR="00A6508C">
        <w:rPr>
          <w:rFonts w:ascii="Calibri" w:hAnsi="Calibri" w:cstheme="minorHAnsi"/>
        </w:rPr>
        <w:t xml:space="preserve">the </w:t>
      </w:r>
      <w:r w:rsidRPr="00620F1A">
        <w:rPr>
          <w:rFonts w:ascii="Calibri" w:hAnsi="Calibri" w:cstheme="minorHAnsi"/>
        </w:rPr>
        <w:t>heavy-ion facilit</w:t>
      </w:r>
      <w:r w:rsidR="00A6508C">
        <w:rPr>
          <w:rFonts w:ascii="Calibri" w:hAnsi="Calibri" w:cstheme="minorHAnsi"/>
        </w:rPr>
        <w:t>y</w:t>
      </w:r>
      <w:r w:rsidRPr="00620F1A">
        <w:rPr>
          <w:rFonts w:ascii="Calibri" w:hAnsi="Calibri" w:cstheme="minorHAnsi"/>
        </w:rPr>
        <w:t>.</w:t>
      </w:r>
    </w:p>
    <w:p w:rsidR="000D6791" w:rsidRDefault="000D6791" w:rsidP="000D6791">
      <w:pPr>
        <w:rPr>
          <w:rFonts w:cstheme="minorHAnsi"/>
        </w:rPr>
      </w:pPr>
      <w:r w:rsidRPr="00620F1A">
        <w:rPr>
          <w:rFonts w:ascii="Calibri" w:hAnsi="Calibri"/>
        </w:rPr>
        <w:lastRenderedPageBreak/>
        <w:t>Due to the level of investment required to achieve significant capability in emerging areas such as rare isotope accelerators, exploring international consortia may</w:t>
      </w:r>
      <w:r>
        <w:rPr>
          <w:rFonts w:ascii="Calibri" w:hAnsi="Calibri"/>
        </w:rPr>
        <w:t xml:space="preserve"> be the best path for Australian</w:t>
      </w:r>
      <w:r w:rsidRPr="00620F1A">
        <w:rPr>
          <w:rFonts w:ascii="Calibri" w:hAnsi="Calibri"/>
        </w:rPr>
        <w:t xml:space="preserve"> researcher</w:t>
      </w:r>
      <w:r>
        <w:rPr>
          <w:rFonts w:ascii="Calibri" w:hAnsi="Calibri"/>
        </w:rPr>
        <w:t xml:space="preserve">s to expand </w:t>
      </w:r>
      <w:r w:rsidRPr="00620F1A">
        <w:rPr>
          <w:rFonts w:ascii="Calibri" w:hAnsi="Calibri"/>
        </w:rPr>
        <w:t xml:space="preserve">into these areas. </w:t>
      </w:r>
      <w:r w:rsidRPr="00620F1A">
        <w:rPr>
          <w:rFonts w:cstheme="minorHAnsi"/>
        </w:rPr>
        <w:t xml:space="preserve">Access to large scale international accelerators is already particularly critical for the </w:t>
      </w:r>
      <w:r>
        <w:rPr>
          <w:rFonts w:cstheme="minorHAnsi"/>
        </w:rPr>
        <w:t>p</w:t>
      </w:r>
      <w:r w:rsidRPr="00620F1A">
        <w:rPr>
          <w:rFonts w:cstheme="minorHAnsi"/>
        </w:rPr>
        <w:t xml:space="preserve">article </w:t>
      </w:r>
      <w:r>
        <w:rPr>
          <w:rFonts w:cstheme="minorHAnsi"/>
        </w:rPr>
        <w:t>p</w:t>
      </w:r>
      <w:r w:rsidRPr="00620F1A">
        <w:rPr>
          <w:rFonts w:cstheme="minorHAnsi"/>
        </w:rPr>
        <w:t>hysics community in Australia where experimental programs are reliant on facilities overseas. As with neutron science</w:t>
      </w:r>
      <w:r>
        <w:rPr>
          <w:rFonts w:cstheme="minorHAnsi"/>
        </w:rPr>
        <w:t>,</w:t>
      </w:r>
      <w:r w:rsidRPr="00620F1A">
        <w:rPr>
          <w:rFonts w:cstheme="minorHAnsi"/>
        </w:rPr>
        <w:t xml:space="preserve"> some access to these facilities should be considered as part of an integrated infrastructure solution.</w:t>
      </w:r>
      <w:r w:rsidRPr="00FB1C09">
        <w:rPr>
          <w:rFonts w:cstheme="minorHAnsi"/>
        </w:rPr>
        <w:t xml:space="preserve"> </w:t>
      </w:r>
    </w:p>
    <w:bookmarkEnd w:id="29"/>
    <w:p w:rsidR="000D6791" w:rsidRDefault="000D6791" w:rsidP="000D6791">
      <w:pPr>
        <w:pStyle w:val="Heading2"/>
        <w:ind w:left="576"/>
      </w:pPr>
      <w:r>
        <w:t xml:space="preserve">Desirable New Capabilities </w:t>
      </w:r>
    </w:p>
    <w:p w:rsidR="000D6791" w:rsidRDefault="000D6791" w:rsidP="000D6791">
      <w:pPr>
        <w:pStyle w:val="Heading3"/>
      </w:pPr>
      <w:r>
        <w:t>Precision measurement</w:t>
      </w:r>
    </w:p>
    <w:p w:rsidR="000D6791" w:rsidRDefault="000D6791" w:rsidP="000D6791">
      <w:pPr>
        <w:rPr>
          <w:rFonts w:ascii="Calibri" w:hAnsi="Calibri"/>
          <w:sz w:val="20"/>
          <w:szCs w:val="20"/>
        </w:rPr>
      </w:pPr>
      <w:r w:rsidRPr="00620F1A">
        <w:rPr>
          <w:rFonts w:ascii="Calibri" w:hAnsi="Calibri"/>
        </w:rPr>
        <w:t xml:space="preserve">New precision measurement capabilities will evolve over the next decade. Important in assisting this development is the maintenance and extension of the capabilities that exist, for example in the National Measurement Institute to reference these techniques to international standards. Overlaps will also occur in </w:t>
      </w:r>
      <w:r>
        <w:rPr>
          <w:rFonts w:ascii="Calibri" w:hAnsi="Calibri"/>
        </w:rPr>
        <w:t>d</w:t>
      </w:r>
      <w:r w:rsidRPr="00620F1A">
        <w:rPr>
          <w:rFonts w:ascii="Calibri" w:hAnsi="Calibri"/>
        </w:rPr>
        <w:t xml:space="preserve">efence </w:t>
      </w:r>
      <w:r>
        <w:rPr>
          <w:rFonts w:ascii="Calibri" w:hAnsi="Calibri"/>
        </w:rPr>
        <w:t>s</w:t>
      </w:r>
      <w:r w:rsidRPr="00620F1A">
        <w:rPr>
          <w:rFonts w:ascii="Calibri" w:hAnsi="Calibri"/>
        </w:rPr>
        <w:t>cience capabilities, geo-sensing and marine sensing.</w:t>
      </w:r>
      <w:r>
        <w:rPr>
          <w:rFonts w:ascii="Calibri" w:hAnsi="Calibri"/>
          <w:sz w:val="20"/>
          <w:szCs w:val="20"/>
        </w:rPr>
        <w:t xml:space="preserve"> </w:t>
      </w:r>
    </w:p>
    <w:p w:rsidR="000D6791" w:rsidRPr="00E8523E" w:rsidRDefault="000D6791" w:rsidP="000D6791">
      <w:pPr>
        <w:pStyle w:val="Heading3"/>
      </w:pPr>
      <w:r>
        <w:t xml:space="preserve"> Chemistry</w:t>
      </w:r>
      <w:r w:rsidRPr="00E8523E">
        <w:t xml:space="preserve"> and </w:t>
      </w:r>
      <w:r>
        <w:t>h</w:t>
      </w:r>
      <w:r w:rsidRPr="00E8523E">
        <w:t xml:space="preserve">igh </w:t>
      </w:r>
      <w:r>
        <w:t>t</w:t>
      </w:r>
      <w:r w:rsidRPr="00E8523E">
        <w:t xml:space="preserve">hroughput </w:t>
      </w:r>
      <w:r>
        <w:t>p</w:t>
      </w:r>
      <w:r w:rsidRPr="00E8523E">
        <w:t xml:space="preserve">rocesses </w:t>
      </w:r>
    </w:p>
    <w:p w:rsidR="000D6791" w:rsidRPr="0084387E" w:rsidRDefault="000D6791" w:rsidP="0084387E">
      <w:pPr>
        <w:rPr>
          <w:rFonts w:cstheme="minorHAnsi"/>
        </w:rPr>
      </w:pPr>
      <w:r w:rsidRPr="0084387E">
        <w:rPr>
          <w:rFonts w:cstheme="minorHAnsi"/>
        </w:rPr>
        <w:t>There are facilities and chemical libraries that are embedded in universities and government laboratories</w:t>
      </w:r>
      <w:r w:rsidRPr="0084387E" w:rsidDel="00670695">
        <w:rPr>
          <w:rFonts w:cstheme="minorHAnsi"/>
        </w:rPr>
        <w:t xml:space="preserve"> </w:t>
      </w:r>
      <w:r w:rsidRPr="0084387E">
        <w:rPr>
          <w:rFonts w:cstheme="minorHAnsi"/>
        </w:rPr>
        <w:t xml:space="preserve">that support the chemistry community through, for example, providing access to robotic and automated equipment allowing high throughput processes. Recognition, availability and access to these facilities could be improved with a national strategic approach, as while some are open </w:t>
      </w:r>
      <w:proofErr w:type="gramStart"/>
      <w:r w:rsidRPr="0084387E">
        <w:rPr>
          <w:rFonts w:cstheme="minorHAnsi"/>
        </w:rPr>
        <w:t>access,</w:t>
      </w:r>
      <w:proofErr w:type="gramEnd"/>
      <w:r w:rsidRPr="0084387E">
        <w:rPr>
          <w:rFonts w:cstheme="minorHAnsi"/>
        </w:rPr>
        <w:t xml:space="preserve"> many are only available for local use.</w:t>
      </w:r>
    </w:p>
    <w:p w:rsidR="000D6791" w:rsidRPr="00AD1F77" w:rsidRDefault="000D6791" w:rsidP="000D6791">
      <w:pPr>
        <w:pStyle w:val="Heading3"/>
      </w:pPr>
      <w:r w:rsidRPr="00AD1F77">
        <w:t xml:space="preserve">Space </w:t>
      </w:r>
      <w:r>
        <w:t>s</w:t>
      </w:r>
      <w:r w:rsidRPr="00AD1F77">
        <w:t>cience</w:t>
      </w:r>
    </w:p>
    <w:p w:rsidR="000D6791" w:rsidRDefault="000D6791" w:rsidP="000D6791">
      <w:pPr>
        <w:ind w:right="-330"/>
      </w:pPr>
      <w:r w:rsidRPr="00AD1F77">
        <w:t>The entrance</w:t>
      </w:r>
      <w:r w:rsidR="0084387E">
        <w:t xml:space="preserve"> cost to make Australia a space </w:t>
      </w:r>
      <w:r w:rsidRPr="00AD1F77">
        <w:t>ready nation is significant. Nonetheless, it is important to</w:t>
      </w:r>
      <w:r>
        <w:t xml:space="preserve"> consider the need</w:t>
      </w:r>
      <w:r w:rsidRPr="00AD1F77">
        <w:t xml:space="preserve"> to develop a level of preparedness</w:t>
      </w:r>
      <w:r>
        <w:t xml:space="preserve"> around certain technical capabilities in the space science area. Several existing capabilities, particularly fabrication and astronomy, could contribute productively to the development of remote sensing and resource mapping instruments, whether space-borne or near-Earth. The second possibility for growing future capability could focus on launch facilities.</w:t>
      </w:r>
    </w:p>
    <w:p w:rsidR="000D6791" w:rsidRDefault="000D6791" w:rsidP="000D6791">
      <w:pPr>
        <w:rPr>
          <w:b/>
        </w:rPr>
      </w:pPr>
      <w:r>
        <w:rPr>
          <w:b/>
        </w:rPr>
        <w:br w:type="page"/>
      </w:r>
    </w:p>
    <w:p w:rsidR="000D6791" w:rsidRPr="005A20D1" w:rsidRDefault="000D6791" w:rsidP="000D6791">
      <w:pPr>
        <w:ind w:right="-330"/>
      </w:pPr>
      <w:r w:rsidRPr="005A20D1">
        <w:lastRenderedPageBreak/>
        <w:t>Th</w:t>
      </w:r>
      <w:r>
        <w:t>is</w:t>
      </w:r>
      <w:r w:rsidRPr="005A20D1">
        <w:t xml:space="preserve"> table provides a snapshot of the current and proposed future research infrastructure capabilities. These are examples and are not an exhaustive list. </w:t>
      </w:r>
    </w:p>
    <w:tbl>
      <w:tblPr>
        <w:tblStyle w:val="TableGrid"/>
        <w:tblW w:w="9464" w:type="dxa"/>
        <w:tblLook w:val="04A0" w:firstRow="1" w:lastRow="0" w:firstColumn="1" w:lastColumn="0" w:noHBand="0" w:noVBand="1"/>
        <w:tblCaption w:val="Table describing Research Infrastructure Snapshot - Advanced Physics, Chemistry, Mathematics &amp; Materials"/>
        <w:tblDescription w:val="4 quadrants listing existing capability elements, existing infrastructure, emerging trends and examples of potential new infrastructure"/>
      </w:tblPr>
      <w:tblGrid>
        <w:gridCol w:w="959"/>
        <w:gridCol w:w="3143"/>
        <w:gridCol w:w="5362"/>
      </w:tblGrid>
      <w:tr w:rsidR="000D6791" w:rsidRPr="00DF7527" w:rsidTr="004F2B82">
        <w:tc>
          <w:tcPr>
            <w:tcW w:w="9464" w:type="dxa"/>
            <w:gridSpan w:val="3"/>
            <w:shd w:val="clear" w:color="auto" w:fill="FFC000"/>
          </w:tcPr>
          <w:p w:rsidR="000D6791" w:rsidRDefault="000D6791" w:rsidP="004E7816">
            <w:pPr>
              <w:spacing w:before="120" w:after="120"/>
              <w:jc w:val="center"/>
              <w:rPr>
                <w:b/>
              </w:rPr>
            </w:pPr>
            <w:r>
              <w:rPr>
                <w:b/>
              </w:rPr>
              <w:t>Research Infrastructure Snapshot – Advanced Physics, Chemistry, Mathematics and Materials</w:t>
            </w:r>
          </w:p>
        </w:tc>
      </w:tr>
      <w:tr w:rsidR="000D6791" w:rsidRPr="00F86FE1" w:rsidTr="004F2B82">
        <w:tc>
          <w:tcPr>
            <w:tcW w:w="959" w:type="dxa"/>
            <w:shd w:val="clear" w:color="auto" w:fill="499FE1" w:themeFill="accent1" w:themeFillTint="99"/>
          </w:tcPr>
          <w:p w:rsidR="000D6791" w:rsidRDefault="000D6791" w:rsidP="004F2B82">
            <w:pPr>
              <w:rPr>
                <w:b/>
              </w:rPr>
            </w:pPr>
          </w:p>
        </w:tc>
        <w:tc>
          <w:tcPr>
            <w:tcW w:w="3143" w:type="dxa"/>
            <w:shd w:val="clear" w:color="auto" w:fill="499FE1" w:themeFill="accent1" w:themeFillTint="99"/>
          </w:tcPr>
          <w:p w:rsidR="000D6791" w:rsidRDefault="000D6791" w:rsidP="00A556AD">
            <w:pPr>
              <w:rPr>
                <w:b/>
              </w:rPr>
            </w:pPr>
            <w:r>
              <w:rPr>
                <w:b/>
              </w:rPr>
              <w:t xml:space="preserve">Existing </w:t>
            </w:r>
            <w:r w:rsidR="00A556AD">
              <w:rPr>
                <w:b/>
              </w:rPr>
              <w:t>c</w:t>
            </w:r>
            <w:r>
              <w:rPr>
                <w:b/>
              </w:rPr>
              <w:t xml:space="preserve">apability </w:t>
            </w:r>
            <w:r w:rsidR="00A556AD">
              <w:rPr>
                <w:b/>
              </w:rPr>
              <w:t>e</w:t>
            </w:r>
            <w:r>
              <w:rPr>
                <w:b/>
              </w:rPr>
              <w:t>lements</w:t>
            </w:r>
          </w:p>
        </w:tc>
        <w:tc>
          <w:tcPr>
            <w:tcW w:w="5362" w:type="dxa"/>
            <w:shd w:val="clear" w:color="auto" w:fill="499FE1" w:themeFill="accent1" w:themeFillTint="99"/>
          </w:tcPr>
          <w:p w:rsidR="000D6791" w:rsidRPr="00F86FE1" w:rsidRDefault="000D6791" w:rsidP="00A556AD">
            <w:pPr>
              <w:rPr>
                <w:b/>
              </w:rPr>
            </w:pPr>
            <w:r>
              <w:rPr>
                <w:b/>
              </w:rPr>
              <w:t xml:space="preserve">Existing </w:t>
            </w:r>
            <w:r w:rsidR="00A556AD">
              <w:rPr>
                <w:b/>
              </w:rPr>
              <w:t>i</w:t>
            </w:r>
            <w:r>
              <w:rPr>
                <w:b/>
              </w:rPr>
              <w:t>nfrastructure</w:t>
            </w:r>
          </w:p>
        </w:tc>
      </w:tr>
      <w:tr w:rsidR="000D6791" w:rsidRPr="009829EE" w:rsidTr="004F2B82">
        <w:trPr>
          <w:trHeight w:val="1368"/>
        </w:trPr>
        <w:tc>
          <w:tcPr>
            <w:tcW w:w="959" w:type="dxa"/>
            <w:vAlign w:val="center"/>
          </w:tcPr>
          <w:p w:rsidR="000D6791" w:rsidRDefault="000D6791" w:rsidP="004F2B82">
            <w:pPr>
              <w:rPr>
                <w:b/>
              </w:rPr>
            </w:pPr>
            <w:r>
              <w:rPr>
                <w:b/>
              </w:rPr>
              <w:t>Now</w:t>
            </w:r>
          </w:p>
        </w:tc>
        <w:tc>
          <w:tcPr>
            <w:tcW w:w="3143" w:type="dxa"/>
          </w:tcPr>
          <w:p w:rsidR="000D6791" w:rsidRPr="00A56F9D" w:rsidRDefault="000D6791" w:rsidP="004F2B82">
            <w:pPr>
              <w:pStyle w:val="ListParagraph"/>
              <w:numPr>
                <w:ilvl w:val="0"/>
                <w:numId w:val="6"/>
              </w:numPr>
              <w:ind w:left="268" w:hanging="283"/>
            </w:pPr>
            <w:r>
              <w:t>Astronomy</w:t>
            </w:r>
          </w:p>
          <w:p w:rsidR="000D6791" w:rsidRPr="00A56F9D" w:rsidRDefault="000D6791" w:rsidP="004F2B82">
            <w:pPr>
              <w:pStyle w:val="ListParagraph"/>
              <w:numPr>
                <w:ilvl w:val="0"/>
                <w:numId w:val="6"/>
              </w:numPr>
              <w:ind w:left="268" w:hanging="283"/>
            </w:pPr>
            <w:r w:rsidRPr="00A56F9D">
              <w:t>Characterisation</w:t>
            </w:r>
          </w:p>
          <w:p w:rsidR="000D6791" w:rsidRPr="00A56F9D" w:rsidRDefault="000D6791" w:rsidP="004F2B82">
            <w:pPr>
              <w:pStyle w:val="ListParagraph"/>
              <w:numPr>
                <w:ilvl w:val="0"/>
                <w:numId w:val="6"/>
              </w:numPr>
              <w:ind w:left="268" w:hanging="283"/>
            </w:pPr>
            <w:r w:rsidRPr="00A56F9D">
              <w:t>Fabrication</w:t>
            </w:r>
          </w:p>
          <w:p w:rsidR="000D6791" w:rsidRPr="00077210" w:rsidRDefault="000D6791" w:rsidP="004F2B82">
            <w:pPr>
              <w:pStyle w:val="ListParagraph"/>
              <w:numPr>
                <w:ilvl w:val="0"/>
                <w:numId w:val="6"/>
              </w:numPr>
              <w:ind w:left="268" w:hanging="283"/>
            </w:pPr>
            <w:r w:rsidRPr="00A56F9D">
              <w:t>Sustainable Energy</w:t>
            </w:r>
          </w:p>
        </w:tc>
        <w:tc>
          <w:tcPr>
            <w:tcW w:w="5362" w:type="dxa"/>
          </w:tcPr>
          <w:p w:rsidR="000D6791" w:rsidRDefault="000D6791" w:rsidP="004F2B82">
            <w:pPr>
              <w:pStyle w:val="ListParagraph"/>
              <w:numPr>
                <w:ilvl w:val="0"/>
                <w:numId w:val="6"/>
              </w:numPr>
              <w:ind w:left="268" w:hanging="283"/>
            </w:pPr>
            <w:r>
              <w:t xml:space="preserve">Astronomy Australia Limited </w:t>
            </w:r>
          </w:p>
          <w:p w:rsidR="000D6791" w:rsidRDefault="000D6791" w:rsidP="004F2B82">
            <w:pPr>
              <w:pStyle w:val="ListParagraph"/>
              <w:numPr>
                <w:ilvl w:val="0"/>
                <w:numId w:val="6"/>
              </w:numPr>
              <w:ind w:left="268" w:hanging="283"/>
            </w:pPr>
            <w:r w:rsidRPr="00BF1273">
              <w:t>A</w:t>
            </w:r>
            <w:r>
              <w:t>ustralian Astronomical Observatory</w:t>
            </w:r>
          </w:p>
          <w:p w:rsidR="000D6791" w:rsidRDefault="000D6791" w:rsidP="004F2B82">
            <w:pPr>
              <w:pStyle w:val="ListParagraph"/>
              <w:numPr>
                <w:ilvl w:val="0"/>
                <w:numId w:val="6"/>
              </w:numPr>
              <w:ind w:left="268" w:hanging="283"/>
            </w:pPr>
            <w:r w:rsidRPr="00BF1273">
              <w:t>A</w:t>
            </w:r>
            <w:r>
              <w:t>ustralian Microscopy and Microanalysis Research Facility</w:t>
            </w:r>
          </w:p>
          <w:p w:rsidR="000D6791" w:rsidRPr="00BF1273" w:rsidRDefault="000D6791" w:rsidP="004F2B82">
            <w:pPr>
              <w:pStyle w:val="ListParagraph"/>
              <w:numPr>
                <w:ilvl w:val="0"/>
                <w:numId w:val="6"/>
              </w:numPr>
              <w:ind w:left="268" w:hanging="283"/>
            </w:pPr>
            <w:r>
              <w:t>Australian National Fabrication Facility</w:t>
            </w:r>
          </w:p>
          <w:p w:rsidR="000D6791" w:rsidRPr="00BF1273" w:rsidRDefault="000D6791" w:rsidP="004F2B82">
            <w:pPr>
              <w:pStyle w:val="ListParagraph"/>
              <w:numPr>
                <w:ilvl w:val="0"/>
                <w:numId w:val="6"/>
              </w:numPr>
              <w:ind w:left="268" w:hanging="283"/>
            </w:pPr>
            <w:r>
              <w:t xml:space="preserve">Australian National Telescope Facility </w:t>
            </w:r>
          </w:p>
          <w:p w:rsidR="003724F9" w:rsidRDefault="000D6791" w:rsidP="004F2B82">
            <w:pPr>
              <w:pStyle w:val="ListParagraph"/>
              <w:numPr>
                <w:ilvl w:val="0"/>
                <w:numId w:val="6"/>
              </w:numPr>
              <w:ind w:left="268" w:hanging="283"/>
            </w:pPr>
            <w:r>
              <w:t>Australian Nuclear Science and Technology Organisation – neutron scattering, beam instruments</w:t>
            </w:r>
            <w:r w:rsidR="00EE1FDA">
              <w:t>,</w:t>
            </w:r>
            <w:r>
              <w:t xml:space="preserve"> imaging and isotope production</w:t>
            </w:r>
          </w:p>
          <w:p w:rsidR="000D6791" w:rsidRDefault="0084387E" w:rsidP="004F2B82">
            <w:pPr>
              <w:pStyle w:val="ListParagraph"/>
              <w:numPr>
                <w:ilvl w:val="0"/>
                <w:numId w:val="6"/>
              </w:numPr>
              <w:ind w:left="268" w:hanging="283"/>
            </w:pPr>
            <w:r>
              <w:t>Centre</w:t>
            </w:r>
            <w:r w:rsidR="00EE1FDA">
              <w:t> </w:t>
            </w:r>
            <w:r>
              <w:t>for</w:t>
            </w:r>
            <w:r w:rsidR="00EE1FDA">
              <w:t> </w:t>
            </w:r>
            <w:r>
              <w:t>Accelerator Science</w:t>
            </w:r>
          </w:p>
          <w:p w:rsidR="000D6791" w:rsidRDefault="000D6791" w:rsidP="004F2B82">
            <w:pPr>
              <w:pStyle w:val="ListParagraph"/>
              <w:numPr>
                <w:ilvl w:val="0"/>
                <w:numId w:val="6"/>
              </w:numPr>
              <w:ind w:left="268" w:hanging="283"/>
            </w:pPr>
            <w:r>
              <w:t xml:space="preserve">Australian Synchrotron </w:t>
            </w:r>
          </w:p>
          <w:p w:rsidR="000D6791" w:rsidRDefault="000D6791" w:rsidP="004F2B82">
            <w:pPr>
              <w:pStyle w:val="ListParagraph"/>
              <w:numPr>
                <w:ilvl w:val="0"/>
                <w:numId w:val="6"/>
              </w:numPr>
              <w:ind w:left="268" w:hanging="283"/>
            </w:pPr>
            <w:r>
              <w:t>Australian Plasma Fusion Research Facility</w:t>
            </w:r>
          </w:p>
          <w:p w:rsidR="000D6791" w:rsidRPr="00077210" w:rsidRDefault="000D6791" w:rsidP="004F2B82">
            <w:pPr>
              <w:pStyle w:val="ListParagraph"/>
              <w:numPr>
                <w:ilvl w:val="0"/>
                <w:numId w:val="6"/>
              </w:numPr>
              <w:ind w:left="268" w:hanging="283"/>
            </w:pPr>
            <w:r>
              <w:t>Biofuels</w:t>
            </w:r>
          </w:p>
          <w:p w:rsidR="000D6791" w:rsidRDefault="000D6791" w:rsidP="004F2B82">
            <w:pPr>
              <w:pStyle w:val="ListParagraph"/>
              <w:numPr>
                <w:ilvl w:val="0"/>
                <w:numId w:val="6"/>
              </w:numPr>
              <w:ind w:left="268" w:hanging="283"/>
            </w:pPr>
            <w:r>
              <w:t>Heavy Ion Accelerator</w:t>
            </w:r>
          </w:p>
          <w:p w:rsidR="000D6791" w:rsidRPr="00077210" w:rsidRDefault="000D6791" w:rsidP="004F2B82">
            <w:pPr>
              <w:pStyle w:val="ListParagraph"/>
              <w:numPr>
                <w:ilvl w:val="0"/>
                <w:numId w:val="6"/>
              </w:numPr>
              <w:ind w:left="268" w:hanging="283"/>
            </w:pPr>
            <w:r>
              <w:t xml:space="preserve">National Imaging Facility </w:t>
            </w:r>
          </w:p>
        </w:tc>
      </w:tr>
      <w:tr w:rsidR="000D6791" w:rsidRPr="00F86FE1" w:rsidTr="004F2B82">
        <w:tc>
          <w:tcPr>
            <w:tcW w:w="959" w:type="dxa"/>
            <w:shd w:val="clear" w:color="auto" w:fill="499FE1" w:themeFill="accent1" w:themeFillTint="99"/>
          </w:tcPr>
          <w:p w:rsidR="000D6791" w:rsidRDefault="000D6791" w:rsidP="004F2B82">
            <w:pPr>
              <w:jc w:val="center"/>
              <w:rPr>
                <w:b/>
              </w:rPr>
            </w:pPr>
          </w:p>
        </w:tc>
        <w:tc>
          <w:tcPr>
            <w:tcW w:w="3143" w:type="dxa"/>
            <w:shd w:val="clear" w:color="auto" w:fill="499FE1" w:themeFill="accent1" w:themeFillTint="99"/>
          </w:tcPr>
          <w:p w:rsidR="000D6791" w:rsidRPr="00F86FE1" w:rsidRDefault="00A556AD" w:rsidP="004F2B82">
            <w:pPr>
              <w:rPr>
                <w:b/>
              </w:rPr>
            </w:pPr>
            <w:r>
              <w:rPr>
                <w:b/>
              </w:rPr>
              <w:t>Emerging t</w:t>
            </w:r>
            <w:r w:rsidR="000D6791">
              <w:rPr>
                <w:b/>
              </w:rPr>
              <w:t>rends</w:t>
            </w:r>
          </w:p>
        </w:tc>
        <w:tc>
          <w:tcPr>
            <w:tcW w:w="5362" w:type="dxa"/>
            <w:shd w:val="clear" w:color="auto" w:fill="499FE1" w:themeFill="accent1" w:themeFillTint="99"/>
          </w:tcPr>
          <w:p w:rsidR="000D6791" w:rsidRPr="00F86FE1" w:rsidRDefault="000D6791" w:rsidP="00A556AD">
            <w:pPr>
              <w:rPr>
                <w:b/>
              </w:rPr>
            </w:pPr>
            <w:r>
              <w:rPr>
                <w:b/>
              </w:rPr>
              <w:t xml:space="preserve">Examples of </w:t>
            </w:r>
            <w:r w:rsidR="00A556AD">
              <w:rPr>
                <w:b/>
              </w:rPr>
              <w:t>p</w:t>
            </w:r>
            <w:r>
              <w:rPr>
                <w:b/>
              </w:rPr>
              <w:t xml:space="preserve">otential </w:t>
            </w:r>
            <w:r w:rsidR="00A556AD">
              <w:rPr>
                <w:b/>
              </w:rPr>
              <w:t>new i</w:t>
            </w:r>
            <w:r>
              <w:rPr>
                <w:b/>
              </w:rPr>
              <w:t>nfrastructure</w:t>
            </w:r>
          </w:p>
        </w:tc>
      </w:tr>
      <w:tr w:rsidR="000D6791" w:rsidRPr="009829EE" w:rsidTr="004F2B82">
        <w:trPr>
          <w:trHeight w:val="2132"/>
        </w:trPr>
        <w:tc>
          <w:tcPr>
            <w:tcW w:w="959" w:type="dxa"/>
            <w:vAlign w:val="center"/>
          </w:tcPr>
          <w:p w:rsidR="000D6791" w:rsidRDefault="000D6791" w:rsidP="004F2B82">
            <w:pPr>
              <w:rPr>
                <w:b/>
              </w:rPr>
            </w:pPr>
            <w:r>
              <w:rPr>
                <w:b/>
              </w:rPr>
              <w:t>Future</w:t>
            </w:r>
          </w:p>
        </w:tc>
        <w:tc>
          <w:tcPr>
            <w:tcW w:w="3143" w:type="dxa"/>
            <w:tcBorders>
              <w:bottom w:val="single" w:sz="4" w:space="0" w:color="auto"/>
            </w:tcBorders>
          </w:tcPr>
          <w:p w:rsidR="000D6791" w:rsidRDefault="000D6791" w:rsidP="004F2B82">
            <w:pPr>
              <w:ind w:left="-15"/>
            </w:pPr>
            <w:r>
              <w:t>In addition to continuing existing capabilities:</w:t>
            </w:r>
          </w:p>
          <w:p w:rsidR="000D6791" w:rsidRPr="00CC656C" w:rsidRDefault="000D6791" w:rsidP="004F2B82">
            <w:pPr>
              <w:pStyle w:val="ListParagraph"/>
              <w:numPr>
                <w:ilvl w:val="0"/>
                <w:numId w:val="6"/>
              </w:numPr>
              <w:ind w:left="268" w:hanging="283"/>
              <w:rPr>
                <w:sz w:val="18"/>
                <w:szCs w:val="18"/>
              </w:rPr>
            </w:pPr>
            <w:r>
              <w:t xml:space="preserve">Enhance </w:t>
            </w:r>
            <w:r w:rsidRPr="00524B1D">
              <w:t>fabrication focus</w:t>
            </w:r>
            <w:r>
              <w:t xml:space="preserve"> on packaging and integration capabilities</w:t>
            </w:r>
          </w:p>
          <w:p w:rsidR="000D6791" w:rsidRPr="009829EE" w:rsidRDefault="00D04046" w:rsidP="00D04046">
            <w:pPr>
              <w:pStyle w:val="ListParagraph"/>
              <w:numPr>
                <w:ilvl w:val="0"/>
                <w:numId w:val="6"/>
              </w:numPr>
              <w:ind w:left="268" w:hanging="283"/>
              <w:rPr>
                <w:sz w:val="18"/>
                <w:szCs w:val="18"/>
              </w:rPr>
            </w:pPr>
            <w:r>
              <w:t>Convergence of imaging and c</w:t>
            </w:r>
            <w:r w:rsidR="000D6791">
              <w:t>haracterisation capabilities</w:t>
            </w:r>
          </w:p>
        </w:tc>
        <w:tc>
          <w:tcPr>
            <w:tcW w:w="5362" w:type="dxa"/>
            <w:tcBorders>
              <w:bottom w:val="single" w:sz="4" w:space="0" w:color="auto"/>
            </w:tcBorders>
          </w:tcPr>
          <w:p w:rsidR="000D6791" w:rsidRPr="009A6852" w:rsidRDefault="000D6791" w:rsidP="004F2B82">
            <w:pPr>
              <w:pStyle w:val="ListParagraph"/>
              <w:numPr>
                <w:ilvl w:val="0"/>
                <w:numId w:val="6"/>
              </w:numPr>
              <w:ind w:left="268" w:hanging="283"/>
            </w:pPr>
            <w:r>
              <w:t xml:space="preserve">Development of a </w:t>
            </w:r>
            <w:r w:rsidR="00D04046">
              <w:t>precision m</w:t>
            </w:r>
            <w:r w:rsidRPr="00CC656C">
              <w:t>easurement</w:t>
            </w:r>
            <w:r>
              <w:t xml:space="preserve"> capability</w:t>
            </w:r>
          </w:p>
          <w:p w:rsidR="000D6791" w:rsidRDefault="000D6791" w:rsidP="004F2B82">
            <w:pPr>
              <w:pStyle w:val="ListParagraph"/>
              <w:numPr>
                <w:ilvl w:val="0"/>
                <w:numId w:val="6"/>
              </w:numPr>
              <w:ind w:left="268" w:hanging="283"/>
            </w:pPr>
            <w:r>
              <w:t>National c</w:t>
            </w:r>
            <w:r w:rsidRPr="009A6852">
              <w:t>hemistry</w:t>
            </w:r>
            <w:r>
              <w:t xml:space="preserve"> capability</w:t>
            </w:r>
          </w:p>
          <w:p w:rsidR="000D6791" w:rsidRPr="009A6852" w:rsidRDefault="000D6791" w:rsidP="004F2B82">
            <w:pPr>
              <w:pStyle w:val="ListParagraph"/>
              <w:numPr>
                <w:ilvl w:val="0"/>
                <w:numId w:val="6"/>
              </w:numPr>
              <w:ind w:left="268" w:hanging="283"/>
            </w:pPr>
            <w:r>
              <w:t xml:space="preserve">Space science capability </w:t>
            </w:r>
          </w:p>
          <w:p w:rsidR="000D6791" w:rsidRPr="009A6852" w:rsidRDefault="000D6791" w:rsidP="004F2B82"/>
        </w:tc>
      </w:tr>
    </w:tbl>
    <w:p w:rsidR="000D6791" w:rsidRDefault="000D6791" w:rsidP="000D6791">
      <w:pPr>
        <w:rPr>
          <w:rFonts w:ascii="Calibri" w:eastAsiaTheme="majorEastAsia" w:hAnsi="Calibri" w:cstheme="majorBidi"/>
          <w:bCs/>
          <w:color w:val="000000" w:themeColor="text1"/>
          <w:sz w:val="18"/>
          <w:szCs w:val="18"/>
        </w:rPr>
      </w:pPr>
    </w:p>
    <w:tbl>
      <w:tblPr>
        <w:tblStyle w:val="TableGrid"/>
        <w:tblW w:w="9498" w:type="dxa"/>
        <w:tblInd w:w="-34" w:type="dxa"/>
        <w:tblLook w:val="04A0" w:firstRow="1" w:lastRow="0" w:firstColumn="1" w:lastColumn="0" w:noHBand="0" w:noVBand="1"/>
        <w:tblCaption w:val="Table cell containing Questions 21, 22 &amp; 23"/>
        <w:tblDescription w:val="Q21: Are the identified emerging directions and research infrastructure capabilities for Advanced Physics, Chemistry, Mathematics and Materials right? Are there any missing or additional needed?&#10;Q22: Are there any international research infrastructure collaborations or emerging projects that Australia should engage in over the next ten years and beyond?&#10;Q23: Is there anything else that needs to be included or considered in the 2016 Roadmap for the Advanced Physics, Chemistry, Mathematics and Materials capability area?&#10;"/>
      </w:tblPr>
      <w:tblGrid>
        <w:gridCol w:w="9498"/>
      </w:tblGrid>
      <w:tr w:rsidR="000D6791" w:rsidRPr="00E70C42" w:rsidTr="00676CA8">
        <w:tc>
          <w:tcPr>
            <w:tcW w:w="9498" w:type="dxa"/>
            <w:shd w:val="clear" w:color="auto" w:fill="FFC000"/>
          </w:tcPr>
          <w:p w:rsidR="000D6791" w:rsidRPr="00E70C42" w:rsidRDefault="000D6791" w:rsidP="00676CA8">
            <w:pPr>
              <w:autoSpaceDE w:val="0"/>
              <w:autoSpaceDN w:val="0"/>
              <w:adjustRightInd w:val="0"/>
              <w:spacing w:before="180" w:after="180" w:line="276" w:lineRule="auto"/>
              <w:ind w:left="1418" w:hanging="1276"/>
              <w:rPr>
                <w:rFonts w:cstheme="minorHAnsi"/>
                <w:b/>
              </w:rPr>
            </w:pPr>
            <w:r w:rsidRPr="00E70C42">
              <w:rPr>
                <w:rFonts w:cstheme="minorHAnsi"/>
                <w:b/>
              </w:rPr>
              <w:t>Question 2</w:t>
            </w:r>
            <w:r w:rsidR="00DE7B22">
              <w:rPr>
                <w:rFonts w:cstheme="minorHAnsi"/>
                <w:b/>
              </w:rPr>
              <w:t>1</w:t>
            </w:r>
            <w:r w:rsidRPr="00E70C42">
              <w:rPr>
                <w:rFonts w:cstheme="minorHAnsi"/>
                <w:b/>
              </w:rPr>
              <w:t>:</w:t>
            </w:r>
            <w:r w:rsidRPr="00E70C42">
              <w:rPr>
                <w:rFonts w:cstheme="minorHAnsi"/>
                <w:b/>
              </w:rPr>
              <w:tab/>
              <w:t xml:space="preserve">Are the identified emerging directions and research infrastructure capabilities for Advanced Physics, Chemistry, </w:t>
            </w:r>
            <w:r w:rsidR="00B526B8" w:rsidRPr="00E70C42">
              <w:rPr>
                <w:rFonts w:cstheme="minorHAnsi"/>
                <w:b/>
              </w:rPr>
              <w:t xml:space="preserve">Mathematics </w:t>
            </w:r>
            <w:r w:rsidR="00B526B8">
              <w:rPr>
                <w:rFonts w:cstheme="minorHAnsi"/>
                <w:b/>
              </w:rPr>
              <w:t xml:space="preserve">and </w:t>
            </w:r>
            <w:r w:rsidRPr="00E70C42">
              <w:rPr>
                <w:rFonts w:cstheme="minorHAnsi"/>
                <w:b/>
              </w:rPr>
              <w:t>Materials right? Are there any missing or additional needed?</w:t>
            </w:r>
          </w:p>
          <w:p w:rsidR="000D6791" w:rsidRPr="00E70C42" w:rsidRDefault="000D6791" w:rsidP="00676CA8">
            <w:pPr>
              <w:autoSpaceDE w:val="0"/>
              <w:autoSpaceDN w:val="0"/>
              <w:adjustRightInd w:val="0"/>
              <w:spacing w:before="180" w:after="180" w:line="276" w:lineRule="auto"/>
              <w:ind w:left="1418" w:hanging="1276"/>
              <w:rPr>
                <w:rFonts w:cstheme="minorHAnsi"/>
                <w:b/>
              </w:rPr>
            </w:pPr>
            <w:r w:rsidRPr="00E70C42">
              <w:rPr>
                <w:rFonts w:cstheme="minorHAnsi"/>
                <w:b/>
              </w:rPr>
              <w:t>Question 2</w:t>
            </w:r>
            <w:r w:rsidR="00DE7B22">
              <w:rPr>
                <w:rFonts w:cstheme="minorHAnsi"/>
                <w:b/>
              </w:rPr>
              <w:t>2</w:t>
            </w:r>
            <w:r w:rsidRPr="00E70C42">
              <w:rPr>
                <w:rFonts w:cstheme="minorHAnsi"/>
                <w:b/>
              </w:rPr>
              <w:t>:</w:t>
            </w:r>
            <w:r w:rsidRPr="00E70C42">
              <w:rPr>
                <w:rFonts w:cstheme="minorHAnsi"/>
                <w:b/>
              </w:rPr>
              <w:tab/>
              <w:t>Are there any international research infrastructure collaborations or emerging projects that Australia should engage in over the next ten years and beyond?</w:t>
            </w:r>
          </w:p>
          <w:p w:rsidR="000D6791" w:rsidRPr="00E70C42" w:rsidRDefault="000D6791" w:rsidP="00B526B8">
            <w:pPr>
              <w:autoSpaceDE w:val="0"/>
              <w:autoSpaceDN w:val="0"/>
              <w:adjustRightInd w:val="0"/>
              <w:spacing w:before="200" w:after="180" w:line="276" w:lineRule="auto"/>
              <w:ind w:left="1418" w:hanging="1276"/>
              <w:rPr>
                <w:b/>
              </w:rPr>
            </w:pPr>
            <w:r w:rsidRPr="00E70C42">
              <w:rPr>
                <w:rFonts w:cstheme="minorHAnsi"/>
                <w:b/>
              </w:rPr>
              <w:t>Question 2</w:t>
            </w:r>
            <w:r w:rsidR="00DE7B22">
              <w:rPr>
                <w:rFonts w:cstheme="minorHAnsi"/>
                <w:b/>
              </w:rPr>
              <w:t>3</w:t>
            </w:r>
            <w:r w:rsidRPr="00E70C42">
              <w:rPr>
                <w:rFonts w:cstheme="minorHAnsi"/>
                <w:b/>
              </w:rPr>
              <w:t>:</w:t>
            </w:r>
            <w:r w:rsidRPr="00E70C42">
              <w:rPr>
                <w:rFonts w:cstheme="minorHAnsi"/>
                <w:b/>
              </w:rPr>
              <w:tab/>
              <w:t xml:space="preserve">Is there anything else that needs to be included or considered in the 2016 Roadmap for the Advanced Physics, Chemistry, </w:t>
            </w:r>
            <w:r w:rsidR="00B526B8" w:rsidRPr="00E70C42">
              <w:rPr>
                <w:rFonts w:cstheme="minorHAnsi"/>
                <w:b/>
              </w:rPr>
              <w:t xml:space="preserve">Mathematics </w:t>
            </w:r>
            <w:r w:rsidR="00B526B8">
              <w:rPr>
                <w:rFonts w:cstheme="minorHAnsi"/>
                <w:b/>
              </w:rPr>
              <w:t xml:space="preserve">and </w:t>
            </w:r>
            <w:r w:rsidRPr="00E70C42">
              <w:rPr>
                <w:rFonts w:cstheme="minorHAnsi"/>
                <w:b/>
              </w:rPr>
              <w:t>Materials</w:t>
            </w:r>
            <w:r w:rsidR="00B526B8">
              <w:rPr>
                <w:rFonts w:cstheme="minorHAnsi"/>
                <w:b/>
              </w:rPr>
              <w:t xml:space="preserve"> </w:t>
            </w:r>
            <w:r w:rsidRPr="00E70C42">
              <w:rPr>
                <w:rFonts w:cstheme="minorHAnsi"/>
                <w:b/>
              </w:rPr>
              <w:t>capability area?</w:t>
            </w:r>
          </w:p>
        </w:tc>
      </w:tr>
    </w:tbl>
    <w:p w:rsidR="000D6791" w:rsidRPr="00252453" w:rsidRDefault="000D6791" w:rsidP="000D6791"/>
    <w:p w:rsidR="000D6791" w:rsidRPr="00620F1A" w:rsidRDefault="000D6791" w:rsidP="000D6791">
      <w:pPr>
        <w:rPr>
          <w:rFonts w:eastAsia="Calibri"/>
        </w:rPr>
      </w:pPr>
    </w:p>
    <w:p w:rsidR="006F6152" w:rsidRDefault="006F6152">
      <w:r>
        <w:br w:type="page"/>
      </w:r>
    </w:p>
    <w:p w:rsidR="004F2B82" w:rsidRPr="00B8025F" w:rsidRDefault="004F2B82" w:rsidP="004F2B82">
      <w:pPr>
        <w:pStyle w:val="Heading1"/>
      </w:pPr>
      <w:bookmarkStart w:id="30" w:name="_Toc456257333"/>
      <w:bookmarkStart w:id="31" w:name="_Toc456042395"/>
      <w:bookmarkStart w:id="32" w:name="_Toc456449024"/>
      <w:bookmarkEnd w:id="23"/>
      <w:r w:rsidRPr="00B8025F">
        <w:lastRenderedPageBreak/>
        <w:t>Understanding Cultures and Communities</w:t>
      </w:r>
      <w:bookmarkEnd w:id="30"/>
      <w:bookmarkEnd w:id="31"/>
      <w:bookmarkEnd w:id="32"/>
    </w:p>
    <w:p w:rsidR="004F2B82" w:rsidRDefault="004F2B82" w:rsidP="004F2B82">
      <w:pPr>
        <w:rPr>
          <w:rFonts w:cstheme="minorHAnsi"/>
        </w:rPr>
      </w:pPr>
      <w:r w:rsidRPr="00306CAC">
        <w:rPr>
          <w:rFonts w:cstheme="minorHAnsi"/>
        </w:rPr>
        <w:t>Understand</w:t>
      </w:r>
      <w:r>
        <w:rPr>
          <w:rFonts w:cstheme="minorHAnsi"/>
        </w:rPr>
        <w:t>ing Cultures and Communities (</w:t>
      </w:r>
      <w:proofErr w:type="spellStart"/>
      <w:r>
        <w:rPr>
          <w:rFonts w:cstheme="minorHAnsi"/>
        </w:rPr>
        <w:t>UCC</w:t>
      </w:r>
      <w:proofErr w:type="spellEnd"/>
      <w:r>
        <w:rPr>
          <w:rFonts w:cstheme="minorHAnsi"/>
        </w:rPr>
        <w:t xml:space="preserve">) is exactly about that: understanding human, cultural and societal processes, trends and interactions. This area of research is critical to making sense of our world and the role that people, cultures and communities play in shaping it. By its very definition, </w:t>
      </w:r>
      <w:proofErr w:type="spellStart"/>
      <w:r>
        <w:rPr>
          <w:rFonts w:cstheme="minorHAnsi"/>
        </w:rPr>
        <w:t>UCC</w:t>
      </w:r>
      <w:proofErr w:type="spellEnd"/>
      <w:r>
        <w:rPr>
          <w:rFonts w:cstheme="minorHAnsi"/>
        </w:rPr>
        <w:t xml:space="preserve"> is a broad and diverse research area, covering the domains traditionally identified under the humanities, arts and social sciences (HASS), and consequentially has broad and diverse research infrastructure needs. </w:t>
      </w:r>
    </w:p>
    <w:p w:rsidR="004F2B82" w:rsidRDefault="004F2B82" w:rsidP="004F2B82">
      <w:r>
        <w:t xml:space="preserve">The lists of capabilities presented here are neither exhaustive nor prioritised. </w:t>
      </w:r>
    </w:p>
    <w:p w:rsidR="004F2B82" w:rsidRPr="000F01EF" w:rsidRDefault="004F2B82" w:rsidP="004F2B82">
      <w:pPr>
        <w:pStyle w:val="Heading2"/>
        <w:ind w:left="567"/>
      </w:pPr>
      <w:r w:rsidRPr="000F01EF">
        <w:t>Emerging directions</w:t>
      </w:r>
    </w:p>
    <w:p w:rsidR="004F2B82" w:rsidRDefault="004F2B82" w:rsidP="004F2B82">
      <w:pPr>
        <w:pStyle w:val="Heading3"/>
      </w:pPr>
      <w:r>
        <w:t>Innovation and translation</w:t>
      </w:r>
    </w:p>
    <w:p w:rsidR="004F2B82" w:rsidRPr="00A03AF5" w:rsidRDefault="004F2B82" w:rsidP="004F2B82">
      <w:r>
        <w:t xml:space="preserve">Innovation and translation of research has been a major trend in the past decade, with the </w:t>
      </w:r>
      <w:r w:rsidRPr="00A03AF5">
        <w:rPr>
          <w:rFonts w:cstheme="minorHAnsi"/>
        </w:rPr>
        <w:t>Australian</w:t>
      </w:r>
      <w:r>
        <w:t xml:space="preserve"> Government increasing focus on innovation through its National Innovation and Science Agenda and with universities increasingly interested in innovation outcomes and research translation. </w:t>
      </w:r>
      <w:r w:rsidRPr="00323240">
        <w:rPr>
          <w:rFonts w:cstheme="minorHAnsi"/>
        </w:rPr>
        <w:t>There are numerous ways</w:t>
      </w:r>
      <w:r>
        <w:rPr>
          <w:rFonts w:cstheme="minorHAnsi"/>
        </w:rPr>
        <w:t xml:space="preserve"> that</w:t>
      </w:r>
      <w:r w:rsidRPr="00323240">
        <w:rPr>
          <w:rFonts w:cstheme="minorHAnsi"/>
        </w:rPr>
        <w:t xml:space="preserve"> advances in knowledge from </w:t>
      </w:r>
      <w:proofErr w:type="spellStart"/>
      <w:r>
        <w:rPr>
          <w:rFonts w:cstheme="minorHAnsi"/>
        </w:rPr>
        <w:t>UCC</w:t>
      </w:r>
      <w:proofErr w:type="spellEnd"/>
      <w:r>
        <w:rPr>
          <w:rFonts w:cstheme="minorHAnsi"/>
        </w:rPr>
        <w:t xml:space="preserve"> research </w:t>
      </w:r>
      <w:r w:rsidRPr="00323240">
        <w:rPr>
          <w:rFonts w:cstheme="minorHAnsi"/>
        </w:rPr>
        <w:t>can innovate to create better solutions to major unresolved problems of global significance. Innovation can involve developing new programs</w:t>
      </w:r>
      <w:r>
        <w:rPr>
          <w:rFonts w:cstheme="minorHAnsi"/>
        </w:rPr>
        <w:t>,</w:t>
      </w:r>
      <w:r w:rsidRPr="00323240">
        <w:rPr>
          <w:rFonts w:cstheme="minorHAnsi"/>
        </w:rPr>
        <w:t xml:space="preserve"> interventions</w:t>
      </w:r>
      <w:r>
        <w:rPr>
          <w:rFonts w:cstheme="minorHAnsi"/>
        </w:rPr>
        <w:t xml:space="preserve"> or the adoption of unique findings from research activities to activities of national benefit.</w:t>
      </w:r>
      <w:r w:rsidRPr="00502421">
        <w:rPr>
          <w:rFonts w:cstheme="minorHAnsi"/>
        </w:rPr>
        <w:t xml:space="preserve"> </w:t>
      </w:r>
    </w:p>
    <w:p w:rsidR="004F2B82" w:rsidRPr="00A03AF5" w:rsidRDefault="004F2B82" w:rsidP="004F2B82">
      <w:r>
        <w:rPr>
          <w:rFonts w:cstheme="minorHAnsi"/>
        </w:rPr>
        <w:t>There are important ethical and community dimensions to the proper use of data in this domain, and therefore custodianship and curation needs to take account of community and cultural sensitivities and associated rights.</w:t>
      </w:r>
    </w:p>
    <w:p w:rsidR="004F2B82" w:rsidRDefault="004F2B82" w:rsidP="004F2B82">
      <w:pPr>
        <w:pStyle w:val="Heading3"/>
      </w:pPr>
      <w:r w:rsidRPr="005414A4">
        <w:t xml:space="preserve">Digital </w:t>
      </w:r>
      <w:r>
        <w:t>h</w:t>
      </w:r>
      <w:r w:rsidRPr="005414A4">
        <w:t>umanities</w:t>
      </w:r>
      <w:r>
        <w:t xml:space="preserve"> and digital repatriation</w:t>
      </w:r>
    </w:p>
    <w:p w:rsidR="004F2B82" w:rsidRDefault="004F2B82" w:rsidP="004F2B82">
      <w:pPr>
        <w:ind w:right="-330"/>
        <w:rPr>
          <w:rFonts w:cstheme="minorHAnsi"/>
        </w:rPr>
      </w:pPr>
      <w:r>
        <w:rPr>
          <w:rFonts w:cstheme="minorHAnsi"/>
        </w:rPr>
        <w:t xml:space="preserve">The use of massive datasets and sophisticated digital tools, techniques and technologies has become increasingly important to humanities research. Digital humanities research and its related infrastructure </w:t>
      </w:r>
      <w:proofErr w:type="gramStart"/>
      <w:r>
        <w:rPr>
          <w:rFonts w:cstheme="minorHAnsi"/>
        </w:rPr>
        <w:t>is</w:t>
      </w:r>
      <w:proofErr w:type="gramEnd"/>
      <w:r>
        <w:rPr>
          <w:rFonts w:cstheme="minorHAnsi"/>
        </w:rPr>
        <w:t xml:space="preserve"> at the forefront of capturing born-digital cultural data, especially cultural content developed through digital content generation and social media. T</w:t>
      </w:r>
      <w:r w:rsidRPr="00EB0D6D">
        <w:rPr>
          <w:rFonts w:cstheme="minorHAnsi"/>
        </w:rPr>
        <w:t>he National Library of Australia’</w:t>
      </w:r>
      <w:r>
        <w:rPr>
          <w:rFonts w:cstheme="minorHAnsi"/>
        </w:rPr>
        <w:t>s</w:t>
      </w:r>
      <w:r w:rsidRPr="00EB0D6D">
        <w:rPr>
          <w:rFonts w:cstheme="minorHAnsi"/>
        </w:rPr>
        <w:t xml:space="preserve"> Trove</w:t>
      </w:r>
      <w:r>
        <w:rPr>
          <w:rFonts w:cstheme="minorHAnsi"/>
        </w:rPr>
        <w:t xml:space="preserve"> has emerged as the nation’s</w:t>
      </w:r>
      <w:r w:rsidRPr="00EB0D6D">
        <w:rPr>
          <w:rFonts w:cstheme="minorHAnsi"/>
        </w:rPr>
        <w:t xml:space="preserve"> core </w:t>
      </w:r>
      <w:r>
        <w:rPr>
          <w:rFonts w:cstheme="minorHAnsi"/>
        </w:rPr>
        <w:t xml:space="preserve">digital humanities </w:t>
      </w:r>
      <w:r w:rsidRPr="00EB0D6D">
        <w:rPr>
          <w:rFonts w:cstheme="minorHAnsi"/>
        </w:rPr>
        <w:t xml:space="preserve">research </w:t>
      </w:r>
      <w:r>
        <w:rPr>
          <w:rFonts w:cstheme="minorHAnsi"/>
        </w:rPr>
        <w:t xml:space="preserve">infrastructure, enabling </w:t>
      </w:r>
      <w:r w:rsidRPr="00EB0D6D">
        <w:rPr>
          <w:rFonts w:cstheme="minorHAnsi"/>
        </w:rPr>
        <w:t>a paradigm shift for humanities researchers</w:t>
      </w:r>
      <w:r>
        <w:rPr>
          <w:rFonts w:cstheme="minorHAnsi"/>
        </w:rPr>
        <w:t>,</w:t>
      </w:r>
      <w:r w:rsidRPr="00EB0D6D">
        <w:rPr>
          <w:rFonts w:cstheme="minorHAnsi"/>
        </w:rPr>
        <w:t xml:space="preserve"> providing a powerful platform to build sophisticated tools and techniques.</w:t>
      </w:r>
    </w:p>
    <w:p w:rsidR="004F2B82" w:rsidRDefault="004F2B82" w:rsidP="004F2B82">
      <w:pPr>
        <w:rPr>
          <w:rFonts w:cstheme="minorHAnsi"/>
        </w:rPr>
      </w:pPr>
      <w:r>
        <w:rPr>
          <w:rFonts w:cstheme="minorHAnsi"/>
        </w:rPr>
        <w:t xml:space="preserve">Digital repatriation is an issue of increasing interest and importance in the digital humanities, particularly as datasets containing data on communities whose collection was not based on free and informed consent, are digitised and made available freely online. However, digital repatriation also provides an opportunity for individuals and communities to regain control and management of data that was collected in the past. Digital repatriation exists as both a technical and ethical issue. </w:t>
      </w:r>
    </w:p>
    <w:p w:rsidR="004F2B82" w:rsidRDefault="004F2B82" w:rsidP="004F2B82">
      <w:pPr>
        <w:rPr>
          <w:rFonts w:cstheme="minorHAnsi"/>
        </w:rPr>
      </w:pPr>
      <w:r>
        <w:rPr>
          <w:rFonts w:cstheme="minorHAnsi"/>
        </w:rPr>
        <w:t>The digital humanities, as a discipline, have a heavy reliance on digitisation technologies</w:t>
      </w:r>
      <w:r w:rsidR="008B6894">
        <w:rPr>
          <w:rFonts w:cstheme="minorHAnsi"/>
        </w:rPr>
        <w:t xml:space="preserve"> that are</w:t>
      </w:r>
      <w:r>
        <w:rPr>
          <w:rFonts w:cstheme="minorHAnsi"/>
        </w:rPr>
        <w:t xml:space="preserve"> explored in </w:t>
      </w:r>
      <w:r w:rsidR="004A53A0">
        <w:rPr>
          <w:rFonts w:cstheme="minorHAnsi"/>
        </w:rPr>
        <w:t>Chapter 10</w:t>
      </w:r>
      <w:r>
        <w:rPr>
          <w:rFonts w:cstheme="minorHAnsi"/>
        </w:rPr>
        <w:t xml:space="preserve"> Underpinning Research Infrastructure.</w:t>
      </w:r>
    </w:p>
    <w:p w:rsidR="00794BA1" w:rsidRDefault="00794BA1" w:rsidP="004F2B82">
      <w:pPr>
        <w:rPr>
          <w:rFonts w:cstheme="minorHAnsi"/>
        </w:rPr>
      </w:pPr>
    </w:p>
    <w:p w:rsidR="004F2B82" w:rsidRPr="005414A4" w:rsidRDefault="004F2B82" w:rsidP="004F2B82">
      <w:pPr>
        <w:pStyle w:val="Heading3"/>
      </w:pPr>
      <w:r>
        <w:lastRenderedPageBreak/>
        <w:t>Future r</w:t>
      </w:r>
      <w:r w:rsidRPr="005414A4">
        <w:t>ole of cultural</w:t>
      </w:r>
      <w:r>
        <w:t xml:space="preserve"> and data</w:t>
      </w:r>
      <w:r w:rsidRPr="005414A4">
        <w:t xml:space="preserve"> institutions</w:t>
      </w:r>
    </w:p>
    <w:p w:rsidR="004F2B82" w:rsidRDefault="004F2B82" w:rsidP="004F2B82">
      <w:r>
        <w:t xml:space="preserve">National and state cultural collecting institutions are a vital set of national research infrastructure to researchers. They provide access to historical documents, cultural artefacts, images, sound recordings and art collections, as well as the vast data holdings of the state and federal governments. Newly emerging digital tools created by these institutions are becoming </w:t>
      </w:r>
      <w:r w:rsidRPr="00F93095">
        <w:rPr>
          <w:rFonts w:cstheme="minorHAnsi"/>
        </w:rPr>
        <w:t>indispensable</w:t>
      </w:r>
      <w:r>
        <w:t>. Maintenance, preservation and ready access to these collections is a key emerging concern to ensure that the use, value and potential of these national assets is maximised.</w:t>
      </w:r>
    </w:p>
    <w:p w:rsidR="004F2B82" w:rsidRDefault="004F2B82" w:rsidP="00676CA8">
      <w:pPr>
        <w:spacing w:after="0"/>
        <w:ind w:right="-188"/>
      </w:pPr>
      <w:r w:rsidRPr="005414A4">
        <w:t>Research infrastructure-like activities currently undertaken at national cultural institutions</w:t>
      </w:r>
      <w:r>
        <w:t xml:space="preserve"> need to be supported and recognised as core national infrastructure, as important as any other research infrastructure holding, and just as irreplaceable. This includes consideration on the research </w:t>
      </w:r>
      <w:r w:rsidRPr="000E1268">
        <w:rPr>
          <w:rFonts w:cstheme="minorHAnsi"/>
        </w:rPr>
        <w:t>impact</w:t>
      </w:r>
      <w:r>
        <w:t xml:space="preserve"> of changes to the development, curation and availability of data and services, and the flow-on impact these decisions may have on longitudinal and long-term research and research infrastructure activities.</w:t>
      </w:r>
    </w:p>
    <w:p w:rsidR="004F2B82" w:rsidRPr="000F01EF" w:rsidRDefault="004F2B82" w:rsidP="004F2B82">
      <w:pPr>
        <w:pStyle w:val="Heading2"/>
        <w:ind w:left="567"/>
      </w:pPr>
      <w:r w:rsidRPr="000F01EF">
        <w:t>Current Capabilit</w:t>
      </w:r>
      <w:r w:rsidR="0084295C">
        <w:t>ies</w:t>
      </w:r>
      <w:r w:rsidRPr="000F01EF">
        <w:t xml:space="preserve"> </w:t>
      </w:r>
      <w:r>
        <w:t>and Emerging Capability Needs</w:t>
      </w:r>
    </w:p>
    <w:p w:rsidR="004F2B82" w:rsidRPr="005414A4" w:rsidRDefault="004F2B82" w:rsidP="004F2B82">
      <w:pPr>
        <w:pStyle w:val="Heading3"/>
      </w:pPr>
      <w:r w:rsidRPr="005414A4">
        <w:t xml:space="preserve">Urban </w:t>
      </w:r>
      <w:r>
        <w:t>s</w:t>
      </w:r>
      <w:r w:rsidRPr="005414A4">
        <w:t>ettlements</w:t>
      </w:r>
    </w:p>
    <w:p w:rsidR="004F2B82" w:rsidRDefault="004F2B82" w:rsidP="004F2B82">
      <w:pPr>
        <w:spacing w:after="0"/>
        <w:rPr>
          <w:rFonts w:cstheme="minorHAnsi"/>
        </w:rPr>
      </w:pPr>
      <w:r>
        <w:rPr>
          <w:rFonts w:cstheme="minorHAnsi"/>
        </w:rPr>
        <w:t xml:space="preserve">The </w:t>
      </w:r>
      <w:r w:rsidRPr="00CE575F">
        <w:rPr>
          <w:rFonts w:cstheme="minorHAnsi"/>
        </w:rPr>
        <w:t xml:space="preserve">capability </w:t>
      </w:r>
      <w:r>
        <w:rPr>
          <w:rFonts w:cstheme="minorHAnsi"/>
        </w:rPr>
        <w:t>to</w:t>
      </w:r>
      <w:r w:rsidRPr="00CE575F">
        <w:rPr>
          <w:rFonts w:cstheme="minorHAnsi"/>
        </w:rPr>
        <w:t xml:space="preserve"> enable the collection and integration</w:t>
      </w:r>
      <w:r>
        <w:rPr>
          <w:rFonts w:cstheme="minorHAnsi"/>
        </w:rPr>
        <w:t xml:space="preserve"> </w:t>
      </w:r>
      <w:r w:rsidRPr="00CE575F">
        <w:rPr>
          <w:rFonts w:cstheme="minorHAnsi"/>
        </w:rPr>
        <w:t>of datasets covering the range of human activities by those working, investing and living in urban</w:t>
      </w:r>
      <w:r>
        <w:rPr>
          <w:rFonts w:cstheme="minorHAnsi"/>
        </w:rPr>
        <w:t xml:space="preserve"> </w:t>
      </w:r>
      <w:r w:rsidRPr="00CE575F">
        <w:rPr>
          <w:rFonts w:cstheme="minorHAnsi"/>
        </w:rPr>
        <w:t>areas</w:t>
      </w:r>
      <w:r>
        <w:rPr>
          <w:rFonts w:cstheme="minorHAnsi"/>
        </w:rPr>
        <w:t xml:space="preserve"> is still required, with governments at all levels demonstrating renewed policy focus on cities and sustainability. </w:t>
      </w:r>
      <w:proofErr w:type="gramStart"/>
      <w:r>
        <w:rPr>
          <w:rFonts w:cstheme="minorHAnsi"/>
        </w:rPr>
        <w:t>eResearch</w:t>
      </w:r>
      <w:proofErr w:type="gramEnd"/>
      <w:r>
        <w:rPr>
          <w:rFonts w:cstheme="minorHAnsi"/>
        </w:rPr>
        <w:t xml:space="preserve"> tools need to be augmented to link environmental and geoscientific datasets to form a holistic picture of urban settlements. The integration of societal observation data, along with environmental observational data, will enable a new paradigm of urban research, enabling a more fulsome research effort on the design, operation, sustainability and liveability of urban environments and the impact that changes are having.</w:t>
      </w:r>
    </w:p>
    <w:p w:rsidR="004F2B82" w:rsidRPr="005414A4" w:rsidRDefault="004F2B82" w:rsidP="004F2B82">
      <w:pPr>
        <w:pStyle w:val="Heading3"/>
      </w:pPr>
      <w:r w:rsidRPr="005414A4">
        <w:t xml:space="preserve">National </w:t>
      </w:r>
      <w:r>
        <w:t xml:space="preserve">and </w:t>
      </w:r>
      <w:r w:rsidR="0084295C">
        <w:t>s</w:t>
      </w:r>
      <w:r>
        <w:t>tate i</w:t>
      </w:r>
      <w:r w:rsidRPr="005414A4">
        <w:t>nstitutions</w:t>
      </w:r>
    </w:p>
    <w:p w:rsidR="004F2B82" w:rsidRDefault="004F2B82" w:rsidP="004F2B82">
      <w:r>
        <w:t xml:space="preserve">The ability to compare, contrast, manipulate, link and integrate the holdings of national and state institutions, particularly via digital technologies, enables researchers, regardless of their physical location, to conduct research on national cultural holdings, which maximises access and utilisation of these holdings. Access to historical documents, images, cultural artefacts, art collections and the vast data holdings of governments is core to </w:t>
      </w:r>
      <w:proofErr w:type="spellStart"/>
      <w:r>
        <w:t>UCC</w:t>
      </w:r>
      <w:proofErr w:type="spellEnd"/>
      <w:r>
        <w:t>. Maintenance of these holdings is an increasing challenge that needs to be addressed.</w:t>
      </w:r>
    </w:p>
    <w:p w:rsidR="004F2B82" w:rsidRDefault="004F2B82" w:rsidP="004F2B82">
      <w:r>
        <w:t xml:space="preserve">The capability of national cultural and data institutions’ research infrastructure provision can be enhanced through integration and increased harmonisation of data standards, and the provision of tools and techniques to increase data interoperability. </w:t>
      </w:r>
    </w:p>
    <w:p w:rsidR="004F2B82" w:rsidRPr="000F01EF" w:rsidRDefault="004F2B82" w:rsidP="004F2B82">
      <w:pPr>
        <w:pStyle w:val="Heading2"/>
        <w:ind w:left="567"/>
      </w:pPr>
      <w:r>
        <w:t xml:space="preserve">Desirable </w:t>
      </w:r>
      <w:r w:rsidRPr="000F01EF">
        <w:t xml:space="preserve">New </w:t>
      </w:r>
      <w:r>
        <w:t>C</w:t>
      </w:r>
      <w:r w:rsidRPr="000F01EF">
        <w:t>apabilities</w:t>
      </w:r>
    </w:p>
    <w:p w:rsidR="004F2B82" w:rsidRPr="005414A4" w:rsidRDefault="004F2B82" w:rsidP="004F2B82">
      <w:pPr>
        <w:pStyle w:val="Heading3"/>
      </w:pPr>
      <w:r w:rsidRPr="005414A4">
        <w:t xml:space="preserve">National </w:t>
      </w:r>
      <w:r>
        <w:t>d</w:t>
      </w:r>
      <w:r w:rsidRPr="005414A4">
        <w:t xml:space="preserve">igital </w:t>
      </w:r>
      <w:r>
        <w:t>h</w:t>
      </w:r>
      <w:r w:rsidRPr="005414A4">
        <w:t xml:space="preserve">umanities </w:t>
      </w:r>
      <w:r>
        <w:t>c</w:t>
      </w:r>
      <w:r w:rsidRPr="005414A4">
        <w:t>apability</w:t>
      </w:r>
    </w:p>
    <w:p w:rsidR="004F2B82" w:rsidRDefault="004F2B82" w:rsidP="004F2B82">
      <w:pPr>
        <w:rPr>
          <w:rFonts w:cstheme="minorHAnsi"/>
        </w:rPr>
      </w:pPr>
      <w:r>
        <w:rPr>
          <w:rFonts w:cstheme="minorHAnsi"/>
        </w:rPr>
        <w:t>The national digital humanities c</w:t>
      </w:r>
      <w:r w:rsidRPr="006129FE">
        <w:rPr>
          <w:rFonts w:cstheme="minorHAnsi"/>
        </w:rPr>
        <w:t>apability is required to make both old and new data discoverable</w:t>
      </w:r>
      <w:r>
        <w:rPr>
          <w:rFonts w:cstheme="minorHAnsi"/>
        </w:rPr>
        <w:t xml:space="preserve"> </w:t>
      </w:r>
      <w:r w:rsidRPr="006129FE">
        <w:rPr>
          <w:rFonts w:cstheme="minorHAnsi"/>
        </w:rPr>
        <w:t>and usable and to extract greater value from existing collections that are as varied as statistical</w:t>
      </w:r>
      <w:r>
        <w:rPr>
          <w:rFonts w:cstheme="minorHAnsi"/>
        </w:rPr>
        <w:t xml:space="preserve"> </w:t>
      </w:r>
      <w:r w:rsidRPr="006129FE">
        <w:rPr>
          <w:rFonts w:cstheme="minorHAnsi"/>
        </w:rPr>
        <w:t>data, manuscripts, documents, artefacts and audio-visual recordings</w:t>
      </w:r>
      <w:r>
        <w:rPr>
          <w:rFonts w:cstheme="minorHAnsi"/>
        </w:rPr>
        <w:t>, as well as collating and leveraging the vast array of born-digital content</w:t>
      </w:r>
      <w:r w:rsidRPr="006129FE">
        <w:rPr>
          <w:rFonts w:cstheme="minorHAnsi"/>
        </w:rPr>
        <w:t xml:space="preserve">. </w:t>
      </w:r>
      <w:r>
        <w:rPr>
          <w:rFonts w:cstheme="minorHAnsi"/>
        </w:rPr>
        <w:t xml:space="preserve">This capability will draw together, leverage and enhance </w:t>
      </w:r>
      <w:r>
        <w:rPr>
          <w:rFonts w:cstheme="minorHAnsi"/>
        </w:rPr>
        <w:lastRenderedPageBreak/>
        <w:t xml:space="preserve">existing investments in Trove, the Humanities National Infrastructure, the Australian Data Archive, and </w:t>
      </w:r>
      <w:r w:rsidR="008B6894">
        <w:rPr>
          <w:rFonts w:cstheme="minorHAnsi"/>
        </w:rPr>
        <w:t xml:space="preserve">the </w:t>
      </w:r>
      <w:r w:rsidR="008B6894" w:rsidRPr="00676CA8">
        <w:rPr>
          <w:rFonts w:cstheme="minorHAnsi"/>
        </w:rPr>
        <w:t>Australian Institute of Aboriginal and Torres Strait Islander Studies</w:t>
      </w:r>
      <w:r w:rsidR="008B6894">
        <w:rPr>
          <w:rFonts w:cstheme="minorHAnsi"/>
        </w:rPr>
        <w:t xml:space="preserve"> (</w:t>
      </w:r>
      <w:proofErr w:type="spellStart"/>
      <w:r w:rsidR="008B6894">
        <w:rPr>
          <w:rFonts w:cstheme="minorHAnsi"/>
        </w:rPr>
        <w:t>AIATSIS</w:t>
      </w:r>
      <w:proofErr w:type="spellEnd"/>
      <w:r w:rsidR="008B6894">
        <w:rPr>
          <w:rFonts w:cstheme="minorHAnsi"/>
        </w:rPr>
        <w:t xml:space="preserve">) </w:t>
      </w:r>
      <w:r>
        <w:rPr>
          <w:rFonts w:cstheme="minorHAnsi"/>
        </w:rPr>
        <w:t xml:space="preserve">digitised collections, amongst others, to integrate and support national digital humanities research. </w:t>
      </w:r>
    </w:p>
    <w:p w:rsidR="004F2B82" w:rsidRDefault="004F2B82" w:rsidP="004F2B82">
      <w:pPr>
        <w:pStyle w:val="Heading3"/>
      </w:pPr>
      <w:r w:rsidRPr="003F25C6">
        <w:t>Community</w:t>
      </w:r>
      <w:r w:rsidR="0084295C">
        <w:t xml:space="preserve"> </w:t>
      </w:r>
      <w:r w:rsidRPr="003F25C6">
        <w:t xml:space="preserve">managed </w:t>
      </w:r>
      <w:r>
        <w:t>c</w:t>
      </w:r>
      <w:r w:rsidRPr="003F25C6">
        <w:t xml:space="preserve">ultures and </w:t>
      </w:r>
      <w:r>
        <w:t>c</w:t>
      </w:r>
      <w:r w:rsidRPr="003F25C6">
        <w:t xml:space="preserve">ommunities </w:t>
      </w:r>
      <w:r>
        <w:t>r</w:t>
      </w:r>
      <w:r w:rsidRPr="003F25C6">
        <w:t xml:space="preserve">esearch </w:t>
      </w:r>
      <w:r>
        <w:t>i</w:t>
      </w:r>
      <w:r w:rsidRPr="003F25C6">
        <w:t xml:space="preserve">nfrastructure capability </w:t>
      </w:r>
    </w:p>
    <w:p w:rsidR="004F2B82" w:rsidRDefault="004F2B82" w:rsidP="004F2B82">
      <w:r>
        <w:t>A community</w:t>
      </w:r>
      <w:r w:rsidR="0084295C">
        <w:t xml:space="preserve"> </w:t>
      </w:r>
      <w:r>
        <w:t xml:space="preserve">managed cultures and communities research infrastructure capability is required to ensure that data collected on the nation’s culture and communities is managed and utilised ethically within a </w:t>
      </w:r>
      <w:r w:rsidRPr="00A03AF5">
        <w:rPr>
          <w:rFonts w:cstheme="minorHAnsi"/>
        </w:rPr>
        <w:t>framework</w:t>
      </w:r>
      <w:r>
        <w:t xml:space="preserve"> of community consent and control, ensuring full community awareness and, where desirable, participation. The study of cultures and communities is an area of continued importance – it tells the story of identity, heritage, and the shared journey of all members of Australian society.</w:t>
      </w:r>
    </w:p>
    <w:p w:rsidR="004F2B82" w:rsidRDefault="004F2B82" w:rsidP="004F2B82">
      <w:r>
        <w:t>This capability will include a s</w:t>
      </w:r>
      <w:r w:rsidRPr="0078205B">
        <w:t>ecure online system to deposit, manage and curate culturally sensitive data, including digital repatriated data, based on the system</w:t>
      </w:r>
      <w:r>
        <w:t xml:space="preserve"> and procedures</w:t>
      </w:r>
      <w:r w:rsidRPr="0078205B">
        <w:t xml:space="preserve"> established by </w:t>
      </w:r>
      <w:r>
        <w:t>Aboriginal and Torres Strait Islander Data Archive (</w:t>
      </w:r>
      <w:proofErr w:type="spellStart"/>
      <w:r>
        <w:t>ATSIDA</w:t>
      </w:r>
      <w:proofErr w:type="spellEnd"/>
      <w:r>
        <w:t>), and a c</w:t>
      </w:r>
      <w:r w:rsidRPr="0078205B">
        <w:t xml:space="preserve">ommunity controlled permissions system, based on the system being developed by </w:t>
      </w:r>
      <w:r>
        <w:t>National Centre for Indigenous Genomics</w:t>
      </w:r>
      <w:r w:rsidRPr="0078205B">
        <w:t>, to allow communities and individuals to exercise fine-grained consent and control over their data.</w:t>
      </w:r>
      <w:r>
        <w:t xml:space="preserve"> Of equal importance will be agreement and harmonisation of policy and procedures, including best practice guides and appropriate governance, for gathering, linking, sharing and repatriating cultural and community data, based on practices established by </w:t>
      </w:r>
      <w:proofErr w:type="spellStart"/>
      <w:r>
        <w:t>ATSIDA</w:t>
      </w:r>
      <w:proofErr w:type="spellEnd"/>
      <w:r>
        <w:t xml:space="preserve"> and </w:t>
      </w:r>
      <w:proofErr w:type="spellStart"/>
      <w:r>
        <w:t>AIATSIS</w:t>
      </w:r>
      <w:proofErr w:type="spellEnd"/>
      <w:r>
        <w:t>.</w:t>
      </w:r>
    </w:p>
    <w:p w:rsidR="004F2B82" w:rsidRDefault="004F2B82" w:rsidP="004F2B82">
      <w:pPr>
        <w:pStyle w:val="Heading3"/>
      </w:pPr>
      <w:r w:rsidRPr="003F25C6">
        <w:t xml:space="preserve">National </w:t>
      </w:r>
      <w:r>
        <w:t>n</w:t>
      </w:r>
      <w:r w:rsidRPr="003F25C6">
        <w:t xml:space="preserve">etwork for </w:t>
      </w:r>
      <w:r>
        <w:t>s</w:t>
      </w:r>
      <w:r w:rsidRPr="003F25C6">
        <w:t xml:space="preserve">ocial and </w:t>
      </w:r>
      <w:r>
        <w:t>b</w:t>
      </w:r>
      <w:r w:rsidRPr="003F25C6">
        <w:t xml:space="preserve">ehavioural </w:t>
      </w:r>
      <w:r>
        <w:t>s</w:t>
      </w:r>
      <w:r w:rsidRPr="003F25C6">
        <w:t xml:space="preserve">cience </w:t>
      </w:r>
      <w:r>
        <w:t>i</w:t>
      </w:r>
      <w:r w:rsidRPr="003F25C6">
        <w:t xml:space="preserve">nnovation </w:t>
      </w:r>
    </w:p>
    <w:p w:rsidR="004F2B82" w:rsidRDefault="004F2B82" w:rsidP="004F2B82">
      <w:pPr>
        <w:rPr>
          <w:rFonts w:cstheme="minorHAnsi"/>
        </w:rPr>
      </w:pPr>
      <w:r>
        <w:rPr>
          <w:rFonts w:cs="Calibri"/>
        </w:rPr>
        <w:t xml:space="preserve">There are many untapped opportunities for </w:t>
      </w:r>
      <w:r w:rsidRPr="00323240">
        <w:rPr>
          <w:rFonts w:cs="Calibri"/>
        </w:rPr>
        <w:t xml:space="preserve">commercialisation and industry partnerships in the social and behavioural </w:t>
      </w:r>
      <w:r w:rsidR="008149AB" w:rsidRPr="00323240">
        <w:rPr>
          <w:rFonts w:cs="Calibri"/>
        </w:rPr>
        <w:t>sciences</w:t>
      </w:r>
      <w:r>
        <w:rPr>
          <w:rFonts w:cs="Calibri"/>
        </w:rPr>
        <w:t xml:space="preserve"> and many</w:t>
      </w:r>
      <w:r w:rsidRPr="00323240">
        <w:rPr>
          <w:rFonts w:cstheme="minorHAnsi"/>
        </w:rPr>
        <w:t xml:space="preserve"> researchers need</w:t>
      </w:r>
      <w:r>
        <w:rPr>
          <w:rFonts w:cstheme="minorHAnsi"/>
        </w:rPr>
        <w:t xml:space="preserve"> better</w:t>
      </w:r>
      <w:r w:rsidRPr="00323240">
        <w:rPr>
          <w:rFonts w:cstheme="minorHAnsi"/>
        </w:rPr>
        <w:t xml:space="preserve"> infrastructure support </w:t>
      </w:r>
      <w:r>
        <w:rPr>
          <w:rFonts w:cs="Calibri"/>
        </w:rPr>
        <w:t>to enable an idea or program to progress from innovation through</w:t>
      </w:r>
      <w:r w:rsidRPr="00323240" w:rsidDel="00A94674">
        <w:rPr>
          <w:rFonts w:cstheme="minorHAnsi"/>
        </w:rPr>
        <w:t xml:space="preserve"> </w:t>
      </w:r>
      <w:r>
        <w:rPr>
          <w:rFonts w:cstheme="minorHAnsi"/>
        </w:rPr>
        <w:t xml:space="preserve">to </w:t>
      </w:r>
      <w:r w:rsidRPr="00323240">
        <w:rPr>
          <w:rFonts w:cstheme="minorHAnsi"/>
        </w:rPr>
        <w:t xml:space="preserve">public benefit and potentially </w:t>
      </w:r>
      <w:r>
        <w:rPr>
          <w:rFonts w:cstheme="minorHAnsi"/>
        </w:rPr>
        <w:t xml:space="preserve">to </w:t>
      </w:r>
      <w:r w:rsidRPr="00323240">
        <w:rPr>
          <w:rFonts w:cstheme="minorHAnsi"/>
        </w:rPr>
        <w:t xml:space="preserve">commercial outcomes. </w:t>
      </w:r>
    </w:p>
    <w:p w:rsidR="004F2B82" w:rsidRDefault="004F2B82" w:rsidP="004F2B82">
      <w:r w:rsidRPr="00D06A46">
        <w:t xml:space="preserve">The establishment of a </w:t>
      </w:r>
      <w:r w:rsidRPr="00323240">
        <w:t>national network for social and behavioural science innovation</w:t>
      </w:r>
      <w:r w:rsidRPr="00D06A46">
        <w:t xml:space="preserve"> would create the research infrastructure necessary to build a translati</w:t>
      </w:r>
      <w:r w:rsidRPr="00CD6875">
        <w:t xml:space="preserve">onal research capacity within the behavioural and social sciences. The network would create the much needed infrastructure to promote the development, evaluation, and dissemination </w:t>
      </w:r>
      <w:r>
        <w:t xml:space="preserve">of </w:t>
      </w:r>
      <w:r w:rsidRPr="00CD6875">
        <w:t xml:space="preserve">innovative solutions to major unresolved social and community problems of global significance. </w:t>
      </w:r>
      <w:r>
        <w:t>This capability will</w:t>
      </w:r>
      <w:r w:rsidRPr="00D06A46">
        <w:t xml:space="preserve"> create research infrastructure that enables cutting edge research </w:t>
      </w:r>
      <w:r w:rsidRPr="00CD6875">
        <w:t>to be conducted to place Australia at the forefront globally of population based social innovation and behavioural change.</w:t>
      </w:r>
    </w:p>
    <w:p w:rsidR="004F2B82" w:rsidRDefault="004F2B82" w:rsidP="004F2B82">
      <w:pPr>
        <w:pStyle w:val="Heading3"/>
      </w:pPr>
      <w:r w:rsidRPr="003F25C6">
        <w:t xml:space="preserve">Materials </w:t>
      </w:r>
      <w:r>
        <w:t>c</w:t>
      </w:r>
      <w:r w:rsidRPr="003F25C6">
        <w:t xml:space="preserve">onservation </w:t>
      </w:r>
    </w:p>
    <w:p w:rsidR="004F2B82" w:rsidRDefault="004F2B82" w:rsidP="004F2B82">
      <w:r w:rsidRPr="001043D1">
        <w:t xml:space="preserve">One of the greatest challenges facing </w:t>
      </w:r>
      <w:r w:rsidRPr="006058CA">
        <w:t xml:space="preserve">collecting </w:t>
      </w:r>
      <w:r>
        <w:t>institutions is not only the conservation of the material for which they are responsible, but developing and sharing information about good conservation practice. Much conservation practice remains unnecessarily involved, labour intensive and unsustainable. Such a capability would leverage and integrate existing materials capability developed through NCRIS and other investments to ensure their applicability for adoption to materials conservation. A process also needs to be undertaken to identify gaps in national materials conservation capabilities, and how they can be filled by domestic or international capability.</w:t>
      </w:r>
      <w:r>
        <w:br w:type="page"/>
      </w:r>
    </w:p>
    <w:p w:rsidR="004F2B82" w:rsidRPr="007A2D1D" w:rsidRDefault="004F2B82" w:rsidP="004F2B82">
      <w:pPr>
        <w:ind w:right="-330"/>
        <w:rPr>
          <w:rFonts w:cstheme="minorHAnsi"/>
        </w:rPr>
      </w:pPr>
      <w:r w:rsidRPr="007A2D1D">
        <w:rPr>
          <w:rFonts w:cstheme="minorHAnsi"/>
        </w:rPr>
        <w:lastRenderedPageBreak/>
        <w:t xml:space="preserve">This table provides a snapshot of the current and proposed future research infrastructure capabilities. These are examples and are not an exhaustive list. </w:t>
      </w:r>
    </w:p>
    <w:tbl>
      <w:tblPr>
        <w:tblStyle w:val="TableGrid"/>
        <w:tblW w:w="9322" w:type="dxa"/>
        <w:tblLook w:val="04A0" w:firstRow="1" w:lastRow="0" w:firstColumn="1" w:lastColumn="0" w:noHBand="0" w:noVBand="1"/>
        <w:tblCaption w:val="Table: Research Infrastructure Snapshot - Understanding Cultures &amp; Communities"/>
        <w:tblDescription w:val="4 quadrants listing existing capability elements, existing infrastructure, emerging trends and examples of potential new infrastructure"/>
      </w:tblPr>
      <w:tblGrid>
        <w:gridCol w:w="1101"/>
        <w:gridCol w:w="3118"/>
        <w:gridCol w:w="5103"/>
      </w:tblGrid>
      <w:tr w:rsidR="004F2B82" w:rsidTr="004F2B82">
        <w:tc>
          <w:tcPr>
            <w:tcW w:w="9322" w:type="dxa"/>
            <w:gridSpan w:val="3"/>
            <w:tcBorders>
              <w:bottom w:val="single" w:sz="4" w:space="0" w:color="auto"/>
            </w:tcBorders>
            <w:shd w:val="clear" w:color="auto" w:fill="FFC000"/>
          </w:tcPr>
          <w:p w:rsidR="004F2B82" w:rsidRDefault="004F2B82" w:rsidP="004F2B82">
            <w:pPr>
              <w:spacing w:before="120" w:after="120"/>
              <w:jc w:val="center"/>
              <w:rPr>
                <w:b/>
              </w:rPr>
            </w:pPr>
            <w:r>
              <w:rPr>
                <w:b/>
              </w:rPr>
              <w:t>Research Infrastructure Snapshot – Understanding Cultures and Communities</w:t>
            </w:r>
          </w:p>
        </w:tc>
      </w:tr>
      <w:tr w:rsidR="004F2B82" w:rsidRPr="00F86FE1" w:rsidTr="004F2B82">
        <w:tc>
          <w:tcPr>
            <w:tcW w:w="1101" w:type="dxa"/>
            <w:shd w:val="clear" w:color="auto" w:fill="499FE1" w:themeFill="accent1" w:themeFillTint="99"/>
          </w:tcPr>
          <w:p w:rsidR="004F2B82" w:rsidRDefault="004F2B82" w:rsidP="004F2B82">
            <w:pPr>
              <w:rPr>
                <w:b/>
              </w:rPr>
            </w:pPr>
          </w:p>
        </w:tc>
        <w:tc>
          <w:tcPr>
            <w:tcW w:w="3118" w:type="dxa"/>
            <w:shd w:val="clear" w:color="auto" w:fill="499FE1" w:themeFill="accent1" w:themeFillTint="99"/>
          </w:tcPr>
          <w:p w:rsidR="004F2B82" w:rsidRDefault="004F2B82" w:rsidP="004F2B82">
            <w:pPr>
              <w:rPr>
                <w:b/>
              </w:rPr>
            </w:pPr>
            <w:r>
              <w:rPr>
                <w:b/>
              </w:rPr>
              <w:t>Existing capability elements</w:t>
            </w:r>
          </w:p>
        </w:tc>
        <w:tc>
          <w:tcPr>
            <w:tcW w:w="5103" w:type="dxa"/>
            <w:shd w:val="clear" w:color="auto" w:fill="499FE1" w:themeFill="accent1" w:themeFillTint="99"/>
          </w:tcPr>
          <w:p w:rsidR="004F2B82" w:rsidRPr="00F86FE1" w:rsidRDefault="004F2B82" w:rsidP="004F2B82">
            <w:pPr>
              <w:rPr>
                <w:b/>
              </w:rPr>
            </w:pPr>
            <w:r>
              <w:rPr>
                <w:b/>
              </w:rPr>
              <w:t>Existing infrastructure</w:t>
            </w:r>
          </w:p>
        </w:tc>
      </w:tr>
      <w:tr w:rsidR="004F2B82" w:rsidTr="004F2B82">
        <w:trPr>
          <w:trHeight w:val="2064"/>
        </w:trPr>
        <w:tc>
          <w:tcPr>
            <w:tcW w:w="1101" w:type="dxa"/>
            <w:tcBorders>
              <w:top w:val="single" w:sz="4" w:space="0" w:color="auto"/>
              <w:left w:val="single" w:sz="4" w:space="0" w:color="auto"/>
              <w:bottom w:val="single" w:sz="4" w:space="0" w:color="auto"/>
              <w:right w:val="single" w:sz="4" w:space="0" w:color="auto"/>
            </w:tcBorders>
          </w:tcPr>
          <w:p w:rsidR="004F2B82" w:rsidRDefault="004F2B82" w:rsidP="004F2B82">
            <w:pPr>
              <w:rPr>
                <w:b/>
              </w:rPr>
            </w:pPr>
          </w:p>
          <w:p w:rsidR="004F2B82" w:rsidRDefault="004F2B82" w:rsidP="004F2B82">
            <w:pPr>
              <w:rPr>
                <w:b/>
              </w:rPr>
            </w:pPr>
            <w:r>
              <w:rPr>
                <w:b/>
              </w:rPr>
              <w:t>Now</w:t>
            </w:r>
          </w:p>
        </w:tc>
        <w:tc>
          <w:tcPr>
            <w:tcW w:w="3118" w:type="dxa"/>
            <w:tcBorders>
              <w:top w:val="single" w:sz="4" w:space="0" w:color="auto"/>
              <w:left w:val="single" w:sz="4" w:space="0" w:color="auto"/>
              <w:bottom w:val="single" w:sz="4" w:space="0" w:color="auto"/>
              <w:right w:val="single" w:sz="4" w:space="0" w:color="auto"/>
            </w:tcBorders>
          </w:tcPr>
          <w:p w:rsidR="004F2B82" w:rsidRPr="00DB0D41" w:rsidRDefault="004F2B82" w:rsidP="004F2B82">
            <w:pPr>
              <w:pStyle w:val="ListParagraph"/>
              <w:numPr>
                <w:ilvl w:val="0"/>
                <w:numId w:val="12"/>
              </w:numPr>
            </w:pPr>
            <w:r w:rsidRPr="00DB0D41">
              <w:t>Urban settlements</w:t>
            </w:r>
          </w:p>
          <w:p w:rsidR="004F2B82" w:rsidRPr="00DB0D41" w:rsidRDefault="00D04046" w:rsidP="004F2B82">
            <w:pPr>
              <w:pStyle w:val="ListParagraph"/>
              <w:numPr>
                <w:ilvl w:val="0"/>
                <w:numId w:val="12"/>
              </w:numPr>
            </w:pPr>
            <w:r>
              <w:t>Cultures and c</w:t>
            </w:r>
            <w:r w:rsidR="004F2B82" w:rsidRPr="00DB0D41">
              <w:t>ommunities</w:t>
            </w:r>
          </w:p>
          <w:p w:rsidR="004F2B82" w:rsidRPr="00DB0D41" w:rsidRDefault="004F2B82" w:rsidP="004F2B82">
            <w:pPr>
              <w:pStyle w:val="ListParagraph"/>
              <w:numPr>
                <w:ilvl w:val="0"/>
                <w:numId w:val="12"/>
              </w:numPr>
            </w:pPr>
            <w:r w:rsidRPr="00DB0D41">
              <w:t>Characterisation</w:t>
            </w:r>
          </w:p>
          <w:p w:rsidR="004F2B82" w:rsidRPr="00DB0D41" w:rsidRDefault="004F2B82" w:rsidP="004F2B82">
            <w:pPr>
              <w:pStyle w:val="ListParagraph"/>
              <w:numPr>
                <w:ilvl w:val="0"/>
                <w:numId w:val="12"/>
              </w:numPr>
            </w:pPr>
            <w:r w:rsidRPr="00DB0D41">
              <w:t xml:space="preserve">Digitisation </w:t>
            </w:r>
          </w:p>
          <w:p w:rsidR="004F2B82" w:rsidRDefault="004F2B82" w:rsidP="00D04046">
            <w:pPr>
              <w:pStyle w:val="ListParagraph"/>
              <w:numPr>
                <w:ilvl w:val="0"/>
                <w:numId w:val="12"/>
              </w:numPr>
              <w:rPr>
                <w:b/>
              </w:rPr>
            </w:pPr>
            <w:r w:rsidRPr="00DB0D41">
              <w:t xml:space="preserve">eResearch </w:t>
            </w:r>
          </w:p>
        </w:tc>
        <w:tc>
          <w:tcPr>
            <w:tcW w:w="5103" w:type="dxa"/>
            <w:tcBorders>
              <w:top w:val="single" w:sz="4" w:space="0" w:color="auto"/>
              <w:left w:val="single" w:sz="4" w:space="0" w:color="auto"/>
              <w:bottom w:val="single" w:sz="4" w:space="0" w:color="auto"/>
              <w:right w:val="single" w:sz="4" w:space="0" w:color="auto"/>
            </w:tcBorders>
          </w:tcPr>
          <w:p w:rsidR="004F2B82" w:rsidRDefault="004F2B82" w:rsidP="004F2B82">
            <w:pPr>
              <w:pStyle w:val="ListParagraph"/>
              <w:numPr>
                <w:ilvl w:val="0"/>
                <w:numId w:val="12"/>
              </w:numPr>
            </w:pPr>
            <w:r>
              <w:t>Australian Urban Research Infrastructure Network</w:t>
            </w:r>
          </w:p>
          <w:p w:rsidR="004F2B82" w:rsidRDefault="004F2B82" w:rsidP="004F2B82">
            <w:pPr>
              <w:pStyle w:val="ListParagraph"/>
              <w:numPr>
                <w:ilvl w:val="0"/>
                <w:numId w:val="12"/>
              </w:numPr>
            </w:pPr>
            <w:r>
              <w:t xml:space="preserve">Australian Data Archive, including the </w:t>
            </w:r>
            <w:proofErr w:type="spellStart"/>
            <w:r>
              <w:t>ATSIDA</w:t>
            </w:r>
            <w:proofErr w:type="spellEnd"/>
            <w:r>
              <w:t>*</w:t>
            </w:r>
          </w:p>
          <w:p w:rsidR="004F2B82" w:rsidRDefault="004F2B82" w:rsidP="004F2B82">
            <w:pPr>
              <w:pStyle w:val="ListParagraph"/>
              <w:numPr>
                <w:ilvl w:val="0"/>
                <w:numId w:val="12"/>
              </w:numPr>
            </w:pPr>
            <w:r>
              <w:t>Human</w:t>
            </w:r>
            <w:r w:rsidR="00110F16">
              <w:t>ities National Infrastructure</w:t>
            </w:r>
          </w:p>
          <w:p w:rsidR="004F2B82" w:rsidRDefault="004F2B82" w:rsidP="004F2B82">
            <w:pPr>
              <w:pStyle w:val="ListParagraph"/>
              <w:numPr>
                <w:ilvl w:val="0"/>
                <w:numId w:val="12"/>
              </w:numPr>
            </w:pPr>
            <w:r>
              <w:t>Investments by national institutions*</w:t>
            </w:r>
          </w:p>
          <w:p w:rsidR="004F2B82" w:rsidRDefault="004F2B82" w:rsidP="004F2B82">
            <w:pPr>
              <w:pStyle w:val="ListParagraph"/>
              <w:numPr>
                <w:ilvl w:val="0"/>
                <w:numId w:val="12"/>
              </w:numPr>
            </w:pPr>
            <w:r>
              <w:t>National Centre for Indigenous Genomics*</w:t>
            </w:r>
          </w:p>
          <w:p w:rsidR="004F2B82" w:rsidRPr="00DB0D41" w:rsidRDefault="00E30E3E" w:rsidP="00E30E3E">
            <w:pPr>
              <w:pStyle w:val="ListParagraph"/>
              <w:numPr>
                <w:ilvl w:val="0"/>
                <w:numId w:val="12"/>
              </w:numPr>
            </w:pPr>
            <w:r>
              <w:t>eResearch</w:t>
            </w:r>
          </w:p>
        </w:tc>
      </w:tr>
      <w:tr w:rsidR="004F2B82" w:rsidRPr="00F86FE1" w:rsidTr="004F2B82">
        <w:tc>
          <w:tcPr>
            <w:tcW w:w="1101" w:type="dxa"/>
            <w:shd w:val="clear" w:color="auto" w:fill="499FE1" w:themeFill="accent1" w:themeFillTint="99"/>
          </w:tcPr>
          <w:p w:rsidR="004F2B82" w:rsidRDefault="004F2B82" w:rsidP="004F2B82">
            <w:pPr>
              <w:jc w:val="center"/>
              <w:rPr>
                <w:b/>
              </w:rPr>
            </w:pPr>
          </w:p>
        </w:tc>
        <w:tc>
          <w:tcPr>
            <w:tcW w:w="3118" w:type="dxa"/>
            <w:shd w:val="clear" w:color="auto" w:fill="499FE1" w:themeFill="accent1" w:themeFillTint="99"/>
          </w:tcPr>
          <w:p w:rsidR="004F2B82" w:rsidRPr="00F86FE1" w:rsidRDefault="004F2B82" w:rsidP="004F2B82">
            <w:pPr>
              <w:rPr>
                <w:b/>
              </w:rPr>
            </w:pPr>
            <w:r>
              <w:rPr>
                <w:b/>
              </w:rPr>
              <w:t>Emerging trends</w:t>
            </w:r>
          </w:p>
        </w:tc>
        <w:tc>
          <w:tcPr>
            <w:tcW w:w="5103" w:type="dxa"/>
            <w:shd w:val="clear" w:color="auto" w:fill="499FE1" w:themeFill="accent1" w:themeFillTint="99"/>
          </w:tcPr>
          <w:p w:rsidR="004F2B82" w:rsidRPr="00F86FE1" w:rsidRDefault="004F2B82" w:rsidP="004F2B82">
            <w:pPr>
              <w:rPr>
                <w:b/>
              </w:rPr>
            </w:pPr>
            <w:r>
              <w:rPr>
                <w:b/>
              </w:rPr>
              <w:t xml:space="preserve">Examples of potential new infrastructure </w:t>
            </w:r>
          </w:p>
        </w:tc>
      </w:tr>
      <w:tr w:rsidR="004F2B82" w:rsidTr="004F2B82">
        <w:trPr>
          <w:trHeight w:val="1670"/>
        </w:trPr>
        <w:tc>
          <w:tcPr>
            <w:tcW w:w="1101" w:type="dxa"/>
          </w:tcPr>
          <w:p w:rsidR="004F2B82" w:rsidRDefault="004F2B82" w:rsidP="004F2B82">
            <w:pPr>
              <w:rPr>
                <w:b/>
              </w:rPr>
            </w:pPr>
          </w:p>
          <w:p w:rsidR="004F2B82" w:rsidRDefault="004F2B82" w:rsidP="004F2B82">
            <w:pPr>
              <w:rPr>
                <w:b/>
              </w:rPr>
            </w:pPr>
            <w:r>
              <w:rPr>
                <w:b/>
              </w:rPr>
              <w:t>Future</w:t>
            </w:r>
          </w:p>
        </w:tc>
        <w:tc>
          <w:tcPr>
            <w:tcW w:w="3118" w:type="dxa"/>
          </w:tcPr>
          <w:p w:rsidR="004F2B82" w:rsidRDefault="004F2B82" w:rsidP="004F2B82">
            <w:pPr>
              <w:ind w:left="-15"/>
            </w:pPr>
            <w:r>
              <w:t>In addition to continuing existing capabilities:</w:t>
            </w:r>
          </w:p>
          <w:p w:rsidR="004F2B82" w:rsidRDefault="004F2B82" w:rsidP="004F2B82">
            <w:pPr>
              <w:pStyle w:val="ListParagraph"/>
              <w:numPr>
                <w:ilvl w:val="0"/>
                <w:numId w:val="12"/>
              </w:numPr>
            </w:pPr>
            <w:r>
              <w:t>eResearch – improved l</w:t>
            </w:r>
            <w:r w:rsidRPr="00E1021D">
              <w:t>inkage of environmental and societal data</w:t>
            </w:r>
          </w:p>
          <w:p w:rsidR="004F2B82" w:rsidRPr="0056431A" w:rsidRDefault="0084295C" w:rsidP="004F2B82">
            <w:pPr>
              <w:pStyle w:val="ListParagraph"/>
              <w:numPr>
                <w:ilvl w:val="0"/>
                <w:numId w:val="12"/>
              </w:numPr>
            </w:pPr>
            <w:r>
              <w:t xml:space="preserve">Community </w:t>
            </w:r>
            <w:r w:rsidR="004F2B82">
              <w:t xml:space="preserve">managed </w:t>
            </w:r>
            <w:r w:rsidR="008B6894">
              <w:t>c</w:t>
            </w:r>
            <w:r w:rsidR="004F2B82">
              <w:t xml:space="preserve">ultures and </w:t>
            </w:r>
            <w:r w:rsidR="008B6894">
              <w:t>c</w:t>
            </w:r>
            <w:r w:rsidR="004F2B82">
              <w:t xml:space="preserve">ommunities </w:t>
            </w:r>
            <w:r w:rsidR="008B6894">
              <w:t>r</w:t>
            </w:r>
            <w:r w:rsidR="004F2B82">
              <w:t xml:space="preserve">esearch </w:t>
            </w:r>
            <w:r w:rsidR="008B6894">
              <w:t>i</w:t>
            </w:r>
            <w:r w:rsidR="004F2B82">
              <w:t>nfrastructure</w:t>
            </w:r>
          </w:p>
        </w:tc>
        <w:tc>
          <w:tcPr>
            <w:tcW w:w="5103" w:type="dxa"/>
          </w:tcPr>
          <w:p w:rsidR="004F2B82" w:rsidRPr="00E1021D" w:rsidRDefault="004F2B82" w:rsidP="004F2B82">
            <w:pPr>
              <w:pStyle w:val="ListParagraph"/>
              <w:numPr>
                <w:ilvl w:val="0"/>
                <w:numId w:val="12"/>
              </w:numPr>
            </w:pPr>
            <w:r w:rsidRPr="00E1021D">
              <w:t>Enhancement of eResearch capabilities</w:t>
            </w:r>
          </w:p>
          <w:p w:rsidR="004F2B82" w:rsidRPr="00E1021D" w:rsidRDefault="00D04046" w:rsidP="004F2B82">
            <w:pPr>
              <w:pStyle w:val="ListParagraph"/>
              <w:numPr>
                <w:ilvl w:val="0"/>
                <w:numId w:val="12"/>
              </w:numPr>
            </w:pPr>
            <w:r w:rsidRPr="00E1021D">
              <w:t xml:space="preserve">Materials conservation </w:t>
            </w:r>
          </w:p>
          <w:p w:rsidR="004F2B82" w:rsidRDefault="00D04046" w:rsidP="004F2B82">
            <w:pPr>
              <w:pStyle w:val="ListParagraph"/>
              <w:numPr>
                <w:ilvl w:val="0"/>
                <w:numId w:val="12"/>
              </w:numPr>
            </w:pPr>
            <w:r w:rsidRPr="00323240">
              <w:t>National network for social and behavioural science innovation</w:t>
            </w:r>
          </w:p>
          <w:p w:rsidR="004F2B82" w:rsidRPr="0056431A" w:rsidRDefault="00D04046" w:rsidP="004F2B82">
            <w:pPr>
              <w:pStyle w:val="ListParagraph"/>
              <w:numPr>
                <w:ilvl w:val="0"/>
                <w:numId w:val="12"/>
              </w:numPr>
            </w:pPr>
            <w:r>
              <w:rPr>
                <w:rFonts w:cstheme="minorHAnsi"/>
              </w:rPr>
              <w:t>National digital humanities c</w:t>
            </w:r>
            <w:r w:rsidR="004F2B82" w:rsidRPr="006129FE">
              <w:rPr>
                <w:rFonts w:cstheme="minorHAnsi"/>
              </w:rPr>
              <w:t>apability</w:t>
            </w:r>
          </w:p>
        </w:tc>
      </w:tr>
    </w:tbl>
    <w:p w:rsidR="008B6894" w:rsidRDefault="008B6894" w:rsidP="004F2B82">
      <w:pPr>
        <w:spacing w:after="0"/>
        <w:rPr>
          <w:sz w:val="18"/>
          <w:szCs w:val="18"/>
        </w:rPr>
      </w:pPr>
    </w:p>
    <w:p w:rsidR="004F2B82" w:rsidRPr="00620F1A" w:rsidRDefault="004F2B82" w:rsidP="004F2B82">
      <w:pPr>
        <w:spacing w:after="0"/>
        <w:rPr>
          <w:sz w:val="18"/>
          <w:szCs w:val="18"/>
        </w:rPr>
      </w:pPr>
      <w:r w:rsidRPr="00620F1A">
        <w:rPr>
          <w:sz w:val="18"/>
          <w:szCs w:val="18"/>
        </w:rPr>
        <w:t xml:space="preserve">*Project not </w:t>
      </w:r>
      <w:r>
        <w:rPr>
          <w:sz w:val="18"/>
          <w:szCs w:val="18"/>
        </w:rPr>
        <w:t xml:space="preserve">currently </w:t>
      </w:r>
      <w:r w:rsidRPr="00620F1A">
        <w:rPr>
          <w:sz w:val="18"/>
          <w:szCs w:val="18"/>
        </w:rPr>
        <w:t>supported by national research infrastructure programs</w:t>
      </w:r>
    </w:p>
    <w:p w:rsidR="004F2B82" w:rsidRDefault="004F2B82" w:rsidP="004F2B82">
      <w:pPr>
        <w:spacing w:after="0"/>
      </w:pPr>
    </w:p>
    <w:p w:rsidR="008B6894" w:rsidRDefault="008B6894" w:rsidP="004F2B82">
      <w:pPr>
        <w:spacing w:after="0"/>
      </w:pPr>
    </w:p>
    <w:tbl>
      <w:tblPr>
        <w:tblStyle w:val="TableGrid"/>
        <w:tblW w:w="9356" w:type="dxa"/>
        <w:tblInd w:w="-34" w:type="dxa"/>
        <w:tblLook w:val="04A0" w:firstRow="1" w:lastRow="0" w:firstColumn="1" w:lastColumn="0" w:noHBand="0" w:noVBand="1"/>
        <w:tblCaption w:val="Table cell containing Questions 24, 25 &amp; 26"/>
        <w:tblDescription w:val="Q24: Are the identified emerging directions and research infrastructure capabilities for Understanding Cultures and Communities right? Are there any missing or additional needed?&#10;Q25: Are there any international research infrastructure collaborations or emerging projects that Australia should engage in over the next ten years and beyond?&#10;Q26: Is there anything else that needs to be included or considered in the 2016 Roadmap for the Understanding Cultures and Communities capability area?&#10;"/>
      </w:tblPr>
      <w:tblGrid>
        <w:gridCol w:w="9356"/>
      </w:tblGrid>
      <w:tr w:rsidR="004F2B82" w:rsidRPr="00E70C42" w:rsidTr="00676CA8">
        <w:tc>
          <w:tcPr>
            <w:tcW w:w="9356" w:type="dxa"/>
            <w:shd w:val="clear" w:color="auto" w:fill="FFC000"/>
          </w:tcPr>
          <w:p w:rsidR="004F2B82" w:rsidRPr="00E70C42" w:rsidRDefault="004F2B82" w:rsidP="00676CA8">
            <w:pPr>
              <w:autoSpaceDE w:val="0"/>
              <w:autoSpaceDN w:val="0"/>
              <w:adjustRightInd w:val="0"/>
              <w:spacing w:before="180" w:after="180" w:line="276" w:lineRule="auto"/>
              <w:ind w:left="1418" w:hanging="1276"/>
              <w:rPr>
                <w:rFonts w:cstheme="minorHAnsi"/>
                <w:b/>
              </w:rPr>
            </w:pPr>
            <w:r w:rsidRPr="00E70C42">
              <w:rPr>
                <w:rFonts w:cstheme="minorHAnsi"/>
                <w:b/>
              </w:rPr>
              <w:t>Question 2</w:t>
            </w:r>
            <w:r w:rsidR="00DE7B22">
              <w:rPr>
                <w:rFonts w:cstheme="minorHAnsi"/>
                <w:b/>
              </w:rPr>
              <w:t>4</w:t>
            </w:r>
            <w:r w:rsidRPr="00E70C42">
              <w:rPr>
                <w:rFonts w:cstheme="minorHAnsi"/>
                <w:b/>
              </w:rPr>
              <w:t>:</w:t>
            </w:r>
            <w:r w:rsidRPr="00E70C42">
              <w:rPr>
                <w:rFonts w:cstheme="minorHAnsi"/>
                <w:b/>
              </w:rPr>
              <w:tab/>
              <w:t>Are the identified emerging directions and research infrastructure capabilities for Understanding Cultures and Communities right? Are there any missing or additional needed?</w:t>
            </w:r>
          </w:p>
          <w:p w:rsidR="004F2B82" w:rsidRPr="00E70C42" w:rsidRDefault="004F2B82" w:rsidP="00676CA8">
            <w:pPr>
              <w:autoSpaceDE w:val="0"/>
              <w:autoSpaceDN w:val="0"/>
              <w:adjustRightInd w:val="0"/>
              <w:spacing w:before="180" w:after="180" w:line="276" w:lineRule="auto"/>
              <w:ind w:left="1418" w:hanging="1276"/>
              <w:rPr>
                <w:rFonts w:cstheme="minorHAnsi"/>
                <w:b/>
              </w:rPr>
            </w:pPr>
            <w:r w:rsidRPr="00E70C42">
              <w:rPr>
                <w:rFonts w:cstheme="minorHAnsi"/>
                <w:b/>
              </w:rPr>
              <w:t>Question 2</w:t>
            </w:r>
            <w:r w:rsidR="00DE7B22">
              <w:rPr>
                <w:rFonts w:cstheme="minorHAnsi"/>
                <w:b/>
              </w:rPr>
              <w:t>5</w:t>
            </w:r>
            <w:r w:rsidRPr="00E70C42">
              <w:rPr>
                <w:rFonts w:cstheme="minorHAnsi"/>
                <w:b/>
              </w:rPr>
              <w:t>:</w:t>
            </w:r>
            <w:r w:rsidRPr="00E70C42">
              <w:rPr>
                <w:rFonts w:cstheme="minorHAnsi"/>
                <w:b/>
              </w:rPr>
              <w:tab/>
              <w:t>Are there any international research infrastructure collaborations or emerging projects that Australia should engage in over the next ten years and beyond?</w:t>
            </w:r>
          </w:p>
          <w:p w:rsidR="004F2B82" w:rsidRPr="00E70C42" w:rsidRDefault="004F2B82" w:rsidP="00676CA8">
            <w:pPr>
              <w:autoSpaceDE w:val="0"/>
              <w:autoSpaceDN w:val="0"/>
              <w:adjustRightInd w:val="0"/>
              <w:spacing w:before="200" w:after="180" w:line="276" w:lineRule="auto"/>
              <w:ind w:left="1418" w:hanging="1276"/>
              <w:rPr>
                <w:b/>
              </w:rPr>
            </w:pPr>
            <w:r w:rsidRPr="00E70C42">
              <w:rPr>
                <w:rFonts w:cstheme="minorHAnsi"/>
                <w:b/>
              </w:rPr>
              <w:t>Question 2</w:t>
            </w:r>
            <w:r w:rsidR="00DE7B22">
              <w:rPr>
                <w:rFonts w:cstheme="minorHAnsi"/>
                <w:b/>
              </w:rPr>
              <w:t>6</w:t>
            </w:r>
            <w:r w:rsidRPr="00E70C42">
              <w:rPr>
                <w:rFonts w:cstheme="minorHAnsi"/>
                <w:b/>
              </w:rPr>
              <w:t>:</w:t>
            </w:r>
            <w:r w:rsidRPr="00E70C42">
              <w:rPr>
                <w:rFonts w:cstheme="minorHAnsi"/>
                <w:b/>
              </w:rPr>
              <w:tab/>
              <w:t>Is there anything else that needs to be included or considered in the 2016 Roadmap for the Understanding Cultures and Communities capability area?</w:t>
            </w:r>
          </w:p>
        </w:tc>
      </w:tr>
    </w:tbl>
    <w:p w:rsidR="004F2B82" w:rsidRDefault="004F2B82" w:rsidP="004F2B82"/>
    <w:p w:rsidR="003E270F" w:rsidRPr="00B8025F" w:rsidRDefault="00B8025F" w:rsidP="003E270F">
      <w:pPr>
        <w:pStyle w:val="Heading1"/>
      </w:pPr>
      <w:r>
        <w:rPr>
          <w:noProof/>
        </w:rPr>
        <w:br w:type="page"/>
      </w:r>
      <w:bookmarkStart w:id="33" w:name="_Toc455414555"/>
      <w:bookmarkStart w:id="34" w:name="_Toc456042396"/>
      <w:bookmarkStart w:id="35" w:name="_Toc456449025"/>
      <w:r w:rsidR="003E270F" w:rsidRPr="00B8025F">
        <w:lastRenderedPageBreak/>
        <w:t>National Security</w:t>
      </w:r>
      <w:bookmarkEnd w:id="33"/>
      <w:bookmarkEnd w:id="34"/>
      <w:bookmarkEnd w:id="35"/>
    </w:p>
    <w:p w:rsidR="003E270F" w:rsidRDefault="003E270F" w:rsidP="003E270F">
      <w:pPr>
        <w:spacing w:before="120"/>
      </w:pPr>
      <w:r>
        <w:t>The National Security capability area addresses threats and risks to domestic security from invasive diseases</w:t>
      </w:r>
      <w:r w:rsidR="003E3BBB">
        <w:t>,</w:t>
      </w:r>
      <w:r>
        <w:t xml:space="preserve"> pests</w:t>
      </w:r>
      <w:r w:rsidR="003E3BBB">
        <w:t xml:space="preserve"> and pathogens</w:t>
      </w:r>
      <w:r>
        <w:t xml:space="preserve">, cyber security and crime. It is important to understand our place in the region and the world and to strengthen our national security infrastructure, especially digital systems and transformational technologies. In this </w:t>
      </w:r>
      <w:r w:rsidR="00E10F72">
        <w:t>chapter</w:t>
      </w:r>
      <w:r>
        <w:t>, the focus is supporting non-defence national security, and greater integration and access between defence and non-defence related research infrastructure capability, to ensure appropriate security processes are in place.</w:t>
      </w:r>
    </w:p>
    <w:p w:rsidR="003E270F" w:rsidRDefault="003E270F" w:rsidP="003E270F">
      <w:r>
        <w:t>The lists of capabilities presented here are neither exhaustive nor prioritised.</w:t>
      </w:r>
    </w:p>
    <w:p w:rsidR="003E270F" w:rsidRPr="000F01EF" w:rsidRDefault="003E270F" w:rsidP="003E270F">
      <w:pPr>
        <w:pStyle w:val="Heading2"/>
        <w:ind w:left="567"/>
      </w:pPr>
      <w:bookmarkStart w:id="36" w:name="_Toc455509112"/>
      <w:r w:rsidRPr="000F01EF">
        <w:t>Emerging Directions</w:t>
      </w:r>
      <w:bookmarkEnd w:id="36"/>
    </w:p>
    <w:p w:rsidR="003E270F" w:rsidRPr="00DC0C47" w:rsidRDefault="003E270F" w:rsidP="003E270F">
      <w:pPr>
        <w:spacing w:after="120"/>
      </w:pPr>
      <w:r w:rsidRPr="00DC0C47">
        <w:t xml:space="preserve">Given the broad nature of the National Security </w:t>
      </w:r>
      <w:r>
        <w:t xml:space="preserve">capability </w:t>
      </w:r>
      <w:r w:rsidRPr="00DC0C47">
        <w:t xml:space="preserve">area a number of </w:t>
      </w:r>
      <w:r>
        <w:t xml:space="preserve">emerging </w:t>
      </w:r>
      <w:r w:rsidRPr="00DC0C47">
        <w:t xml:space="preserve">research </w:t>
      </w:r>
      <w:r>
        <w:t xml:space="preserve">areas </w:t>
      </w:r>
      <w:r w:rsidRPr="00DC0C47">
        <w:t xml:space="preserve">were identified that </w:t>
      </w:r>
      <w:r>
        <w:t>may have</w:t>
      </w:r>
      <w:r w:rsidRPr="00DC0C47">
        <w:t xml:space="preserve"> </w:t>
      </w:r>
      <w:r>
        <w:t xml:space="preserve">national </w:t>
      </w:r>
      <w:r w:rsidRPr="00DC0C47">
        <w:t xml:space="preserve">research infrastructure </w:t>
      </w:r>
      <w:r>
        <w:t>capability requirements.</w:t>
      </w:r>
    </w:p>
    <w:p w:rsidR="003E270F" w:rsidRPr="00957FC5" w:rsidRDefault="003E270F" w:rsidP="003E270F">
      <w:pPr>
        <w:pStyle w:val="Heading3"/>
      </w:pPr>
      <w:bookmarkStart w:id="37" w:name="_Toc455509113"/>
      <w:r>
        <w:t>Biosecurity</w:t>
      </w:r>
      <w:bookmarkEnd w:id="37"/>
    </w:p>
    <w:p w:rsidR="003E270F" w:rsidRDefault="003E270F" w:rsidP="003E270F">
      <w:r>
        <w:t xml:space="preserve">Emerging directions include both technological developments and disease trends. In terms of technology it is difficult to predict what will happen and developments over the last few years indicate that change occurs in “jumps” rather than incrementally. There are several emerging trends to take note of. Endemic livestock diseases biosecurity has the potential to impact public health and export markets. Exotic animal diseases and high risk </w:t>
      </w:r>
      <w:proofErr w:type="spellStart"/>
      <w:r>
        <w:t>zoonoses</w:t>
      </w:r>
      <w:proofErr w:type="spellEnd"/>
      <w:r>
        <w:t xml:space="preserve"> biosecurity, plant biosecurity and aquaculture and fisheries biosecurity are also significant areas for focus. Examples of disease trends include rapid global spread of high risk zoonotic diseases such as SARS and highly pathogenic avian influenza and animal diseases such as lumpy skin disease and African swine fever.</w:t>
      </w:r>
    </w:p>
    <w:p w:rsidR="003E270F" w:rsidRPr="00564330" w:rsidRDefault="003E270F" w:rsidP="003E270F">
      <w:pPr>
        <w:pStyle w:val="Heading3"/>
      </w:pPr>
      <w:bookmarkStart w:id="38" w:name="_Toc455509114"/>
      <w:r w:rsidRPr="00564330">
        <w:t xml:space="preserve">Cyber </w:t>
      </w:r>
      <w:r>
        <w:t>s</w:t>
      </w:r>
      <w:r w:rsidRPr="00342D79">
        <w:t>ecurity</w:t>
      </w:r>
      <w:bookmarkEnd w:id="38"/>
    </w:p>
    <w:p w:rsidR="003E270F" w:rsidRDefault="003E270F" w:rsidP="003E270F">
      <w:r w:rsidRPr="00957FC5">
        <w:t>The cyber landscape is characterised by</w:t>
      </w:r>
      <w:r>
        <w:t xml:space="preserve"> a number of risks and opportunities including </w:t>
      </w:r>
      <w:r w:rsidRPr="00957FC5">
        <w:t>accelerated global adoption of, and reliance on, cyber technology; ongoing emergence of new c</w:t>
      </w:r>
      <w:r>
        <w:t xml:space="preserve">yber concepts and capabilities </w:t>
      </w:r>
      <w:r w:rsidRPr="00957FC5">
        <w:t>with cloud services, and mobile capability increasing in functionality, d</w:t>
      </w:r>
      <w:r>
        <w:t>iversity and market penetration</w:t>
      </w:r>
      <w:r w:rsidRPr="00957FC5">
        <w:t>; an emerging explosion of new cyber</w:t>
      </w:r>
      <w:r>
        <w:t>-physical</w:t>
      </w:r>
      <w:r w:rsidRPr="00957FC5">
        <w:t xml:space="preserve"> network-enabled devices entering the market </w:t>
      </w:r>
      <w:r>
        <w:t>such as</w:t>
      </w:r>
      <w:r w:rsidRPr="00957FC5">
        <w:t xml:space="preserve"> the internet of things with potentially very poor cyber security; increased interconnectivity and interdependence; and</w:t>
      </w:r>
      <w:r>
        <w:t xml:space="preserve"> </w:t>
      </w:r>
      <w:r w:rsidRPr="00957FC5">
        <w:t>increased cyber security risk in the ICT hardware supply</w:t>
      </w:r>
      <w:r w:rsidR="00BE4995">
        <w:t> </w:t>
      </w:r>
      <w:r w:rsidRPr="00957FC5">
        <w:t>chain.</w:t>
      </w:r>
    </w:p>
    <w:p w:rsidR="003E270F" w:rsidRDefault="003E270F" w:rsidP="003E270F">
      <w:pPr>
        <w:spacing w:before="200"/>
      </w:pPr>
      <w:r w:rsidRPr="00957FC5">
        <w:t xml:space="preserve">The number and diversity of </w:t>
      </w:r>
      <w:r>
        <w:t xml:space="preserve">cyber </w:t>
      </w:r>
      <w:r w:rsidRPr="00957FC5">
        <w:t xml:space="preserve">threats </w:t>
      </w:r>
      <w:r>
        <w:t xml:space="preserve">and attacks </w:t>
      </w:r>
      <w:r w:rsidRPr="00957FC5">
        <w:t>is increasing, a</w:t>
      </w:r>
      <w:r>
        <w:t>s</w:t>
      </w:r>
      <w:r w:rsidRPr="00957FC5">
        <w:t xml:space="preserve"> the internet provides global reach to individuals, organised groups and state</w:t>
      </w:r>
      <w:r>
        <w:t> </w:t>
      </w:r>
      <w:r w:rsidRPr="00957FC5">
        <w:t xml:space="preserve">based </w:t>
      </w:r>
      <w:r>
        <w:t xml:space="preserve">individuals and groups </w:t>
      </w:r>
      <w:r w:rsidRPr="00957FC5">
        <w:t>to u</w:t>
      </w:r>
      <w:r>
        <w:t xml:space="preserve">ndertake malicious activities. </w:t>
      </w:r>
      <w:r w:rsidRPr="00957FC5">
        <w:t>The resultant effect</w:t>
      </w:r>
      <w:r>
        <w:t xml:space="preserve"> is that we have an increasing</w:t>
      </w:r>
      <w:r w:rsidRPr="00957FC5">
        <w:t xml:space="preserve"> reliance on cyber</w:t>
      </w:r>
      <w:r>
        <w:t xml:space="preserve"> </w:t>
      </w:r>
      <w:r w:rsidRPr="00957FC5">
        <w:t>space coupled with a rapidly increasing uncertainty in the cyber security of our devices, networks and systems, and in our ability to ensure cyber resilience at a national level.</w:t>
      </w:r>
    </w:p>
    <w:p w:rsidR="003E270F" w:rsidRDefault="003E270F">
      <w:r>
        <w:br w:type="page"/>
      </w:r>
    </w:p>
    <w:p w:rsidR="003E270F" w:rsidRDefault="003E270F" w:rsidP="003E270F">
      <w:pPr>
        <w:pStyle w:val="Heading2"/>
        <w:ind w:left="567"/>
      </w:pPr>
      <w:bookmarkStart w:id="39" w:name="_Toc455509117"/>
      <w:r w:rsidRPr="00117035">
        <w:lastRenderedPageBreak/>
        <w:t>Current Capabilities and Emerging Capability Needs</w:t>
      </w:r>
    </w:p>
    <w:bookmarkEnd w:id="39"/>
    <w:p w:rsidR="003E270F" w:rsidRDefault="003E270F" w:rsidP="003E270F">
      <w:pPr>
        <w:pStyle w:val="Heading3"/>
      </w:pPr>
      <w:r>
        <w:t xml:space="preserve">Biosecurity </w:t>
      </w:r>
    </w:p>
    <w:p w:rsidR="003E270F" w:rsidRPr="00AC0C3C" w:rsidRDefault="003E270F" w:rsidP="003E270F">
      <w:pPr>
        <w:ind w:right="-330"/>
      </w:pPr>
      <w:r w:rsidRPr="00AC0C3C">
        <w:t>Australia has</w:t>
      </w:r>
      <w:r>
        <w:t xml:space="preserve"> a significant </w:t>
      </w:r>
      <w:r w:rsidRPr="00AC0C3C">
        <w:t xml:space="preserve">capacity </w:t>
      </w:r>
      <w:r>
        <w:t>to address</w:t>
      </w:r>
      <w:r w:rsidRPr="00AC0C3C">
        <w:t xml:space="preserve"> biosecurity</w:t>
      </w:r>
      <w:r>
        <w:t>. However, coordination of plant and aquaculture capabilities lags behind animal biosecurity. B</w:t>
      </w:r>
      <w:r w:rsidRPr="00AC0C3C">
        <w:t>iosecurity measures to assist in prevention of b</w:t>
      </w:r>
      <w:r>
        <w:t>ioterrorism are important.</w:t>
      </w:r>
      <w:r w:rsidRPr="00AC0C3C">
        <w:t xml:space="preserve"> </w:t>
      </w:r>
      <w:r>
        <w:t xml:space="preserve">The required </w:t>
      </w:r>
      <w:r w:rsidRPr="00AC0C3C">
        <w:t>research capabilit</w:t>
      </w:r>
      <w:r>
        <w:t xml:space="preserve">y would be further strengthened if </w:t>
      </w:r>
      <w:r w:rsidRPr="00AC0C3C">
        <w:t>national biosecurity research plans encompassing the various elements of exotic and endemic an</w:t>
      </w:r>
      <w:r>
        <w:t>imal, aquaculture and fisheries and plant sectors</w:t>
      </w:r>
      <w:r w:rsidRPr="00AC0C3C">
        <w:t xml:space="preserve"> including weed and invasive animal and marine </w:t>
      </w:r>
      <w:r>
        <w:t>pathogens are developed</w:t>
      </w:r>
      <w:r w:rsidRPr="00AC0C3C">
        <w:t>.</w:t>
      </w:r>
      <w:r>
        <w:t xml:space="preserve"> The capability expert group considers that current infrastructure does not meet the minimum requirements for national resilience to respond to biosecurity risks.</w:t>
      </w:r>
    </w:p>
    <w:p w:rsidR="003E270F" w:rsidRDefault="003E270F" w:rsidP="003E270F">
      <w:pPr>
        <w:pStyle w:val="Heading3"/>
      </w:pPr>
      <w:r>
        <w:t>Cyber security</w:t>
      </w:r>
    </w:p>
    <w:p w:rsidR="003E270F" w:rsidRDefault="003E270F" w:rsidP="003E270F">
      <w:r w:rsidRPr="00631E88">
        <w:rPr>
          <w:rFonts w:eastAsiaTheme="majorEastAsia" w:cstheme="majorBidi"/>
        </w:rPr>
        <w:t xml:space="preserve">There are major cyber research capabilities across government, industry and academia that could be utilised and integrated into any national research capability. </w:t>
      </w:r>
      <w:r>
        <w:rPr>
          <w:rFonts w:eastAsiaTheme="majorEastAsia" w:cstheme="majorBidi"/>
        </w:rPr>
        <w:t xml:space="preserve">However </w:t>
      </w:r>
      <w:r>
        <w:t>t</w:t>
      </w:r>
      <w:r w:rsidRPr="00D371D4">
        <w:t xml:space="preserve">he existing cyber security research </w:t>
      </w:r>
      <w:r>
        <w:t>capability</w:t>
      </w:r>
      <w:r w:rsidRPr="00D371D4">
        <w:t xml:space="preserve"> </w:t>
      </w:r>
      <w:r>
        <w:t xml:space="preserve">is </w:t>
      </w:r>
      <w:r w:rsidRPr="00D371D4">
        <w:t>fragmented, subscale, lacking in diversity, does not support robust, extensive collaborati</w:t>
      </w:r>
      <w:r>
        <w:t xml:space="preserve">on and does not provide for bona </w:t>
      </w:r>
      <w:r w:rsidRPr="00D371D4">
        <w:t>fide research, de</w:t>
      </w:r>
      <w:r>
        <w:t>velopment and testing in ground truth</w:t>
      </w:r>
      <w:r w:rsidRPr="00D371D4">
        <w:t xml:space="preserve"> representative environments, using c</w:t>
      </w:r>
      <w:r>
        <w:t xml:space="preserve">ommon representative data sets. This may be partially addressed by the industry led Cyber Security Growth Centre announced under </w:t>
      </w:r>
      <w:r w:rsidR="00A6508C">
        <w:t>National Innovation and Science Agenda</w:t>
      </w:r>
      <w:r>
        <w:t>. The Centre will have responsibility for coordination of research and innovation activities, leading to market growth.</w:t>
      </w:r>
    </w:p>
    <w:p w:rsidR="003E270F" w:rsidRPr="00957FC5" w:rsidRDefault="003E270F" w:rsidP="003E270F">
      <w:r w:rsidRPr="00957FC5">
        <w:t>The cyber national infrastructure will need to be rele</w:t>
      </w:r>
      <w:r>
        <w:t>vant and responsive to the ever</w:t>
      </w:r>
      <w:r w:rsidRPr="00957FC5">
        <w:t xml:space="preserve"> changing cyber challenge. As such it </w:t>
      </w:r>
      <w:r>
        <w:t>needs</w:t>
      </w:r>
      <w:r w:rsidRPr="00957FC5">
        <w:t xml:space="preserve"> to be resilient, highly scalable, readily access</w:t>
      </w:r>
      <w:r w:rsidR="00A6508C">
        <w:t>ible at all times (‘always on’</w:t>
      </w:r>
      <w:r>
        <w:t>), easy to use</w:t>
      </w:r>
      <w:r w:rsidRPr="00957FC5">
        <w:t xml:space="preserve"> and flexible (including the ability to stand up and dismantle network topologies)</w:t>
      </w:r>
      <w:r>
        <w:t>.</w:t>
      </w:r>
      <w:r w:rsidRPr="00957FC5">
        <w:t xml:space="preserve"> It need</w:t>
      </w:r>
      <w:r>
        <w:t>s</w:t>
      </w:r>
      <w:r w:rsidRPr="00957FC5">
        <w:t xml:space="preserve"> to encompass both virtual and physical environments and be able to represent the diverse nature of cyber technologies and systems. Ideally the infrastructure would be a federated architecture that would have new capability but would include existing infrastructure available across the research community.</w:t>
      </w:r>
    </w:p>
    <w:p w:rsidR="003E270F" w:rsidRDefault="003E270F" w:rsidP="003E270F">
      <w:pPr>
        <w:pStyle w:val="Heading3"/>
      </w:pPr>
      <w:r>
        <w:t>Water security</w:t>
      </w:r>
    </w:p>
    <w:p w:rsidR="003E270F" w:rsidRDefault="003E270F" w:rsidP="00676CA8">
      <w:pPr>
        <w:ind w:right="-188"/>
      </w:pPr>
      <w:r w:rsidRPr="00A01D3C">
        <w:t>The last decade has seen a significant focus on understanding the properties of deep aquifers and aquitards and the interconnection between surface and groundwater in Australia</w:t>
      </w:r>
      <w:r>
        <w:t>.</w:t>
      </w:r>
      <w:r w:rsidRPr="00A01D3C">
        <w:t xml:space="preserve"> </w:t>
      </w:r>
      <w:r>
        <w:t xml:space="preserve">This is in part due </w:t>
      </w:r>
      <w:r w:rsidR="00BF5CC7">
        <w:t>to several factors that include:</w:t>
      </w:r>
      <w:r>
        <w:t xml:space="preserve"> </w:t>
      </w:r>
      <w:r w:rsidRPr="00A01D3C">
        <w:t xml:space="preserve">mining, </w:t>
      </w:r>
      <w:r>
        <w:t>t</w:t>
      </w:r>
      <w:r w:rsidRPr="00A01D3C">
        <w:t>he exploitation</w:t>
      </w:r>
      <w:r>
        <w:t xml:space="preserve"> of</w:t>
      </w:r>
      <w:r w:rsidRPr="00A01D3C">
        <w:t xml:space="preserve"> conventional and non-conventional gas</w:t>
      </w:r>
      <w:r w:rsidR="00A4307D">
        <w:t xml:space="preserve"> sources;</w:t>
      </w:r>
      <w:r w:rsidRPr="00A01D3C">
        <w:t xml:space="preserve"> the need to find new water supplies for agriculture, industry, and communities</w:t>
      </w:r>
      <w:r w:rsidR="00A4307D">
        <w:t>;</w:t>
      </w:r>
      <w:r w:rsidRPr="00A01D3C">
        <w:t xml:space="preserve"> explor</w:t>
      </w:r>
      <w:r w:rsidR="00A4307D">
        <w:t>ing</w:t>
      </w:r>
      <w:r w:rsidRPr="00A01D3C">
        <w:t xml:space="preserve"> the efficacy and safety of aquifer recharge</w:t>
      </w:r>
      <w:r w:rsidR="00A4307D">
        <w:t>; and</w:t>
      </w:r>
      <w:r w:rsidRPr="00A01D3C">
        <w:t xml:space="preserve"> the need to find appropriate sites for CO</w:t>
      </w:r>
      <w:r w:rsidRPr="00D21DD3">
        <w:rPr>
          <w:vertAlign w:val="subscript"/>
        </w:rPr>
        <w:t>2</w:t>
      </w:r>
      <w:r w:rsidRPr="00A01D3C">
        <w:t xml:space="preserve"> sequestration. However, defining the geological and hydrological properties of deep aquifers and their degree of isolation from other resources through </w:t>
      </w:r>
      <w:r w:rsidR="00A4307D" w:rsidRPr="00A01D3C">
        <w:t>aquitards</w:t>
      </w:r>
      <w:r w:rsidRPr="00A01D3C">
        <w:t xml:space="preserve"> remains a scientific challenge as does the full understanding of the connectivity </w:t>
      </w:r>
      <w:r>
        <w:t>between</w:t>
      </w:r>
      <w:r w:rsidRPr="00A01D3C">
        <w:t xml:space="preserve"> surface and shallow and deep aquifers. The ability to measure stable and radioactive </w:t>
      </w:r>
      <w:r>
        <w:t>isotopes</w:t>
      </w:r>
      <w:r w:rsidRPr="00A01D3C">
        <w:t xml:space="preserve"> under Australian conditions in water show considerable promise</w:t>
      </w:r>
      <w:r>
        <w:t>. These techniques are required to determine the residence time and age of water resources to support effective models that can determine sustainable utilisation of these critical resources.</w:t>
      </w:r>
    </w:p>
    <w:p w:rsidR="003E270F" w:rsidRDefault="003E270F">
      <w:r>
        <w:t xml:space="preserve">A number of these areas are discussed in more detail in </w:t>
      </w:r>
      <w:r w:rsidR="00E10F72">
        <w:t>Chapter</w:t>
      </w:r>
      <w:r>
        <w:t xml:space="preserve"> 6 Environment and Natural Resource Management.</w:t>
      </w:r>
    </w:p>
    <w:p w:rsidR="003E270F" w:rsidRPr="00117035" w:rsidRDefault="003E270F" w:rsidP="003E270F">
      <w:pPr>
        <w:pStyle w:val="Heading2"/>
        <w:ind w:left="567"/>
      </w:pPr>
      <w:bookmarkStart w:id="40" w:name="_Toc455509118"/>
      <w:r w:rsidRPr="00117035">
        <w:lastRenderedPageBreak/>
        <w:t>Desirable New Capabilities</w:t>
      </w:r>
    </w:p>
    <w:p w:rsidR="003E270F" w:rsidRPr="00914C1D" w:rsidRDefault="003E270F" w:rsidP="003E270F">
      <w:pPr>
        <w:pStyle w:val="Heading3"/>
        <w:rPr>
          <w:rFonts w:eastAsia="Times New Roman"/>
        </w:rPr>
      </w:pPr>
      <w:bookmarkStart w:id="41" w:name="_Toc455509119"/>
      <w:bookmarkEnd w:id="40"/>
      <w:r w:rsidRPr="00914C1D">
        <w:rPr>
          <w:rFonts w:eastAsia="Times New Roman"/>
        </w:rPr>
        <w:t>Biosecurity</w:t>
      </w:r>
      <w:bookmarkEnd w:id="41"/>
    </w:p>
    <w:p w:rsidR="003E270F" w:rsidRDefault="003E270F" w:rsidP="003E270F">
      <w:pPr>
        <w:ind w:right="-330"/>
      </w:pPr>
      <w:bookmarkStart w:id="42" w:name="_Toc455509120"/>
      <w:r>
        <w:t>Australia must be able to diagnose and control any exotic animal, plant or aquatic animal disease or high risk zoonosis incursion to ensure timeliness of testing and selection or development of vaccines appropriate to Australian conditions. Australia cannot rely on overseas research and must maintain its own capacity in biosecurity across all sectors as perspectives on the importance of diseases varies between countries.</w:t>
      </w:r>
    </w:p>
    <w:p w:rsidR="003E270F" w:rsidRDefault="003E270F" w:rsidP="00676CA8">
      <w:pPr>
        <w:ind w:right="-46"/>
      </w:pPr>
      <w:r>
        <w:t>There is a clear need to improve Australia’s capacity in terms of research to support biosecurity in both plant health and aquaculture. A network approach would enable sharing of data and the interconnectivity of facilities to improve real time communication. Establishment of a virtual laboratory network could allow sharing of large data and reduce the need for each individual institution to be capable in every field. There is also a need to increase capability in veterinary, aquaculture and plant virology and bacteriology, veterinary parasitology and plant nematology, epidemiology and aquaculture and plant pathology in general, as these sectors have experienced downturns in key capabilities and skills.</w:t>
      </w:r>
    </w:p>
    <w:p w:rsidR="003E270F" w:rsidRDefault="003E270F" w:rsidP="00676CA8">
      <w:pPr>
        <w:ind w:right="-46"/>
      </w:pPr>
      <w:r>
        <w:t xml:space="preserve">Biocontainment facilities are imperative infrastructure as Australia cannot rely on overseas research and must maintain its own biosecurity capacity. Existing national facilities are ageing and currently do not meet minimum regulatory requirements. This creates a high risk of the facilities not being operable in the future. In addition, more extensive biocontainment facilities (laboratory and aquaria) need to be provided for aquatic and fisheries exotic disease and emerging pathogens. Facilities for endemic disease research in various jurisdictions and universities exist but with limited national coordination. The lack of Physical Containment Level 3 laboratories and greenhouses for exotic plant disease research is also a serious deficiency. </w:t>
      </w:r>
    </w:p>
    <w:p w:rsidR="003E270F" w:rsidRDefault="003E270F" w:rsidP="003E270F">
      <w:pPr>
        <w:pStyle w:val="Heading3"/>
        <w:spacing w:before="0"/>
        <w:rPr>
          <w:rFonts w:eastAsia="Times New Roman"/>
        </w:rPr>
      </w:pPr>
      <w:r>
        <w:rPr>
          <w:rFonts w:eastAsia="Times New Roman"/>
        </w:rPr>
        <w:t>Cyber security</w:t>
      </w:r>
      <w:bookmarkEnd w:id="42"/>
    </w:p>
    <w:p w:rsidR="003E270F" w:rsidRPr="00620F1A" w:rsidRDefault="003E270F" w:rsidP="003E270F">
      <w:pPr>
        <w:ind w:right="-330"/>
      </w:pPr>
      <w:r w:rsidRPr="00620F1A">
        <w:t xml:space="preserve">Currently there are </w:t>
      </w:r>
      <w:r>
        <w:t>elements of subscale</w:t>
      </w:r>
      <w:r w:rsidRPr="00620F1A">
        <w:t xml:space="preserve"> cyber research capabilities across government, industry and academia</w:t>
      </w:r>
      <w:r>
        <w:t>. There is a requirement to develop these significantly so</w:t>
      </w:r>
      <w:r w:rsidRPr="00620F1A">
        <w:t xml:space="preserve"> that</w:t>
      </w:r>
      <w:r>
        <w:t xml:space="preserve"> they</w:t>
      </w:r>
      <w:r w:rsidRPr="00620F1A">
        <w:t xml:space="preserve"> could be utilised and integrated into a national </w:t>
      </w:r>
      <w:r>
        <w:t>capability</w:t>
      </w:r>
      <w:r w:rsidRPr="00620F1A">
        <w:t xml:space="preserve">. </w:t>
      </w:r>
      <w:r>
        <w:t>The national capability would comprise</w:t>
      </w:r>
      <w:r w:rsidRPr="00620F1A">
        <w:t xml:space="preserve"> high</w:t>
      </w:r>
      <w:r>
        <w:t> </w:t>
      </w:r>
      <w:r w:rsidRPr="00620F1A">
        <w:t>performing multidisciplinary, problem</w:t>
      </w:r>
      <w:r>
        <w:t xml:space="preserve"> </w:t>
      </w:r>
      <w:r w:rsidRPr="00620F1A">
        <w:t>focussed research teams and the ability to transition the research outcomes to products. The infrastructure will be a key enabler for delivering cyber research impact by providing a base for researchers to collaborate with each other and end users on the key emerging challenges in cyber security. In particular, expanding cyber security beyond protecting endpoints to one of protecting a system, network and mission is an emerging area that provides opportunity for Australia.</w:t>
      </w:r>
    </w:p>
    <w:p w:rsidR="003E270F" w:rsidRDefault="003E270F" w:rsidP="003E270F">
      <w:pPr>
        <w:ind w:right="-330"/>
      </w:pPr>
      <w:r w:rsidRPr="00620F1A">
        <w:t>Finally, use of the infrastructure to help nurture and grow cyber security talent is a critical function that should not be overlooked.</w:t>
      </w:r>
    </w:p>
    <w:p w:rsidR="003E270F" w:rsidRDefault="003E270F" w:rsidP="003E270F">
      <w:pPr>
        <w:pStyle w:val="Heading3"/>
      </w:pPr>
      <w:r>
        <w:t>Water security</w:t>
      </w:r>
    </w:p>
    <w:p w:rsidR="003E270F" w:rsidRDefault="003E270F" w:rsidP="003E270F">
      <w:pPr>
        <w:ind w:right="-330"/>
        <w:rPr>
          <w:b/>
        </w:rPr>
      </w:pPr>
      <w:r>
        <w:t xml:space="preserve">This area has been substantively covered in </w:t>
      </w:r>
      <w:r w:rsidR="00A4307D">
        <w:t>Chapter 6</w:t>
      </w:r>
      <w:r>
        <w:t xml:space="preserve"> Environment and Natural Resource Management. It is important to recognise that water security will remain a critical element requiring ongoing capability development in its own right.</w:t>
      </w:r>
      <w:r>
        <w:rPr>
          <w:b/>
        </w:rPr>
        <w:br w:type="page"/>
      </w:r>
    </w:p>
    <w:p w:rsidR="003E270F" w:rsidRPr="004B0077" w:rsidRDefault="003E270F" w:rsidP="003E270F">
      <w:pPr>
        <w:ind w:right="-330"/>
      </w:pPr>
      <w:r w:rsidRPr="004B0077">
        <w:lastRenderedPageBreak/>
        <w:t>This table provides a snapshot of the current and proposed future research infrastructure capabilities. These are examples and are not an exhaustive list.</w:t>
      </w:r>
    </w:p>
    <w:tbl>
      <w:tblPr>
        <w:tblStyle w:val="TableGrid"/>
        <w:tblW w:w="9464" w:type="dxa"/>
        <w:tblLook w:val="04A0" w:firstRow="1" w:lastRow="0" w:firstColumn="1" w:lastColumn="0" w:noHBand="0" w:noVBand="1"/>
        <w:tblCaption w:val="Table: Research Infrastructure Snapshot - National Security"/>
        <w:tblDescription w:val="4 quadrants listing existing capability elements, existing infrastructure, emerging trends and examples of potential new infrastructure"/>
      </w:tblPr>
      <w:tblGrid>
        <w:gridCol w:w="959"/>
        <w:gridCol w:w="3490"/>
        <w:gridCol w:w="5015"/>
      </w:tblGrid>
      <w:tr w:rsidR="003E270F" w:rsidTr="00A6338F">
        <w:trPr>
          <w:trHeight w:val="509"/>
        </w:trPr>
        <w:tc>
          <w:tcPr>
            <w:tcW w:w="9464" w:type="dxa"/>
            <w:gridSpan w:val="3"/>
            <w:shd w:val="clear" w:color="auto" w:fill="FFC000"/>
          </w:tcPr>
          <w:p w:rsidR="003E270F" w:rsidRDefault="003E270F" w:rsidP="00A6338F">
            <w:pPr>
              <w:spacing w:before="120" w:after="120"/>
              <w:jc w:val="center"/>
              <w:rPr>
                <w:b/>
              </w:rPr>
            </w:pPr>
            <w:r>
              <w:rPr>
                <w:b/>
              </w:rPr>
              <w:t>Research Infrastructure Snapshot – National Security</w:t>
            </w:r>
          </w:p>
        </w:tc>
      </w:tr>
      <w:tr w:rsidR="003E270F" w:rsidRPr="00F86FE1" w:rsidTr="00A6338F">
        <w:trPr>
          <w:trHeight w:val="279"/>
        </w:trPr>
        <w:tc>
          <w:tcPr>
            <w:tcW w:w="959" w:type="dxa"/>
            <w:shd w:val="clear" w:color="auto" w:fill="499FE1" w:themeFill="accent1" w:themeFillTint="99"/>
          </w:tcPr>
          <w:p w:rsidR="003E270F" w:rsidRDefault="003E270F" w:rsidP="00A6338F">
            <w:pPr>
              <w:rPr>
                <w:b/>
              </w:rPr>
            </w:pPr>
          </w:p>
        </w:tc>
        <w:tc>
          <w:tcPr>
            <w:tcW w:w="3490" w:type="dxa"/>
            <w:shd w:val="clear" w:color="auto" w:fill="499FE1" w:themeFill="accent1" w:themeFillTint="99"/>
          </w:tcPr>
          <w:p w:rsidR="003E270F" w:rsidRDefault="003E270F" w:rsidP="00622F24">
            <w:pPr>
              <w:rPr>
                <w:b/>
              </w:rPr>
            </w:pPr>
            <w:r>
              <w:rPr>
                <w:b/>
              </w:rPr>
              <w:t xml:space="preserve">Existing </w:t>
            </w:r>
            <w:r w:rsidR="00622F24">
              <w:rPr>
                <w:b/>
              </w:rPr>
              <w:t>c</w:t>
            </w:r>
            <w:r>
              <w:rPr>
                <w:b/>
              </w:rPr>
              <w:t xml:space="preserve">apability </w:t>
            </w:r>
            <w:r w:rsidR="00622F24">
              <w:rPr>
                <w:b/>
              </w:rPr>
              <w:t>e</w:t>
            </w:r>
            <w:r>
              <w:rPr>
                <w:b/>
              </w:rPr>
              <w:t>lements</w:t>
            </w:r>
          </w:p>
        </w:tc>
        <w:tc>
          <w:tcPr>
            <w:tcW w:w="5015" w:type="dxa"/>
            <w:shd w:val="clear" w:color="auto" w:fill="499FE1" w:themeFill="accent1" w:themeFillTint="99"/>
          </w:tcPr>
          <w:p w:rsidR="003E270F" w:rsidRPr="00F86FE1" w:rsidRDefault="00622F24" w:rsidP="00A6338F">
            <w:pPr>
              <w:rPr>
                <w:b/>
              </w:rPr>
            </w:pPr>
            <w:r>
              <w:rPr>
                <w:b/>
              </w:rPr>
              <w:t>Existing i</w:t>
            </w:r>
            <w:r w:rsidR="003E270F">
              <w:rPr>
                <w:b/>
              </w:rPr>
              <w:t>nfrastructure</w:t>
            </w:r>
          </w:p>
        </w:tc>
      </w:tr>
      <w:tr w:rsidR="003E270F" w:rsidRPr="00C65232" w:rsidTr="00A6338F">
        <w:trPr>
          <w:trHeight w:val="1550"/>
        </w:trPr>
        <w:tc>
          <w:tcPr>
            <w:tcW w:w="959" w:type="dxa"/>
          </w:tcPr>
          <w:p w:rsidR="003E270F" w:rsidRDefault="003E270F" w:rsidP="00A6338F">
            <w:pPr>
              <w:rPr>
                <w:b/>
              </w:rPr>
            </w:pPr>
          </w:p>
          <w:p w:rsidR="003E270F" w:rsidRDefault="003E270F" w:rsidP="00A6338F">
            <w:pPr>
              <w:rPr>
                <w:b/>
              </w:rPr>
            </w:pPr>
            <w:r>
              <w:rPr>
                <w:b/>
              </w:rPr>
              <w:t>Now</w:t>
            </w:r>
          </w:p>
        </w:tc>
        <w:tc>
          <w:tcPr>
            <w:tcW w:w="3490" w:type="dxa"/>
          </w:tcPr>
          <w:p w:rsidR="003E270F" w:rsidRPr="00A03D6E" w:rsidRDefault="003E270F" w:rsidP="00A6338F">
            <w:pPr>
              <w:pStyle w:val="ListParagraph"/>
              <w:numPr>
                <w:ilvl w:val="0"/>
                <w:numId w:val="15"/>
              </w:numPr>
              <w:ind w:left="284" w:hanging="299"/>
            </w:pPr>
            <w:r>
              <w:t>Biosecurity</w:t>
            </w:r>
          </w:p>
          <w:p w:rsidR="003E270F" w:rsidRDefault="003E270F" w:rsidP="00A6338F">
            <w:pPr>
              <w:pStyle w:val="ListParagraph"/>
              <w:numPr>
                <w:ilvl w:val="0"/>
                <w:numId w:val="15"/>
              </w:numPr>
              <w:ind w:left="284" w:hanging="299"/>
            </w:pPr>
            <w:r w:rsidRPr="00A03D6E">
              <w:t xml:space="preserve">Cyber </w:t>
            </w:r>
            <w:r w:rsidR="00BE4995">
              <w:t>s</w:t>
            </w:r>
            <w:r w:rsidRPr="00A03D6E">
              <w:t>ecurity</w:t>
            </w:r>
          </w:p>
          <w:p w:rsidR="003E270F" w:rsidRDefault="003E270F" w:rsidP="00A6338F">
            <w:pPr>
              <w:pStyle w:val="ListParagraph"/>
              <w:numPr>
                <w:ilvl w:val="0"/>
                <w:numId w:val="15"/>
              </w:numPr>
              <w:ind w:left="284" w:hanging="299"/>
            </w:pPr>
            <w:r>
              <w:t xml:space="preserve">Energy </w:t>
            </w:r>
            <w:r w:rsidR="00BE4995">
              <w:t>s</w:t>
            </w:r>
            <w:r>
              <w:t>ecurity</w:t>
            </w:r>
          </w:p>
          <w:p w:rsidR="003E270F" w:rsidRPr="00A03D6E" w:rsidRDefault="003E270F" w:rsidP="00A6338F">
            <w:pPr>
              <w:pStyle w:val="ListParagraph"/>
              <w:numPr>
                <w:ilvl w:val="0"/>
                <w:numId w:val="15"/>
              </w:numPr>
              <w:ind w:left="284" w:hanging="299"/>
            </w:pPr>
            <w:r>
              <w:t xml:space="preserve">Water </w:t>
            </w:r>
            <w:r w:rsidR="00BE4995">
              <w:t>s</w:t>
            </w:r>
            <w:r>
              <w:t>ecurity</w:t>
            </w:r>
          </w:p>
        </w:tc>
        <w:tc>
          <w:tcPr>
            <w:tcW w:w="5015" w:type="dxa"/>
          </w:tcPr>
          <w:p w:rsidR="003E270F" w:rsidRDefault="003E270F" w:rsidP="00A6338F">
            <w:pPr>
              <w:pStyle w:val="ListParagraph"/>
              <w:numPr>
                <w:ilvl w:val="0"/>
                <w:numId w:val="15"/>
              </w:numPr>
              <w:ind w:left="284" w:hanging="299"/>
            </w:pPr>
            <w:r w:rsidRPr="00A03D6E">
              <w:t>Australian Animal Health Laboratory</w:t>
            </w:r>
          </w:p>
          <w:p w:rsidR="003E270F" w:rsidRDefault="003E270F" w:rsidP="00A6338F">
            <w:pPr>
              <w:pStyle w:val="ListParagraph"/>
              <w:numPr>
                <w:ilvl w:val="0"/>
                <w:numId w:val="15"/>
              </w:numPr>
              <w:ind w:left="284" w:hanging="299"/>
            </w:pPr>
            <w:r w:rsidRPr="00D917BA">
              <w:t>Australian Phenomics Network</w:t>
            </w:r>
          </w:p>
          <w:p w:rsidR="003E270F" w:rsidRDefault="003E270F" w:rsidP="00A6338F">
            <w:pPr>
              <w:pStyle w:val="ListParagraph"/>
              <w:numPr>
                <w:ilvl w:val="0"/>
                <w:numId w:val="15"/>
              </w:numPr>
              <w:ind w:left="284" w:hanging="299"/>
            </w:pPr>
            <w:r w:rsidRPr="00D917BA">
              <w:t>Australian Plant Phenomics</w:t>
            </w:r>
            <w:r w:rsidR="00D04046">
              <w:t xml:space="preserve"> Facility</w:t>
            </w:r>
          </w:p>
          <w:p w:rsidR="003E270F" w:rsidRPr="00A03D6E" w:rsidRDefault="003E270F" w:rsidP="00A6338F">
            <w:pPr>
              <w:pStyle w:val="ListParagraph"/>
              <w:numPr>
                <w:ilvl w:val="0"/>
                <w:numId w:val="15"/>
              </w:numPr>
              <w:ind w:left="284" w:hanging="299"/>
            </w:pPr>
            <w:r w:rsidRPr="00D917BA">
              <w:t>Bioplatforms Australia</w:t>
            </w:r>
          </w:p>
          <w:p w:rsidR="003E270F" w:rsidRPr="00A03D6E" w:rsidRDefault="003E270F" w:rsidP="00A6338F"/>
        </w:tc>
      </w:tr>
      <w:tr w:rsidR="003E270F" w:rsidRPr="00F86FE1" w:rsidTr="00A6338F">
        <w:trPr>
          <w:trHeight w:val="273"/>
        </w:trPr>
        <w:tc>
          <w:tcPr>
            <w:tcW w:w="959" w:type="dxa"/>
            <w:shd w:val="clear" w:color="auto" w:fill="499FE1" w:themeFill="accent1" w:themeFillTint="99"/>
          </w:tcPr>
          <w:p w:rsidR="003E270F" w:rsidRDefault="003E270F" w:rsidP="00A6338F">
            <w:pPr>
              <w:jc w:val="center"/>
              <w:rPr>
                <w:b/>
              </w:rPr>
            </w:pPr>
          </w:p>
        </w:tc>
        <w:tc>
          <w:tcPr>
            <w:tcW w:w="3490" w:type="dxa"/>
            <w:shd w:val="clear" w:color="auto" w:fill="499FE1" w:themeFill="accent1" w:themeFillTint="99"/>
          </w:tcPr>
          <w:p w:rsidR="003E270F" w:rsidRPr="00A03D6E" w:rsidRDefault="00622F24" w:rsidP="00A6338F">
            <w:pPr>
              <w:rPr>
                <w:b/>
              </w:rPr>
            </w:pPr>
            <w:r>
              <w:rPr>
                <w:b/>
              </w:rPr>
              <w:t>Emerging t</w:t>
            </w:r>
            <w:r w:rsidR="003E270F">
              <w:rPr>
                <w:b/>
              </w:rPr>
              <w:t>rends</w:t>
            </w:r>
          </w:p>
        </w:tc>
        <w:tc>
          <w:tcPr>
            <w:tcW w:w="5015" w:type="dxa"/>
            <w:shd w:val="clear" w:color="auto" w:fill="499FE1" w:themeFill="accent1" w:themeFillTint="99"/>
          </w:tcPr>
          <w:p w:rsidR="003E270F" w:rsidRPr="00A03D6E" w:rsidRDefault="003E270F" w:rsidP="00622F24">
            <w:pPr>
              <w:rPr>
                <w:b/>
              </w:rPr>
            </w:pPr>
            <w:r>
              <w:rPr>
                <w:b/>
              </w:rPr>
              <w:t xml:space="preserve">Examples of </w:t>
            </w:r>
            <w:r w:rsidR="00622F24">
              <w:rPr>
                <w:b/>
              </w:rPr>
              <w:t>p</w:t>
            </w:r>
            <w:r>
              <w:rPr>
                <w:b/>
              </w:rPr>
              <w:t xml:space="preserve">otential </w:t>
            </w:r>
            <w:r w:rsidR="00622F24">
              <w:rPr>
                <w:b/>
              </w:rPr>
              <w:t>n</w:t>
            </w:r>
            <w:r>
              <w:rPr>
                <w:b/>
              </w:rPr>
              <w:t xml:space="preserve">ew </w:t>
            </w:r>
            <w:r w:rsidR="00622F24">
              <w:rPr>
                <w:b/>
              </w:rPr>
              <w:t>i</w:t>
            </w:r>
            <w:r>
              <w:rPr>
                <w:b/>
              </w:rPr>
              <w:t>nfrastructure</w:t>
            </w:r>
          </w:p>
        </w:tc>
      </w:tr>
      <w:tr w:rsidR="003E270F" w:rsidTr="00A6338F">
        <w:trPr>
          <w:trHeight w:val="1548"/>
        </w:trPr>
        <w:tc>
          <w:tcPr>
            <w:tcW w:w="959" w:type="dxa"/>
          </w:tcPr>
          <w:p w:rsidR="003E270F" w:rsidRDefault="003E270F" w:rsidP="00A6338F">
            <w:pPr>
              <w:rPr>
                <w:b/>
              </w:rPr>
            </w:pPr>
          </w:p>
          <w:p w:rsidR="003E270F" w:rsidRDefault="003E270F" w:rsidP="00A6338F">
            <w:pPr>
              <w:rPr>
                <w:b/>
              </w:rPr>
            </w:pPr>
            <w:r>
              <w:rPr>
                <w:b/>
              </w:rPr>
              <w:t>Future</w:t>
            </w:r>
          </w:p>
        </w:tc>
        <w:tc>
          <w:tcPr>
            <w:tcW w:w="3490" w:type="dxa"/>
            <w:shd w:val="clear" w:color="auto" w:fill="auto"/>
          </w:tcPr>
          <w:p w:rsidR="003E270F" w:rsidRDefault="003E270F" w:rsidP="00A6338F">
            <w:pPr>
              <w:ind w:left="-15"/>
            </w:pPr>
            <w:r>
              <w:t>In addition to continuing existing capabilities:</w:t>
            </w:r>
          </w:p>
          <w:p w:rsidR="003E270F" w:rsidRPr="00A03D6E" w:rsidRDefault="003E270F" w:rsidP="00A6338F">
            <w:pPr>
              <w:pStyle w:val="ListParagraph"/>
              <w:numPr>
                <w:ilvl w:val="0"/>
                <w:numId w:val="15"/>
              </w:numPr>
              <w:ind w:left="284" w:hanging="299"/>
            </w:pPr>
            <w:r w:rsidRPr="00A03D6E">
              <w:t>Enhance biosecurity capabilities</w:t>
            </w:r>
          </w:p>
          <w:p w:rsidR="003E270F" w:rsidRPr="00A03D6E" w:rsidRDefault="003E270F" w:rsidP="00A6338F">
            <w:pPr>
              <w:pStyle w:val="ListParagraph"/>
              <w:numPr>
                <w:ilvl w:val="0"/>
                <w:numId w:val="15"/>
              </w:numPr>
              <w:ind w:left="284" w:hanging="299"/>
              <w:rPr>
                <w:b/>
              </w:rPr>
            </w:pPr>
            <w:r>
              <w:t>Ensure cyber resilience at a national level</w:t>
            </w:r>
          </w:p>
        </w:tc>
        <w:tc>
          <w:tcPr>
            <w:tcW w:w="5015" w:type="dxa"/>
            <w:shd w:val="clear" w:color="auto" w:fill="auto"/>
          </w:tcPr>
          <w:p w:rsidR="003E270F" w:rsidRPr="00A03D6E" w:rsidRDefault="003E270F" w:rsidP="00A6338F">
            <w:pPr>
              <w:pStyle w:val="ListParagraph"/>
              <w:numPr>
                <w:ilvl w:val="0"/>
                <w:numId w:val="15"/>
              </w:numPr>
              <w:ind w:left="284" w:hanging="299"/>
            </w:pPr>
            <w:r w:rsidRPr="00A03D6E">
              <w:t>Improved biocontainment facilities (</w:t>
            </w:r>
            <w:proofErr w:type="spellStart"/>
            <w:r w:rsidRPr="00A03D6E">
              <w:t>BCL3</w:t>
            </w:r>
            <w:proofErr w:type="spellEnd"/>
            <w:r w:rsidR="00EE1FDA">
              <w:t> </w:t>
            </w:r>
            <w:r w:rsidR="00DD4435">
              <w:t>and</w:t>
            </w:r>
            <w:r w:rsidR="00EE1FDA">
              <w:t> </w:t>
            </w:r>
            <w:proofErr w:type="spellStart"/>
            <w:r w:rsidRPr="00A03D6E">
              <w:t>BCL4</w:t>
            </w:r>
            <w:proofErr w:type="spellEnd"/>
            <w:r w:rsidRPr="00A03D6E">
              <w:t>)</w:t>
            </w:r>
          </w:p>
          <w:p w:rsidR="003E270F" w:rsidRPr="00A03D6E" w:rsidRDefault="003E270F" w:rsidP="00A6338F">
            <w:pPr>
              <w:pStyle w:val="ListParagraph"/>
              <w:numPr>
                <w:ilvl w:val="0"/>
                <w:numId w:val="15"/>
              </w:numPr>
              <w:ind w:left="284" w:hanging="299"/>
            </w:pPr>
            <w:r w:rsidRPr="00A03D6E">
              <w:t xml:space="preserve">Integrate </w:t>
            </w:r>
            <w:r>
              <w:t>laboratory</w:t>
            </w:r>
            <w:r w:rsidRPr="00A03D6E">
              <w:t xml:space="preserve"> </w:t>
            </w:r>
            <w:r>
              <w:t>facilities</w:t>
            </w:r>
            <w:r w:rsidRPr="00A03D6E">
              <w:t xml:space="preserve"> across Australia, including </w:t>
            </w:r>
            <w:r>
              <w:t>an interconnected network</w:t>
            </w:r>
          </w:p>
          <w:p w:rsidR="003E270F" w:rsidRPr="00A03D6E" w:rsidRDefault="003E270F" w:rsidP="00A6338F">
            <w:pPr>
              <w:pStyle w:val="ListParagraph"/>
              <w:numPr>
                <w:ilvl w:val="0"/>
                <w:numId w:val="15"/>
              </w:numPr>
              <w:ind w:left="284" w:hanging="299"/>
            </w:pPr>
            <w:r w:rsidRPr="00A03D6E">
              <w:t xml:space="preserve">Exploring </w:t>
            </w:r>
            <w:r>
              <w:t xml:space="preserve">cyber security beyond protecting endpoints to one of protecting a system </w:t>
            </w:r>
          </w:p>
          <w:p w:rsidR="003E270F" w:rsidRPr="00A03D6E" w:rsidRDefault="003E270F" w:rsidP="00A6338F">
            <w:pPr>
              <w:pStyle w:val="ListParagraph"/>
              <w:ind w:left="284"/>
              <w:rPr>
                <w:b/>
              </w:rPr>
            </w:pPr>
          </w:p>
        </w:tc>
      </w:tr>
    </w:tbl>
    <w:p w:rsidR="003E270F" w:rsidRPr="00C32DE8" w:rsidRDefault="003E270F" w:rsidP="003E270F">
      <w:pPr>
        <w:rPr>
          <w:sz w:val="16"/>
          <w:szCs w:val="16"/>
        </w:rPr>
      </w:pPr>
    </w:p>
    <w:tbl>
      <w:tblPr>
        <w:tblStyle w:val="TableGrid"/>
        <w:tblW w:w="9498" w:type="dxa"/>
        <w:tblInd w:w="-34" w:type="dxa"/>
        <w:tblLook w:val="04A0" w:firstRow="1" w:lastRow="0" w:firstColumn="1" w:lastColumn="0" w:noHBand="0" w:noVBand="1"/>
        <w:tblCaption w:val="Tabale cell containing questions 27, 28 &amp; 29"/>
        <w:tblDescription w:val="Q27: Are the identified emerging directions and research infrastructure capabilities for National Security right? Are there any missing or additional needed?&#10;Q28: Are there any international research infrastructure collaborations or emerging projects that Australia should engage in over the next ten years and beyond?&#10;Q29: Is there anything else that needs to be included or considered in the 2016 Roadmap for the National Security capability area?&#10;"/>
      </w:tblPr>
      <w:tblGrid>
        <w:gridCol w:w="9498"/>
      </w:tblGrid>
      <w:tr w:rsidR="003E270F" w:rsidRPr="00E70C42" w:rsidTr="00676CA8">
        <w:tc>
          <w:tcPr>
            <w:tcW w:w="9498" w:type="dxa"/>
            <w:shd w:val="clear" w:color="auto" w:fill="FFC000"/>
          </w:tcPr>
          <w:p w:rsidR="003E270F" w:rsidRPr="00E70C42" w:rsidRDefault="003E270F" w:rsidP="00676CA8">
            <w:pPr>
              <w:autoSpaceDE w:val="0"/>
              <w:autoSpaceDN w:val="0"/>
              <w:adjustRightInd w:val="0"/>
              <w:spacing w:before="180" w:after="180" w:line="276" w:lineRule="auto"/>
              <w:ind w:left="1418" w:hanging="1276"/>
              <w:rPr>
                <w:rFonts w:cstheme="minorHAnsi"/>
                <w:b/>
              </w:rPr>
            </w:pPr>
            <w:r w:rsidRPr="00E70C42">
              <w:rPr>
                <w:rFonts w:cstheme="minorHAnsi"/>
                <w:b/>
              </w:rPr>
              <w:t>Question 2</w:t>
            </w:r>
            <w:r w:rsidR="00DE7B22">
              <w:rPr>
                <w:rFonts w:cstheme="minorHAnsi"/>
                <w:b/>
              </w:rPr>
              <w:t>7</w:t>
            </w:r>
            <w:r w:rsidRPr="00E70C42">
              <w:rPr>
                <w:rFonts w:cstheme="minorHAnsi"/>
                <w:b/>
              </w:rPr>
              <w:t>:</w:t>
            </w:r>
            <w:r w:rsidRPr="00E70C42">
              <w:rPr>
                <w:rFonts w:cstheme="minorHAnsi"/>
                <w:b/>
              </w:rPr>
              <w:tab/>
              <w:t>Are the identified emerging directions and research infrastructure capabilities for National Security right? Are there any missing or additional needed?</w:t>
            </w:r>
          </w:p>
          <w:p w:rsidR="003E270F" w:rsidRPr="00E70C42" w:rsidRDefault="003E270F" w:rsidP="00676CA8">
            <w:pPr>
              <w:autoSpaceDE w:val="0"/>
              <w:autoSpaceDN w:val="0"/>
              <w:adjustRightInd w:val="0"/>
              <w:spacing w:before="180" w:after="180" w:line="276" w:lineRule="auto"/>
              <w:ind w:left="1418" w:hanging="1276"/>
              <w:rPr>
                <w:rFonts w:cstheme="minorHAnsi"/>
                <w:b/>
              </w:rPr>
            </w:pPr>
            <w:r w:rsidRPr="00E70C42">
              <w:rPr>
                <w:rFonts w:cstheme="minorHAnsi"/>
                <w:b/>
              </w:rPr>
              <w:t>Question 2</w:t>
            </w:r>
            <w:r w:rsidR="00DE7B22">
              <w:rPr>
                <w:rFonts w:cstheme="minorHAnsi"/>
                <w:b/>
              </w:rPr>
              <w:t>8</w:t>
            </w:r>
            <w:r w:rsidRPr="00E70C42">
              <w:rPr>
                <w:rFonts w:cstheme="minorHAnsi"/>
                <w:b/>
              </w:rPr>
              <w:t>:</w:t>
            </w:r>
            <w:r w:rsidRPr="00E70C42">
              <w:rPr>
                <w:rFonts w:cstheme="minorHAnsi"/>
                <w:b/>
              </w:rPr>
              <w:tab/>
              <w:t>Are there any international research infrastructure collaborations or emerging projects that Australia should engage in over the next ten years and beyond?</w:t>
            </w:r>
          </w:p>
          <w:p w:rsidR="003E270F" w:rsidRPr="00E70C42" w:rsidRDefault="003E270F" w:rsidP="00676CA8">
            <w:pPr>
              <w:autoSpaceDE w:val="0"/>
              <w:autoSpaceDN w:val="0"/>
              <w:adjustRightInd w:val="0"/>
              <w:spacing w:before="200" w:after="180" w:line="276" w:lineRule="auto"/>
              <w:ind w:left="1418" w:hanging="1276"/>
              <w:rPr>
                <w:b/>
              </w:rPr>
            </w:pPr>
            <w:r w:rsidRPr="00E70C42">
              <w:rPr>
                <w:rFonts w:cstheme="minorHAnsi"/>
                <w:b/>
              </w:rPr>
              <w:t>Question 2</w:t>
            </w:r>
            <w:r w:rsidR="00DE7B22">
              <w:rPr>
                <w:rFonts w:cstheme="minorHAnsi"/>
                <w:b/>
              </w:rPr>
              <w:t>9</w:t>
            </w:r>
            <w:r w:rsidRPr="00E70C42">
              <w:rPr>
                <w:rFonts w:cstheme="minorHAnsi"/>
                <w:b/>
              </w:rPr>
              <w:t>:</w:t>
            </w:r>
            <w:r w:rsidRPr="00E70C42">
              <w:rPr>
                <w:rFonts w:cstheme="minorHAnsi"/>
                <w:b/>
              </w:rPr>
              <w:tab/>
              <w:t>Is there anything else that needs to be included or considered in the 2016 Roadmap for the National Security capability area?</w:t>
            </w:r>
          </w:p>
        </w:tc>
      </w:tr>
    </w:tbl>
    <w:p w:rsidR="003E270F" w:rsidRPr="00620F1A" w:rsidRDefault="003E270F" w:rsidP="003E270F">
      <w:pPr>
        <w:rPr>
          <w:rFonts w:eastAsia="Calibri"/>
        </w:rPr>
      </w:pPr>
    </w:p>
    <w:p w:rsidR="003E270F" w:rsidRDefault="003E270F">
      <w:pPr>
        <w:rPr>
          <w:rFonts w:ascii="Calibri" w:eastAsiaTheme="majorEastAsia" w:hAnsi="Calibri" w:cstheme="majorBidi"/>
          <w:b/>
          <w:bCs/>
          <w:noProof/>
          <w:color w:val="000000" w:themeColor="text1"/>
          <w:sz w:val="36"/>
          <w:szCs w:val="28"/>
        </w:rPr>
      </w:pPr>
      <w:r>
        <w:rPr>
          <w:noProof/>
        </w:rPr>
        <w:br w:type="page"/>
      </w:r>
    </w:p>
    <w:p w:rsidR="007328B2" w:rsidRDefault="007328B2" w:rsidP="007328B2">
      <w:pPr>
        <w:pStyle w:val="Heading1"/>
      </w:pPr>
      <w:bookmarkStart w:id="43" w:name="_Toc455414556"/>
      <w:bookmarkStart w:id="44" w:name="_Toc456042397"/>
      <w:bookmarkStart w:id="45" w:name="_Toc456449026"/>
      <w:r>
        <w:lastRenderedPageBreak/>
        <w:t>Underpinning Research Infrastructure</w:t>
      </w:r>
      <w:bookmarkEnd w:id="43"/>
      <w:bookmarkEnd w:id="44"/>
      <w:bookmarkEnd w:id="45"/>
    </w:p>
    <w:p w:rsidR="007328B2" w:rsidRDefault="007328B2" w:rsidP="007328B2">
      <w:pPr>
        <w:spacing w:after="120"/>
      </w:pPr>
      <w:r>
        <w:t>There are a number of areas that can be classified as ‘Underpinning Research Infrastructure’ which, as the name suggests, relates to infrastructure that underpins broad areas of research or in some cases all research. For the purposes of the Issues Paper, these include:</w:t>
      </w:r>
    </w:p>
    <w:p w:rsidR="007328B2" w:rsidRDefault="007328B2" w:rsidP="007328B2">
      <w:pPr>
        <w:pStyle w:val="ListParagraph"/>
        <w:numPr>
          <w:ilvl w:val="0"/>
          <w:numId w:val="22"/>
        </w:numPr>
        <w:spacing w:before="120" w:after="60"/>
        <w:ind w:left="357" w:hanging="357"/>
      </w:pPr>
      <w:r>
        <w:t>High Performance Computing (</w:t>
      </w:r>
      <w:proofErr w:type="spellStart"/>
      <w:r>
        <w:t>HPC</w:t>
      </w:r>
      <w:proofErr w:type="spellEnd"/>
      <w:r>
        <w:t>)</w:t>
      </w:r>
    </w:p>
    <w:p w:rsidR="007328B2" w:rsidRDefault="007328B2" w:rsidP="007328B2">
      <w:pPr>
        <w:pStyle w:val="ListParagraph"/>
        <w:numPr>
          <w:ilvl w:val="0"/>
          <w:numId w:val="22"/>
        </w:numPr>
        <w:spacing w:before="120" w:after="60"/>
        <w:ind w:left="357" w:hanging="357"/>
      </w:pPr>
      <w:r>
        <w:t>High capacity networks</w:t>
      </w:r>
    </w:p>
    <w:p w:rsidR="007328B2" w:rsidRDefault="007328B2" w:rsidP="007328B2">
      <w:pPr>
        <w:pStyle w:val="ListParagraph"/>
        <w:numPr>
          <w:ilvl w:val="0"/>
          <w:numId w:val="22"/>
        </w:numPr>
        <w:spacing w:before="120" w:after="60"/>
        <w:ind w:left="357" w:hanging="357"/>
      </w:pPr>
      <w:r>
        <w:t>Trusted communication (access and authentication)</w:t>
      </w:r>
    </w:p>
    <w:p w:rsidR="007328B2" w:rsidRDefault="00A25E0A" w:rsidP="007328B2">
      <w:pPr>
        <w:pStyle w:val="ListParagraph"/>
        <w:numPr>
          <w:ilvl w:val="0"/>
          <w:numId w:val="22"/>
        </w:numPr>
        <w:spacing w:before="120" w:after="60"/>
        <w:ind w:left="357" w:hanging="357"/>
      </w:pPr>
      <w:r>
        <w:t>Neutron and x</w:t>
      </w:r>
      <w:r w:rsidR="007328B2">
        <w:t>-ray scattering</w:t>
      </w:r>
    </w:p>
    <w:p w:rsidR="007328B2" w:rsidRDefault="007328B2" w:rsidP="007328B2">
      <w:pPr>
        <w:pStyle w:val="ListParagraph"/>
        <w:numPr>
          <w:ilvl w:val="0"/>
          <w:numId w:val="22"/>
        </w:numPr>
        <w:spacing w:before="120" w:after="60"/>
        <w:ind w:left="357" w:hanging="357"/>
      </w:pPr>
      <w:r>
        <w:t>Geospatial systems</w:t>
      </w:r>
    </w:p>
    <w:p w:rsidR="007328B2" w:rsidRDefault="007328B2" w:rsidP="007328B2">
      <w:pPr>
        <w:pStyle w:val="ListParagraph"/>
        <w:numPr>
          <w:ilvl w:val="0"/>
          <w:numId w:val="22"/>
        </w:numPr>
        <w:spacing w:before="120" w:after="60"/>
        <w:ind w:left="357" w:hanging="357"/>
      </w:pPr>
      <w:r>
        <w:t>Digitisation</w:t>
      </w:r>
    </w:p>
    <w:p w:rsidR="007328B2" w:rsidRDefault="007328B2" w:rsidP="007328B2">
      <w:r>
        <w:t xml:space="preserve">The lists of capabilities presented here are neither exhaustive nor prioritised. </w:t>
      </w:r>
    </w:p>
    <w:p w:rsidR="007328B2" w:rsidRDefault="007328B2" w:rsidP="007328B2">
      <w:pPr>
        <w:pStyle w:val="Heading2"/>
        <w:ind w:left="567"/>
      </w:pPr>
      <w:r>
        <w:t>Emerging directions</w:t>
      </w:r>
    </w:p>
    <w:p w:rsidR="007328B2" w:rsidRDefault="007328B2" w:rsidP="007328B2">
      <w:r>
        <w:t>Underpinning research infrastructure has a broad base of users and provides a critical foundational component for many other research infrastructure areas of the 2016 Roadmap.</w:t>
      </w:r>
    </w:p>
    <w:p w:rsidR="007328B2" w:rsidRDefault="007328B2" w:rsidP="007328B2">
      <w:pPr>
        <w:pStyle w:val="Heading3"/>
      </w:pPr>
      <w:proofErr w:type="gramStart"/>
      <w:r>
        <w:t>eResearch</w:t>
      </w:r>
      <w:proofErr w:type="gramEnd"/>
      <w:r>
        <w:t xml:space="preserve"> infrastructure</w:t>
      </w:r>
    </w:p>
    <w:p w:rsidR="007328B2" w:rsidRDefault="007328B2" w:rsidP="007328B2">
      <w:r>
        <w:t>‘Underpinning’ eResearch infrastructur</w:t>
      </w:r>
      <w:r w:rsidR="00A4307D">
        <w:t xml:space="preserve">e – </w:t>
      </w:r>
      <w:r>
        <w:t>high performance computing, high capacity networks and access and authentication</w:t>
      </w:r>
      <w:r w:rsidR="00A4307D">
        <w:t xml:space="preserve"> – is</w:t>
      </w:r>
      <w:r>
        <w:t xml:space="preserve"> creating new research methods and enabling collaboration that allows researchers to address today’s big challenges. Researchers are increasingly depending on eResearch infrastructure and demand is continuously growing. It is essential that Australia continues to build on existing investments and optimises future investment strategies to ensure that researchers have access to the tools they need for cross-disciplinary and collaborative problem solving, the platforms to deploy research findings and the mechanisms that support the rapid diffusion of ideas.</w:t>
      </w:r>
    </w:p>
    <w:p w:rsidR="007328B2" w:rsidRDefault="007328B2" w:rsidP="007328B2">
      <w:pPr>
        <w:pStyle w:val="Heading3"/>
      </w:pPr>
      <w:r>
        <w:t>Geospatial systems</w:t>
      </w:r>
    </w:p>
    <w:p w:rsidR="007328B2" w:rsidRDefault="007328B2" w:rsidP="007328B2">
      <w:pPr>
        <w:rPr>
          <w:rFonts w:cstheme="minorHAnsi"/>
          <w:lang w:val="en"/>
        </w:rPr>
      </w:pPr>
      <w:r>
        <w:rPr>
          <w:rFonts w:cstheme="minorHAnsi"/>
          <w:lang w:val="en"/>
        </w:rPr>
        <w:t>Advances in technology, including t</w:t>
      </w:r>
      <w:r w:rsidRPr="0067199D">
        <w:rPr>
          <w:rFonts w:cstheme="minorHAnsi"/>
          <w:lang w:val="en"/>
        </w:rPr>
        <w:t xml:space="preserve">he advent of remote sensing </w:t>
      </w:r>
      <w:r>
        <w:rPr>
          <w:rFonts w:cstheme="minorHAnsi"/>
          <w:lang w:val="en"/>
        </w:rPr>
        <w:t>such as</w:t>
      </w:r>
      <w:r w:rsidRPr="0067199D">
        <w:rPr>
          <w:rFonts w:cstheme="minorHAnsi"/>
          <w:lang w:val="en"/>
        </w:rPr>
        <w:t xml:space="preserve"> imagery and other forms of data from planes</w:t>
      </w:r>
      <w:r>
        <w:rPr>
          <w:rFonts w:cstheme="minorHAnsi"/>
          <w:lang w:val="en"/>
        </w:rPr>
        <w:t>,</w:t>
      </w:r>
      <w:r w:rsidRPr="0067199D">
        <w:rPr>
          <w:rFonts w:cstheme="minorHAnsi"/>
          <w:lang w:val="en"/>
        </w:rPr>
        <w:t xml:space="preserve"> satellites and Global Positioning Systems, </w:t>
      </w:r>
      <w:r>
        <w:rPr>
          <w:rFonts w:cstheme="minorHAnsi"/>
          <w:lang w:val="en"/>
        </w:rPr>
        <w:t xml:space="preserve">as well as high performance computing and software means that there continue to be </w:t>
      </w:r>
      <w:r w:rsidRPr="0067199D">
        <w:rPr>
          <w:rFonts w:cstheme="minorHAnsi"/>
          <w:lang w:val="en"/>
        </w:rPr>
        <w:t xml:space="preserve">fundamental advances </w:t>
      </w:r>
      <w:r>
        <w:rPr>
          <w:rFonts w:cstheme="minorHAnsi"/>
          <w:lang w:val="en"/>
        </w:rPr>
        <w:t xml:space="preserve">made in relation to </w:t>
      </w:r>
      <w:r w:rsidRPr="00A67DB8">
        <w:rPr>
          <w:rFonts w:cstheme="minorHAnsi"/>
          <w:lang w:val="en"/>
        </w:rPr>
        <w:t>geospatial</w:t>
      </w:r>
      <w:r w:rsidRPr="0067199D">
        <w:rPr>
          <w:rFonts w:cstheme="minorHAnsi"/>
          <w:lang w:val="en"/>
        </w:rPr>
        <w:t xml:space="preserve"> capabilities. </w:t>
      </w:r>
    </w:p>
    <w:p w:rsidR="007328B2" w:rsidRDefault="007328B2" w:rsidP="007328B2">
      <w:pPr>
        <w:pStyle w:val="Heading3"/>
      </w:pPr>
      <w:r>
        <w:t>Digitisation</w:t>
      </w:r>
    </w:p>
    <w:p w:rsidR="007328B2" w:rsidRDefault="007328B2" w:rsidP="007328B2">
      <w:pPr>
        <w:spacing w:before="120" w:after="0"/>
      </w:pPr>
      <w:r>
        <w:t>A digitisation infrastructure capability</w:t>
      </w:r>
      <w:r w:rsidR="006C0D5F">
        <w:t>, covering a range of research areas,</w:t>
      </w:r>
      <w:r>
        <w:t xml:space="preserve"> is required to build Australia’s capacity to enable large collections of artefacts, images, sound recordings, documents, films, animals, insects, plants and geological samples to be accessible in digital form.</w:t>
      </w:r>
      <w:r w:rsidR="000126C7">
        <w:t xml:space="preserve"> </w:t>
      </w:r>
      <w:r>
        <w:t>While individual institutions are working to develop digitised collections, it is a slow process that would benefit from national coordination and funding.</w:t>
      </w:r>
      <w:r w:rsidR="000126C7">
        <w:t xml:space="preserve"> </w:t>
      </w:r>
    </w:p>
    <w:p w:rsidR="007328B2" w:rsidRDefault="007328B2" w:rsidP="007328B2">
      <w:pPr>
        <w:spacing w:before="120" w:after="0"/>
      </w:pPr>
      <w:r>
        <w:t>Access to digital records allows researchers to gather information easily and respond rapidly to research questions and vital scenarios and enables cross-disciplinary research.</w:t>
      </w:r>
      <w:r w:rsidR="000126C7">
        <w:t xml:space="preserve"> </w:t>
      </w:r>
      <w:r>
        <w:t>Further, access to digitised and connected collections offers many time and cost benefits for researchers, leading to significant productivity gains.</w:t>
      </w:r>
    </w:p>
    <w:p w:rsidR="007328B2" w:rsidRDefault="003E270F" w:rsidP="007328B2">
      <w:pPr>
        <w:pStyle w:val="Heading2"/>
        <w:ind w:left="567"/>
      </w:pPr>
      <w:r>
        <w:lastRenderedPageBreak/>
        <w:t xml:space="preserve">Current </w:t>
      </w:r>
      <w:r w:rsidRPr="000F01EF">
        <w:t xml:space="preserve">Capability </w:t>
      </w:r>
      <w:r>
        <w:t>and Emerging Capability Needs</w:t>
      </w:r>
    </w:p>
    <w:p w:rsidR="007328B2" w:rsidRPr="0067199D" w:rsidRDefault="007328B2" w:rsidP="007328B2">
      <w:pPr>
        <w:pStyle w:val="Heading3"/>
      </w:pPr>
      <w:r w:rsidRPr="0067199D">
        <w:t xml:space="preserve">High </w:t>
      </w:r>
      <w:r>
        <w:t>p</w:t>
      </w:r>
      <w:r w:rsidRPr="0067199D">
        <w:t xml:space="preserve">erformance </w:t>
      </w:r>
      <w:r>
        <w:t>c</w:t>
      </w:r>
      <w:r w:rsidRPr="0067199D">
        <w:t>omputing</w:t>
      </w:r>
    </w:p>
    <w:p w:rsidR="007328B2" w:rsidRPr="00450729" w:rsidRDefault="007328B2" w:rsidP="007328B2">
      <w:r>
        <w:t xml:space="preserve">Australia currently has two Tier 1 </w:t>
      </w:r>
      <w:proofErr w:type="spellStart"/>
      <w:r>
        <w:t>HPC</w:t>
      </w:r>
      <w:proofErr w:type="spellEnd"/>
      <w:r>
        <w:t xml:space="preserve"> facilities that are available to researchers. This capacity has been sufficient up to this point, but the facilities and their users have indicated that computing power will need to be increased soon to meet both compute and data storage requirements.</w:t>
      </w:r>
      <w:r w:rsidR="000126C7">
        <w:t xml:space="preserve"> </w:t>
      </w:r>
      <w:r>
        <w:t>Both facilities have significant supporting infrastructure in place, in terms of both physical infrastructure and expert staff.</w:t>
      </w:r>
      <w:r w:rsidR="00012476">
        <w:t xml:space="preserve"> </w:t>
      </w:r>
      <w:r>
        <w:t xml:space="preserve">Australia also has a number of Tier 2 facilities located across the country. </w:t>
      </w:r>
    </w:p>
    <w:p w:rsidR="007328B2" w:rsidRPr="00A67DB8" w:rsidRDefault="007328B2" w:rsidP="007328B2">
      <w:pPr>
        <w:pStyle w:val="Heading3"/>
      </w:pPr>
      <w:r w:rsidRPr="0067199D">
        <w:t xml:space="preserve">High </w:t>
      </w:r>
      <w:r>
        <w:t>c</w:t>
      </w:r>
      <w:r w:rsidRPr="0067199D">
        <w:t xml:space="preserve">apacity </w:t>
      </w:r>
      <w:r>
        <w:t>n</w:t>
      </w:r>
      <w:r w:rsidRPr="0067199D">
        <w:t>etworks</w:t>
      </w:r>
    </w:p>
    <w:p w:rsidR="007328B2" w:rsidRDefault="007328B2" w:rsidP="007328B2">
      <w:r>
        <w:t>Australia has a research and education data network that services most of the country. As would be expected for a country of Australia’s size, the network does not reach all of the population and there are areas where users cannot get access. Overall, though, its current reach and capacity are serving the majority of researchers well. There are difficulties associated with industry users gaining access to the network. There are valid reasons for these difficulties, but access remains an issue.</w:t>
      </w:r>
    </w:p>
    <w:p w:rsidR="007328B2" w:rsidRPr="00A67DB8" w:rsidRDefault="007328B2" w:rsidP="007328B2">
      <w:pPr>
        <w:pStyle w:val="Heading3"/>
      </w:pPr>
      <w:r w:rsidRPr="0067199D">
        <w:t>Access and authentication</w:t>
      </w:r>
    </w:p>
    <w:p w:rsidR="007328B2" w:rsidRDefault="007328B2" w:rsidP="007328B2">
      <w:r>
        <w:t>Australia has a robust access broker, which allows researchers to collaborate more easily across different institutions. The service provided serves researchers’ needs within Australia well.</w:t>
      </w:r>
      <w:r w:rsidR="000126C7">
        <w:t xml:space="preserve"> </w:t>
      </w:r>
      <w:r>
        <w:t xml:space="preserve">Additional international access would be beneficial to encourage greater collaboration. </w:t>
      </w:r>
    </w:p>
    <w:p w:rsidR="007328B2" w:rsidRDefault="007328B2" w:rsidP="007328B2">
      <w:pPr>
        <w:pStyle w:val="Heading3"/>
      </w:pPr>
      <w:r>
        <w:t>Neutron and x-ray scattering</w:t>
      </w:r>
    </w:p>
    <w:p w:rsidR="007328B2" w:rsidRPr="00620F1A" w:rsidRDefault="007328B2" w:rsidP="007328B2">
      <w:pPr>
        <w:rPr>
          <w:rFonts w:ascii="Calibri" w:hAnsi="Calibri" w:cstheme="minorHAnsi"/>
        </w:rPr>
      </w:pPr>
      <w:r>
        <w:rPr>
          <w:rFonts w:ascii="Calibri" w:hAnsi="Calibri" w:cstheme="minorHAnsi"/>
        </w:rPr>
        <w:t xml:space="preserve">In these important fields of characterisation there is an ongoing requirement for new neutron beam facilities and beamlines utilising the Australian Synchrotron. New application and existing capacity could be expanded at these facilities. </w:t>
      </w:r>
      <w:r w:rsidRPr="00620F1A">
        <w:rPr>
          <w:rFonts w:ascii="Calibri" w:hAnsi="Calibri" w:cstheme="minorHAnsi"/>
        </w:rPr>
        <w:t>International facilities</w:t>
      </w:r>
      <w:r>
        <w:rPr>
          <w:rFonts w:ascii="Calibri" w:hAnsi="Calibri" w:cstheme="minorHAnsi"/>
        </w:rPr>
        <w:t xml:space="preserve"> have complementary capabilities and therefore international access schemes remain important.</w:t>
      </w:r>
      <w:r w:rsidRPr="00620F1A">
        <w:rPr>
          <w:rFonts w:ascii="Calibri" w:hAnsi="Calibri" w:cstheme="minorHAnsi"/>
        </w:rPr>
        <w:t xml:space="preserve"> </w:t>
      </w:r>
    </w:p>
    <w:p w:rsidR="007328B2" w:rsidRDefault="007328B2" w:rsidP="007328B2">
      <w:pPr>
        <w:rPr>
          <w:rFonts w:ascii="Calibri" w:hAnsi="Calibri" w:cstheme="minorHAnsi"/>
        </w:rPr>
      </w:pPr>
      <w:r w:rsidRPr="00620F1A">
        <w:rPr>
          <w:rFonts w:ascii="Calibri" w:hAnsi="Calibri" w:cstheme="minorHAnsi"/>
        </w:rPr>
        <w:t xml:space="preserve">Australia needs to maintain a domestic presence in nuclear science </w:t>
      </w:r>
      <w:r>
        <w:rPr>
          <w:rFonts w:ascii="Calibri" w:hAnsi="Calibri" w:cstheme="minorHAnsi"/>
        </w:rPr>
        <w:t xml:space="preserve">and applications </w:t>
      </w:r>
      <w:r w:rsidRPr="00620F1A">
        <w:rPr>
          <w:rFonts w:ascii="Calibri" w:hAnsi="Calibri" w:cstheme="minorHAnsi"/>
        </w:rPr>
        <w:t>as a matter of sovereignty</w:t>
      </w:r>
      <w:r>
        <w:rPr>
          <w:rFonts w:ascii="Calibri" w:hAnsi="Calibri" w:cstheme="minorHAnsi"/>
        </w:rPr>
        <w:t xml:space="preserve"> and national security</w:t>
      </w:r>
      <w:r w:rsidRPr="00620F1A">
        <w:rPr>
          <w:rFonts w:ascii="Calibri" w:hAnsi="Calibri" w:cstheme="minorHAnsi"/>
        </w:rPr>
        <w:t>.</w:t>
      </w:r>
    </w:p>
    <w:p w:rsidR="007328B2" w:rsidRDefault="007328B2" w:rsidP="007328B2">
      <w:r>
        <w:t>Australia has one national synchrotron – the Australian Synchrotron.</w:t>
      </w:r>
      <w:r w:rsidR="000126C7">
        <w:t xml:space="preserve"> </w:t>
      </w:r>
      <w:r>
        <w:t xml:space="preserve">Currently the Australian Synchrotron operates world-leading capabilities in </w:t>
      </w:r>
      <w:r w:rsidRPr="009D76E2">
        <w:rPr>
          <w:i/>
        </w:rPr>
        <w:t>Small Angle X-ray Scattering</w:t>
      </w:r>
      <w:r>
        <w:t xml:space="preserve"> and </w:t>
      </w:r>
      <w:r w:rsidRPr="009D76E2">
        <w:rPr>
          <w:i/>
        </w:rPr>
        <w:t>X-ray Fluorescence Microscopy</w:t>
      </w:r>
      <w:r>
        <w:t xml:space="preserve">, with potential emerging world-leading capability in </w:t>
      </w:r>
      <w:proofErr w:type="spellStart"/>
      <w:r w:rsidRPr="009D76E2">
        <w:rPr>
          <w:i/>
        </w:rPr>
        <w:t>Microbeam</w:t>
      </w:r>
      <w:proofErr w:type="spellEnd"/>
      <w:r w:rsidRPr="009D76E2">
        <w:rPr>
          <w:i/>
        </w:rPr>
        <w:t xml:space="preserve"> Radiation Therapy</w:t>
      </w:r>
      <w:r>
        <w:t xml:space="preserve"> and </w:t>
      </w:r>
      <w:r w:rsidRPr="009D76E2">
        <w:rPr>
          <w:i/>
        </w:rPr>
        <w:t>Biomedical X-ray Imaging</w:t>
      </w:r>
      <w:r>
        <w:t>.</w:t>
      </w:r>
      <w:r w:rsidR="000126C7">
        <w:t xml:space="preserve"> </w:t>
      </w:r>
    </w:p>
    <w:p w:rsidR="007328B2" w:rsidRDefault="007328B2" w:rsidP="007328B2">
      <w:r>
        <w:t>There is substantial over-subscription for existing neutron scattering facilities at the OPAL reactor and access to beamlines at the Australian Synchrotron with demand typically between 150</w:t>
      </w:r>
      <w:r w:rsidR="00E30E3E">
        <w:t>-</w:t>
      </w:r>
      <w:r>
        <w:t>200</w:t>
      </w:r>
      <w:r w:rsidR="00BA5937">
        <w:t xml:space="preserve"> per cent</w:t>
      </w:r>
      <w:r>
        <w:t xml:space="preserve"> of availability.</w:t>
      </w:r>
      <w:r w:rsidR="000126C7">
        <w:t xml:space="preserve"> </w:t>
      </w:r>
      <w:r>
        <w:t>Advances in technology have reduced experiment times and supported high throughput; however enhanced capabilities would leverage existing investments.</w:t>
      </w:r>
      <w:r w:rsidR="000126C7">
        <w:t xml:space="preserve"> </w:t>
      </w:r>
    </w:p>
    <w:p w:rsidR="007328B2" w:rsidRPr="00C101C3" w:rsidRDefault="007328B2" w:rsidP="007328B2">
      <w:pPr>
        <w:pStyle w:val="Heading3"/>
      </w:pPr>
      <w:r w:rsidRPr="00C101C3">
        <w:t>Geospatial</w:t>
      </w:r>
      <w:r>
        <w:t xml:space="preserve"> systems</w:t>
      </w:r>
    </w:p>
    <w:p w:rsidR="007328B2" w:rsidRDefault="007328B2" w:rsidP="007328B2">
      <w:r w:rsidRPr="0067199D">
        <w:t>Geospatial data and data models are well developed and are used by a number of disciplines.</w:t>
      </w:r>
      <w:r w:rsidR="000126C7">
        <w:t xml:space="preserve"> </w:t>
      </w:r>
      <w:r w:rsidRPr="0067199D">
        <w:t>Current capabilities</w:t>
      </w:r>
      <w:r>
        <w:t xml:space="preserve"> that use geospatial data include projects such as National Positioning Infrastructure and the Australian Data Cube. </w:t>
      </w:r>
    </w:p>
    <w:p w:rsidR="007328B2" w:rsidRDefault="007328B2" w:rsidP="007328B2">
      <w:r w:rsidRPr="0067199D">
        <w:lastRenderedPageBreak/>
        <w:t>In terms of data management, geospatial data tends to require large storage volumes and fast processors and this is especially the case for remotely sensed data.</w:t>
      </w:r>
      <w:r>
        <w:t xml:space="preserve"> This is served through eResearch infrastructure but growing use and demand will mean that reliance will grow and the eResearch capability must grow with it.</w:t>
      </w:r>
    </w:p>
    <w:p w:rsidR="007328B2" w:rsidRPr="00E70C42" w:rsidRDefault="007328B2" w:rsidP="007328B2">
      <w:pPr>
        <w:pStyle w:val="Heading3"/>
      </w:pPr>
      <w:r w:rsidRPr="00E70C42">
        <w:t>Digitisation</w:t>
      </w:r>
    </w:p>
    <w:p w:rsidR="007328B2" w:rsidRDefault="007328B2" w:rsidP="007328B2">
      <w:r>
        <w:t>While individual institutions are working to develop digitised collections, it is a slow process that would benefit from national coordination and funding.</w:t>
      </w:r>
      <w:r w:rsidR="000126C7">
        <w:t xml:space="preserve"> </w:t>
      </w:r>
    </w:p>
    <w:p w:rsidR="00DF7527" w:rsidRPr="000F01EF" w:rsidRDefault="00DF7527" w:rsidP="00DF7527">
      <w:pPr>
        <w:pStyle w:val="Heading2"/>
        <w:ind w:left="567"/>
      </w:pPr>
      <w:r>
        <w:t xml:space="preserve">Desirable </w:t>
      </w:r>
      <w:r w:rsidRPr="000F01EF">
        <w:t xml:space="preserve">New </w:t>
      </w:r>
      <w:r>
        <w:t>C</w:t>
      </w:r>
      <w:r w:rsidRPr="000F01EF">
        <w:t>apabilities</w:t>
      </w:r>
    </w:p>
    <w:p w:rsidR="007328B2" w:rsidRPr="00333E18" w:rsidRDefault="007328B2" w:rsidP="007328B2">
      <w:pPr>
        <w:pStyle w:val="Heading3"/>
      </w:pPr>
      <w:r>
        <w:t>High performance computing</w:t>
      </w:r>
    </w:p>
    <w:p w:rsidR="007328B2" w:rsidRDefault="007328B2" w:rsidP="007328B2">
      <w:r>
        <w:t xml:space="preserve">Researchers are increasingly gathering and utilising digital data methods that require the use of coordinated </w:t>
      </w:r>
      <w:proofErr w:type="spellStart"/>
      <w:r>
        <w:t>HPC</w:t>
      </w:r>
      <w:proofErr w:type="spellEnd"/>
      <w:r>
        <w:t>.</w:t>
      </w:r>
      <w:r w:rsidRPr="005300FE">
        <w:t xml:space="preserve"> </w:t>
      </w:r>
      <w:r>
        <w:t xml:space="preserve">The demand is growing for both peak (Tier 1) </w:t>
      </w:r>
      <w:proofErr w:type="spellStart"/>
      <w:r>
        <w:t>HPC</w:t>
      </w:r>
      <w:proofErr w:type="spellEnd"/>
      <w:r>
        <w:t xml:space="preserve"> and shoulder (Tier 2) computing.</w:t>
      </w:r>
      <w:r w:rsidR="000126C7">
        <w:t xml:space="preserve"> </w:t>
      </w:r>
      <w:r>
        <w:t>For the purposes of this Issues Paper, Tier 1 facilities are described as generally having the capacity to support multiple research communities, while Tier 2 facilities are more focussed on a particular research community or are developed for the primary purpose of serving a single institution and associated researchers through collaboration.</w:t>
      </w:r>
      <w:r w:rsidR="000126C7">
        <w:t xml:space="preserve"> </w:t>
      </w:r>
    </w:p>
    <w:p w:rsidR="007328B2" w:rsidRDefault="007328B2" w:rsidP="007328B2">
      <w:r>
        <w:t xml:space="preserve">The </w:t>
      </w:r>
      <w:proofErr w:type="spellStart"/>
      <w:r>
        <w:t>HPC</w:t>
      </w:r>
      <w:proofErr w:type="spellEnd"/>
      <w:r>
        <w:t xml:space="preserve"> services required by researchers include computational simulation, data modelling and analysis, integration of complex model outputs with large datasets and throughput processing for high-volume data-producing instruments. It is clear that Australia requires </w:t>
      </w:r>
      <w:proofErr w:type="spellStart"/>
      <w:r>
        <w:t>HPC</w:t>
      </w:r>
      <w:proofErr w:type="spellEnd"/>
      <w:r>
        <w:t xml:space="preserve"> capacity at both the Tier 1 and Tier 2 scale to meet the existing and growing needs of the country’s researchers and to meet the commitments to international research endeavours such as the Square Kilometre Array project and climate system science. </w:t>
      </w:r>
    </w:p>
    <w:p w:rsidR="007328B2" w:rsidRDefault="007328B2" w:rsidP="007328B2">
      <w:r>
        <w:t xml:space="preserve">Australia’s Tier 1 facilities, which are currently managed, operated and funded separately, need to be upgraded at regular intervals to maintain a competitive edge globally, and to ensure that Australia’s researchers have adequate </w:t>
      </w:r>
      <w:proofErr w:type="spellStart"/>
      <w:r>
        <w:t>HPC</w:t>
      </w:r>
      <w:proofErr w:type="spellEnd"/>
      <w:r>
        <w:t xml:space="preserve"> capacity into the future. These two facilities should be upgraded in a planned, alternating fashion, meaning that the country will always have at least one facility operating at full capacity, even when the other is undergoing significant upgrades. </w:t>
      </w:r>
    </w:p>
    <w:p w:rsidR="007328B2" w:rsidRDefault="007328B2" w:rsidP="007328B2">
      <w:r>
        <w:t xml:space="preserve">To maintain a nationally coordinated Tier 1 </w:t>
      </w:r>
      <w:proofErr w:type="spellStart"/>
      <w:r>
        <w:t>HPC</w:t>
      </w:r>
      <w:proofErr w:type="spellEnd"/>
      <w:r>
        <w:t xml:space="preserve"> capability consideration must be given to national governance arrangements supported by a four year capital cycle. This may include greater integration which could yield greater coherence and connectivity as well as enable specialist expertise to be developed in a systemic way.</w:t>
      </w:r>
    </w:p>
    <w:p w:rsidR="007328B2" w:rsidRDefault="007328B2" w:rsidP="007328B2">
      <w:pPr>
        <w:pStyle w:val="Heading3"/>
      </w:pPr>
      <w:r>
        <w:t>High capacity networks</w:t>
      </w:r>
    </w:p>
    <w:p w:rsidR="007328B2" w:rsidRDefault="007328B2" w:rsidP="007328B2">
      <w:r>
        <w:t>High capacity n</w:t>
      </w:r>
      <w:r w:rsidRPr="00AB1364">
        <w:t xml:space="preserve">etwork connectivity is critical to Australian research. Securing the future of Australia’s research </w:t>
      </w:r>
      <w:r>
        <w:t xml:space="preserve">and education </w:t>
      </w:r>
      <w:r w:rsidRPr="00AB1364">
        <w:t xml:space="preserve">network infrastructure, </w:t>
      </w:r>
      <w:r>
        <w:t xml:space="preserve">the </w:t>
      </w:r>
      <w:r w:rsidRPr="00AB1364">
        <w:t>A</w:t>
      </w:r>
      <w:r>
        <w:t>ustralian Research and Education Network (</w:t>
      </w:r>
      <w:proofErr w:type="spellStart"/>
      <w:r>
        <w:t>AREN</w:t>
      </w:r>
      <w:proofErr w:type="spellEnd"/>
      <w:r>
        <w:t xml:space="preserve">), is essential. </w:t>
      </w:r>
    </w:p>
    <w:p w:rsidR="007328B2" w:rsidRPr="00AB1364" w:rsidRDefault="007328B2" w:rsidP="007328B2">
      <w:r w:rsidRPr="00AB1364">
        <w:t>Australia’s research network should be enhanced and expanded to reach more researchers. This should be done after carefully identifying the areas where the network will have the most strategic impact for research</w:t>
      </w:r>
      <w:r>
        <w:t xml:space="preserve"> and for research</w:t>
      </w:r>
      <w:r w:rsidRPr="00AB1364">
        <w:t xml:space="preserve"> and industry collaboration. </w:t>
      </w:r>
      <w:r w:rsidRPr="00585A15">
        <w:t xml:space="preserve">Enhancements of the existing </w:t>
      </w:r>
      <w:r w:rsidRPr="00585A15">
        <w:lastRenderedPageBreak/>
        <w:t xml:space="preserve">backbone should be considered, especially to capital cities not already connected to the n* </w:t>
      </w:r>
      <w:proofErr w:type="spellStart"/>
      <w:r w:rsidRPr="00585A15">
        <w:t>100G</w:t>
      </w:r>
      <w:proofErr w:type="spellEnd"/>
      <w:r w:rsidRPr="00585A15">
        <w:t xml:space="preserve"> </w:t>
      </w:r>
      <w:proofErr w:type="spellStart"/>
      <w:r w:rsidRPr="00585A15">
        <w:t>DWDM</w:t>
      </w:r>
      <w:proofErr w:type="spellEnd"/>
      <w:r w:rsidRPr="00585A15">
        <w:t xml:space="preserve"> backbone as a matter of equity</w:t>
      </w:r>
      <w:r>
        <w:t xml:space="preserve"> to researchers located in these cities</w:t>
      </w:r>
      <w:r w:rsidRPr="00585A15">
        <w:t xml:space="preserve">. International connectivity shows a strong bandwidth bias (10 </w:t>
      </w:r>
      <w:r w:rsidR="00DD4435">
        <w:t>and</w:t>
      </w:r>
      <w:r w:rsidRPr="00585A15">
        <w:t xml:space="preserve"> 40 </w:t>
      </w:r>
      <w:proofErr w:type="spellStart"/>
      <w:r w:rsidRPr="00585A15">
        <w:t>Gbps</w:t>
      </w:r>
      <w:proofErr w:type="spellEnd"/>
      <w:r w:rsidRPr="00585A15">
        <w:t xml:space="preserve">) to North America with a relatively narrow (2.5 </w:t>
      </w:r>
      <w:proofErr w:type="spellStart"/>
      <w:r w:rsidRPr="00585A15">
        <w:t>Gbps</w:t>
      </w:r>
      <w:proofErr w:type="spellEnd"/>
      <w:r w:rsidRPr="00585A15">
        <w:t>) connection to Singapore as Australia’s Asian gateway. Given the importance of Asia, and particularly China, as research partners with large data generation capacity, an assessment of projected international data transfers over the next decade would be worthwhile.</w:t>
      </w:r>
      <w:r w:rsidRPr="00AB1364">
        <w:t xml:space="preserve"> </w:t>
      </w:r>
    </w:p>
    <w:p w:rsidR="007328B2" w:rsidRDefault="007328B2" w:rsidP="007328B2">
      <w:r w:rsidRPr="00AB1364">
        <w:t xml:space="preserve">Consideration should be </w:t>
      </w:r>
      <w:r>
        <w:t>given</w:t>
      </w:r>
      <w:r w:rsidRPr="00AB1364">
        <w:t xml:space="preserve"> to extending the network into regional areas where commercial </w:t>
      </w:r>
      <w:r>
        <w:t>services are not available and not likely to expand into these areas</w:t>
      </w:r>
      <w:r w:rsidRPr="00AB1364">
        <w:t>. Not only are there planned research facilities in remote areas, but Australians in regional areas generate increasing amounts of data of potential interest to researchers</w:t>
      </w:r>
      <w:r>
        <w:t xml:space="preserve"> such as</w:t>
      </w:r>
      <w:r w:rsidRPr="00AB1364">
        <w:t xml:space="preserve"> precision agriculture</w:t>
      </w:r>
      <w:r>
        <w:t xml:space="preserve"> and resource management</w:t>
      </w:r>
      <w:r w:rsidRPr="00AB1364">
        <w:t xml:space="preserve">. Without appropriate network access the value of this data </w:t>
      </w:r>
      <w:r>
        <w:t>will not be fully exploited</w:t>
      </w:r>
      <w:r w:rsidRPr="00AB1364">
        <w:t>.</w:t>
      </w:r>
    </w:p>
    <w:p w:rsidR="007328B2" w:rsidRDefault="007328B2" w:rsidP="007328B2">
      <w:pPr>
        <w:pStyle w:val="Heading3"/>
      </w:pPr>
      <w:r>
        <w:t>Access and authentication</w:t>
      </w:r>
    </w:p>
    <w:p w:rsidR="007328B2" w:rsidRPr="00AC3159" w:rsidRDefault="007328B2" w:rsidP="007328B2">
      <w:pPr>
        <w:rPr>
          <w:rFonts w:ascii="Source Sans Pro" w:hAnsi="Source Sans Pro" w:cs="Arial"/>
          <w:sz w:val="29"/>
          <w:szCs w:val="29"/>
          <w:lang w:val="en"/>
        </w:rPr>
      </w:pPr>
      <w:r w:rsidRPr="00AC3159">
        <w:rPr>
          <w:rFonts w:cstheme="minorHAnsi"/>
          <w:lang w:val="en"/>
        </w:rPr>
        <w:t xml:space="preserve">The facilitation of trusted electronic communications and collaboration between education and research institutions both locally and internationally is a vital part of the Australian research infrastructure landscape. </w:t>
      </w:r>
      <w:r w:rsidRPr="00AC3159">
        <w:rPr>
          <w:rFonts w:cstheme="minorHAnsi"/>
        </w:rPr>
        <w:t>Australia’s</w:t>
      </w:r>
      <w:r>
        <w:t xml:space="preserve"> access and authentication infrastructure should be extended further to provide additional access to international researchers, where possible. Research is becoming more and more international, and allowing collaborating overseas researchers to access Australia’s network – with the appropriate authentication and controls – will make international collaborations much easier.</w:t>
      </w:r>
    </w:p>
    <w:p w:rsidR="007328B2" w:rsidRDefault="007328B2" w:rsidP="007328B2">
      <w:pPr>
        <w:pStyle w:val="Heading3"/>
      </w:pPr>
      <w:r>
        <w:t>Neutron and x-ray scattering</w:t>
      </w:r>
    </w:p>
    <w:p w:rsidR="007328B2" w:rsidRDefault="007328B2" w:rsidP="007328B2">
      <w:r>
        <w:t>Continued development of new modes of automated control and remote access systems will be of value to engage larger numbers of researchers and students at the Australian Synchrotron.</w:t>
      </w:r>
      <w:r w:rsidR="000126C7">
        <w:t xml:space="preserve"> </w:t>
      </w:r>
      <w:r>
        <w:t>New mechanisms of eResearch including multi-site, virtual participation in experiments will be of benefit to national and international collaboration.</w:t>
      </w:r>
    </w:p>
    <w:p w:rsidR="007328B2" w:rsidRDefault="007328B2" w:rsidP="007328B2">
      <w:pPr>
        <w:rPr>
          <w:rFonts w:cstheme="minorHAnsi"/>
        </w:rPr>
      </w:pPr>
      <w:r>
        <w:t>The Australian Synchrotron supports international access to many international synchrotron facilities to fill national capability gaps and to develop skills</w:t>
      </w:r>
      <w:r w:rsidRPr="00344641">
        <w:t>. A</w:t>
      </w:r>
      <w:r w:rsidRPr="00344641">
        <w:rPr>
          <w:rFonts w:cstheme="minorHAnsi"/>
        </w:rPr>
        <w:t xml:space="preserve">ccess to synchrotrons internationally is seen as complementary to access to the Australian Synchrotron. Appropriate contribution to these international facilities might include Australian–built equipment, such as detectors, hosted on foreign beamlines. </w:t>
      </w:r>
    </w:p>
    <w:p w:rsidR="007328B2" w:rsidRPr="00C101C3" w:rsidRDefault="007328B2" w:rsidP="007328B2">
      <w:pPr>
        <w:pStyle w:val="Heading3"/>
      </w:pPr>
      <w:r w:rsidRPr="00C101C3">
        <w:t>Geospatial</w:t>
      </w:r>
      <w:r>
        <w:t xml:space="preserve"> systems</w:t>
      </w:r>
    </w:p>
    <w:p w:rsidR="007328B2" w:rsidRDefault="007328B2" w:rsidP="007328B2">
      <w:pPr>
        <w:ind w:right="-330"/>
        <w:rPr>
          <w:rFonts w:cstheme="minorHAnsi"/>
        </w:rPr>
      </w:pPr>
      <w:r>
        <w:rPr>
          <w:rFonts w:cstheme="minorHAnsi"/>
        </w:rPr>
        <w:t>Enhanced g</w:t>
      </w:r>
      <w:r w:rsidRPr="007F68B3">
        <w:rPr>
          <w:rFonts w:cstheme="minorHAnsi"/>
        </w:rPr>
        <w:t>eospatial systems</w:t>
      </w:r>
      <w:r>
        <w:rPr>
          <w:rFonts w:cstheme="minorHAnsi"/>
        </w:rPr>
        <w:t>,</w:t>
      </w:r>
      <w:r w:rsidRPr="007F68B3">
        <w:rPr>
          <w:rFonts w:cstheme="minorHAnsi"/>
        </w:rPr>
        <w:t xml:space="preserve"> including both physical and eResearch infrastructure</w:t>
      </w:r>
      <w:r>
        <w:rPr>
          <w:rFonts w:cstheme="minorHAnsi"/>
        </w:rPr>
        <w:t>,</w:t>
      </w:r>
      <w:r w:rsidRPr="007F68B3">
        <w:rPr>
          <w:rFonts w:cstheme="minorHAnsi"/>
        </w:rPr>
        <w:t xml:space="preserve"> </w:t>
      </w:r>
      <w:r>
        <w:rPr>
          <w:rFonts w:cstheme="minorHAnsi"/>
        </w:rPr>
        <w:t xml:space="preserve">are needed </w:t>
      </w:r>
      <w:r w:rsidRPr="007F68B3">
        <w:rPr>
          <w:rFonts w:cstheme="minorHAnsi"/>
        </w:rPr>
        <w:t>to improve accuracy and time resolution for</w:t>
      </w:r>
      <w:r>
        <w:rPr>
          <w:rFonts w:cstheme="minorHAnsi"/>
        </w:rPr>
        <w:t xml:space="preserve"> the l</w:t>
      </w:r>
      <w:r>
        <w:t>arge parts of the private sector, government and research sectors which rely on accurate, timely and available spatial data to support their core operations.</w:t>
      </w:r>
      <w:r w:rsidR="000126C7">
        <w:t xml:space="preserve"> </w:t>
      </w:r>
    </w:p>
    <w:p w:rsidR="007328B2" w:rsidRDefault="007328B2" w:rsidP="00676CA8">
      <w:pPr>
        <w:ind w:right="-188"/>
      </w:pPr>
      <w:r>
        <w:t>New infrastructure investment should build on and leverage existing capability and Australia’s unique geographic position to participate in global data acquisition programs, algorithm and technology development and for Australia to become a global leader in the global positioning industry.</w:t>
      </w:r>
    </w:p>
    <w:p w:rsidR="00A6508C" w:rsidRDefault="00A6508C" w:rsidP="007328B2"/>
    <w:p w:rsidR="00816437" w:rsidRDefault="00816437" w:rsidP="007328B2"/>
    <w:p w:rsidR="007328B2" w:rsidRPr="00333E18" w:rsidRDefault="007328B2" w:rsidP="007328B2">
      <w:pPr>
        <w:pStyle w:val="Heading3"/>
      </w:pPr>
      <w:r w:rsidRPr="00A47FCF">
        <w:lastRenderedPageBreak/>
        <w:t>Digitisation</w:t>
      </w:r>
    </w:p>
    <w:p w:rsidR="007328B2" w:rsidRDefault="007328B2" w:rsidP="007328B2">
      <w:r>
        <w:t>Digitisation should focus on building collections of national or global significance</w:t>
      </w:r>
      <w:r w:rsidRPr="00A82E3D">
        <w:t xml:space="preserve">. </w:t>
      </w:r>
      <w:r>
        <w:t>The resulting benefits of i</w:t>
      </w:r>
      <w:r w:rsidRPr="00A82E3D">
        <w:t xml:space="preserve">ncreased access and a greater ability to collaborate </w:t>
      </w:r>
      <w:r>
        <w:t>would be</w:t>
      </w:r>
      <w:r w:rsidRPr="00A82E3D">
        <w:t xml:space="preserve"> significant.</w:t>
      </w:r>
      <w:r>
        <w:t xml:space="preserve"> The level of digitisation will vary by subject area – from simple metadata and </w:t>
      </w:r>
      <w:proofErr w:type="spellStart"/>
      <w:r>
        <w:t>2D</w:t>
      </w:r>
      <w:proofErr w:type="spellEnd"/>
      <w:r>
        <w:t xml:space="preserve"> images through to genetic analysis, structural analysis and 3D images, just to name a few examples – but the basic concept and utilisation are similar. </w:t>
      </w:r>
    </w:p>
    <w:p w:rsidR="007328B2" w:rsidRDefault="007328B2" w:rsidP="007328B2">
      <w:r w:rsidRPr="00A82E3D">
        <w:t xml:space="preserve">Preservation is another area in which digitisation is </w:t>
      </w:r>
      <w:r>
        <w:t>particularly</w:t>
      </w:r>
      <w:r w:rsidRPr="00A82E3D">
        <w:t xml:space="preserve"> important. Many samples and collections degrade over time</w:t>
      </w:r>
      <w:r>
        <w:t>,</w:t>
      </w:r>
      <w:r w:rsidRPr="00A82E3D">
        <w:t xml:space="preserve"> and if they are not stored in digital form they will be lost forever. Although digitisation can never perfectly replace original items, it </w:t>
      </w:r>
      <w:r>
        <w:t>should be seen as an important risk management strategy to</w:t>
      </w:r>
      <w:r w:rsidRPr="00A82E3D">
        <w:t xml:space="preserve"> help ensure that important information is retained.</w:t>
      </w:r>
    </w:p>
    <w:p w:rsidR="007328B2" w:rsidRDefault="007328B2" w:rsidP="007328B2">
      <w:r>
        <w:t>Having a national digitisation capability would enable specialised support for the digitisation process and thereby help it to proceed more quickly. Without this specialist knowledge, digitisation is likely to still occur, but much more slowly. Where new data is being collected, thought should be given to a digital first strategy, in which data is recorded digitally right from the beginning, wherever possible.</w:t>
      </w:r>
      <w:bookmarkStart w:id="46" w:name="_Toc455414557"/>
    </w:p>
    <w:p w:rsidR="007328B2" w:rsidRPr="007A2D1D" w:rsidRDefault="007328B2" w:rsidP="007328B2">
      <w:pPr>
        <w:ind w:right="-330"/>
        <w:rPr>
          <w:rFonts w:cstheme="minorHAnsi"/>
        </w:rPr>
      </w:pPr>
      <w:r w:rsidRPr="007A2D1D">
        <w:rPr>
          <w:rFonts w:cstheme="minorHAnsi"/>
        </w:rPr>
        <w:t xml:space="preserve">This table provides a snapshot of the current and proposed future research infrastructure capabilities. These are examples and are not an exhaustive list. </w:t>
      </w:r>
    </w:p>
    <w:tbl>
      <w:tblPr>
        <w:tblStyle w:val="TableGrid"/>
        <w:tblW w:w="9464" w:type="dxa"/>
        <w:tblLook w:val="04A0" w:firstRow="1" w:lastRow="0" w:firstColumn="1" w:lastColumn="0" w:noHBand="0" w:noVBand="1"/>
        <w:tblCaption w:val="Table: Research Infrastructure Snapshot - Underpinning Research Infrastructure"/>
        <w:tblDescription w:val="4 quadrants listing existing capability elements, existing infrastructure, emerging trends and examples of potential new infrastructure"/>
      </w:tblPr>
      <w:tblGrid>
        <w:gridCol w:w="959"/>
        <w:gridCol w:w="3685"/>
        <w:gridCol w:w="4820"/>
      </w:tblGrid>
      <w:tr w:rsidR="007328B2" w:rsidTr="00A6338F">
        <w:tc>
          <w:tcPr>
            <w:tcW w:w="9464" w:type="dxa"/>
            <w:gridSpan w:val="3"/>
            <w:shd w:val="clear" w:color="auto" w:fill="FFC000"/>
          </w:tcPr>
          <w:p w:rsidR="007328B2" w:rsidRDefault="007328B2" w:rsidP="00A6338F">
            <w:pPr>
              <w:spacing w:before="120" w:after="120"/>
              <w:jc w:val="center"/>
              <w:rPr>
                <w:b/>
              </w:rPr>
            </w:pPr>
            <w:r>
              <w:rPr>
                <w:b/>
              </w:rPr>
              <w:t>Research Infrastructure Snapshot</w:t>
            </w:r>
            <w:r w:rsidR="00DF7527">
              <w:rPr>
                <w:b/>
              </w:rPr>
              <w:t xml:space="preserve"> – </w:t>
            </w:r>
            <w:r w:rsidR="00BA5937" w:rsidRPr="00BA5937">
              <w:rPr>
                <w:b/>
              </w:rPr>
              <w:t>Underpinning Research Infrastructure</w:t>
            </w:r>
          </w:p>
        </w:tc>
      </w:tr>
      <w:tr w:rsidR="007328B2" w:rsidRPr="00F86FE1" w:rsidTr="00A6338F">
        <w:tc>
          <w:tcPr>
            <w:tcW w:w="959" w:type="dxa"/>
            <w:shd w:val="clear" w:color="auto" w:fill="499FE1" w:themeFill="accent1" w:themeFillTint="99"/>
          </w:tcPr>
          <w:p w:rsidR="007328B2" w:rsidRDefault="007328B2" w:rsidP="00A6338F">
            <w:pPr>
              <w:rPr>
                <w:b/>
              </w:rPr>
            </w:pPr>
          </w:p>
        </w:tc>
        <w:tc>
          <w:tcPr>
            <w:tcW w:w="3685" w:type="dxa"/>
            <w:shd w:val="clear" w:color="auto" w:fill="499FE1" w:themeFill="accent1" w:themeFillTint="99"/>
          </w:tcPr>
          <w:p w:rsidR="007328B2" w:rsidRDefault="007328B2" w:rsidP="00A6338F">
            <w:pPr>
              <w:rPr>
                <w:b/>
              </w:rPr>
            </w:pPr>
            <w:r>
              <w:rPr>
                <w:b/>
              </w:rPr>
              <w:t>Existing capability elements</w:t>
            </w:r>
          </w:p>
        </w:tc>
        <w:tc>
          <w:tcPr>
            <w:tcW w:w="4820" w:type="dxa"/>
            <w:shd w:val="clear" w:color="auto" w:fill="499FE1" w:themeFill="accent1" w:themeFillTint="99"/>
          </w:tcPr>
          <w:p w:rsidR="007328B2" w:rsidRPr="00F86FE1" w:rsidRDefault="007328B2" w:rsidP="00A6338F">
            <w:pPr>
              <w:rPr>
                <w:b/>
              </w:rPr>
            </w:pPr>
            <w:r>
              <w:rPr>
                <w:b/>
              </w:rPr>
              <w:t>Existing infrastructure</w:t>
            </w:r>
          </w:p>
        </w:tc>
      </w:tr>
      <w:tr w:rsidR="007328B2" w:rsidTr="007328B2">
        <w:trPr>
          <w:trHeight w:val="2844"/>
        </w:trPr>
        <w:tc>
          <w:tcPr>
            <w:tcW w:w="959" w:type="dxa"/>
          </w:tcPr>
          <w:p w:rsidR="007328B2" w:rsidRDefault="007328B2" w:rsidP="00A6338F">
            <w:pPr>
              <w:rPr>
                <w:b/>
              </w:rPr>
            </w:pPr>
          </w:p>
          <w:p w:rsidR="007328B2" w:rsidRDefault="007328B2" w:rsidP="00A6338F">
            <w:pPr>
              <w:rPr>
                <w:b/>
              </w:rPr>
            </w:pPr>
            <w:r>
              <w:rPr>
                <w:b/>
              </w:rPr>
              <w:t>Now</w:t>
            </w:r>
          </w:p>
        </w:tc>
        <w:tc>
          <w:tcPr>
            <w:tcW w:w="3685" w:type="dxa"/>
            <w:shd w:val="clear" w:color="auto" w:fill="auto"/>
          </w:tcPr>
          <w:p w:rsidR="007328B2" w:rsidRDefault="007328B2" w:rsidP="00A6338F">
            <w:pPr>
              <w:pStyle w:val="ListParagraph"/>
              <w:numPr>
                <w:ilvl w:val="0"/>
                <w:numId w:val="14"/>
              </w:numPr>
              <w:ind w:left="231" w:hanging="206"/>
            </w:pPr>
            <w:r w:rsidRPr="0056431A">
              <w:t xml:space="preserve">Geospatial systems </w:t>
            </w:r>
          </w:p>
          <w:p w:rsidR="007328B2" w:rsidRPr="00A17E06" w:rsidRDefault="007328B2" w:rsidP="00A6338F">
            <w:pPr>
              <w:pStyle w:val="ListParagraph"/>
              <w:numPr>
                <w:ilvl w:val="0"/>
                <w:numId w:val="14"/>
              </w:numPr>
              <w:ind w:left="231" w:hanging="206"/>
            </w:pPr>
            <w:r>
              <w:t>High performance computing</w:t>
            </w:r>
          </w:p>
          <w:p w:rsidR="007328B2" w:rsidRPr="00A17E06" w:rsidRDefault="007328B2" w:rsidP="00A6338F">
            <w:pPr>
              <w:pStyle w:val="ListParagraph"/>
              <w:numPr>
                <w:ilvl w:val="0"/>
                <w:numId w:val="14"/>
              </w:numPr>
              <w:ind w:left="231" w:hanging="206"/>
            </w:pPr>
            <w:r>
              <w:t>Networks</w:t>
            </w:r>
          </w:p>
          <w:p w:rsidR="007328B2" w:rsidRDefault="007328B2" w:rsidP="00A6338F">
            <w:pPr>
              <w:pStyle w:val="ListParagraph"/>
              <w:numPr>
                <w:ilvl w:val="0"/>
                <w:numId w:val="14"/>
              </w:numPr>
              <w:ind w:left="231" w:hanging="206"/>
            </w:pPr>
            <w:r>
              <w:t>Research access and user authentication</w:t>
            </w:r>
          </w:p>
          <w:p w:rsidR="007328B2" w:rsidRPr="00763E08" w:rsidRDefault="007328B2" w:rsidP="00A6338F">
            <w:pPr>
              <w:pStyle w:val="ListParagraph"/>
              <w:numPr>
                <w:ilvl w:val="0"/>
                <w:numId w:val="14"/>
              </w:numPr>
              <w:ind w:left="231" w:hanging="206"/>
            </w:pPr>
            <w:r>
              <w:t>Reactor and accelerator technologies</w:t>
            </w:r>
          </w:p>
        </w:tc>
        <w:tc>
          <w:tcPr>
            <w:tcW w:w="4820" w:type="dxa"/>
            <w:shd w:val="clear" w:color="auto" w:fill="auto"/>
          </w:tcPr>
          <w:p w:rsidR="007328B2" w:rsidRDefault="007328B2" w:rsidP="00A6338F">
            <w:pPr>
              <w:pStyle w:val="ListParagraph"/>
              <w:numPr>
                <w:ilvl w:val="0"/>
                <w:numId w:val="14"/>
              </w:numPr>
              <w:ind w:left="231" w:hanging="206"/>
            </w:pPr>
            <w:r>
              <w:t>National Computational Infrastructure</w:t>
            </w:r>
          </w:p>
          <w:p w:rsidR="007328B2" w:rsidRDefault="007328B2" w:rsidP="00A6338F">
            <w:pPr>
              <w:pStyle w:val="ListParagraph"/>
              <w:numPr>
                <w:ilvl w:val="0"/>
                <w:numId w:val="14"/>
              </w:numPr>
              <w:ind w:left="231" w:hanging="206"/>
            </w:pPr>
            <w:proofErr w:type="spellStart"/>
            <w:r>
              <w:t>Pawsey</w:t>
            </w:r>
            <w:proofErr w:type="spellEnd"/>
            <w:r>
              <w:t xml:space="preserve"> Supercomputing Centre</w:t>
            </w:r>
          </w:p>
          <w:p w:rsidR="007328B2" w:rsidRDefault="007328B2" w:rsidP="00A6338F">
            <w:pPr>
              <w:pStyle w:val="ListParagraph"/>
              <w:numPr>
                <w:ilvl w:val="0"/>
                <w:numId w:val="14"/>
              </w:numPr>
              <w:ind w:left="231" w:hanging="206"/>
            </w:pPr>
            <w:proofErr w:type="spellStart"/>
            <w:r>
              <w:t>AuScope</w:t>
            </w:r>
            <w:proofErr w:type="spellEnd"/>
          </w:p>
          <w:p w:rsidR="007328B2" w:rsidRDefault="007328B2" w:rsidP="00A6338F">
            <w:pPr>
              <w:pStyle w:val="ListParagraph"/>
              <w:numPr>
                <w:ilvl w:val="0"/>
                <w:numId w:val="14"/>
              </w:numPr>
              <w:ind w:left="231" w:hanging="206"/>
            </w:pPr>
            <w:r>
              <w:t>Australian Synchrotron</w:t>
            </w:r>
          </w:p>
          <w:p w:rsidR="00D04046" w:rsidRDefault="007328B2" w:rsidP="00A6338F">
            <w:pPr>
              <w:pStyle w:val="ListParagraph"/>
              <w:numPr>
                <w:ilvl w:val="0"/>
                <w:numId w:val="14"/>
              </w:numPr>
              <w:ind w:left="231" w:hanging="206"/>
            </w:pPr>
            <w:r>
              <w:t xml:space="preserve">OPAL Reactor </w:t>
            </w:r>
          </w:p>
          <w:p w:rsidR="007328B2" w:rsidRDefault="007328B2" w:rsidP="00A6338F">
            <w:pPr>
              <w:pStyle w:val="ListParagraph"/>
              <w:numPr>
                <w:ilvl w:val="0"/>
                <w:numId w:val="14"/>
              </w:numPr>
              <w:ind w:left="231" w:hanging="206"/>
            </w:pPr>
            <w:r>
              <w:t>Australian Centre for Neutron Scattering</w:t>
            </w:r>
          </w:p>
          <w:p w:rsidR="007328B2" w:rsidRDefault="007328B2" w:rsidP="00A6338F">
            <w:pPr>
              <w:pStyle w:val="ListParagraph"/>
              <w:numPr>
                <w:ilvl w:val="0"/>
                <w:numId w:val="14"/>
              </w:numPr>
              <w:ind w:left="231" w:hanging="206"/>
            </w:pPr>
            <w:r>
              <w:t xml:space="preserve">Australian Access Federation </w:t>
            </w:r>
          </w:p>
          <w:p w:rsidR="00615DED" w:rsidRDefault="00615DED" w:rsidP="00A6338F">
            <w:pPr>
              <w:pStyle w:val="ListParagraph"/>
              <w:numPr>
                <w:ilvl w:val="0"/>
                <w:numId w:val="14"/>
              </w:numPr>
              <w:ind w:left="231" w:hanging="206"/>
            </w:pPr>
            <w:r w:rsidRPr="00C671D5">
              <w:t>Australia's Academic and Research Network (</w:t>
            </w:r>
            <w:proofErr w:type="spellStart"/>
            <w:r w:rsidRPr="00C671D5">
              <w:rPr>
                <w:bCs/>
                <w:iCs/>
              </w:rPr>
              <w:t>AARNet</w:t>
            </w:r>
            <w:proofErr w:type="spellEnd"/>
            <w:r w:rsidRPr="00C671D5">
              <w:t>).</w:t>
            </w:r>
            <w:r w:rsidDel="00615DED">
              <w:t xml:space="preserve"> </w:t>
            </w:r>
          </w:p>
          <w:p w:rsidR="007328B2" w:rsidRPr="00A17E06" w:rsidRDefault="007328B2" w:rsidP="00A6338F">
            <w:pPr>
              <w:pStyle w:val="ListParagraph"/>
              <w:numPr>
                <w:ilvl w:val="0"/>
                <w:numId w:val="14"/>
              </w:numPr>
              <w:ind w:left="231" w:hanging="206"/>
            </w:pPr>
            <w:r>
              <w:t>High capacity broadband network connecting Australian universities and research institutions</w:t>
            </w:r>
          </w:p>
          <w:p w:rsidR="007328B2" w:rsidRPr="00763E08" w:rsidRDefault="007328B2" w:rsidP="00A6338F">
            <w:pPr>
              <w:pStyle w:val="ListParagraph"/>
              <w:numPr>
                <w:ilvl w:val="0"/>
                <w:numId w:val="14"/>
              </w:numPr>
              <w:ind w:left="231" w:hanging="206"/>
            </w:pPr>
            <w:r w:rsidRPr="0056431A">
              <w:t>Nat</w:t>
            </w:r>
            <w:r>
              <w:t>ional Positioning Infrastructure</w:t>
            </w:r>
          </w:p>
        </w:tc>
      </w:tr>
      <w:tr w:rsidR="007328B2" w:rsidRPr="00F86FE1" w:rsidTr="00A6338F">
        <w:tc>
          <w:tcPr>
            <w:tcW w:w="959" w:type="dxa"/>
            <w:shd w:val="clear" w:color="auto" w:fill="499FE1" w:themeFill="accent1" w:themeFillTint="99"/>
          </w:tcPr>
          <w:p w:rsidR="007328B2" w:rsidRDefault="007328B2" w:rsidP="00A6338F">
            <w:pPr>
              <w:jc w:val="center"/>
              <w:rPr>
                <w:b/>
              </w:rPr>
            </w:pPr>
          </w:p>
        </w:tc>
        <w:tc>
          <w:tcPr>
            <w:tcW w:w="3685" w:type="dxa"/>
            <w:shd w:val="clear" w:color="auto" w:fill="499FE1" w:themeFill="accent1" w:themeFillTint="99"/>
          </w:tcPr>
          <w:p w:rsidR="007328B2" w:rsidRPr="00F86FE1" w:rsidRDefault="007328B2" w:rsidP="00A6338F">
            <w:pPr>
              <w:rPr>
                <w:b/>
              </w:rPr>
            </w:pPr>
            <w:r>
              <w:rPr>
                <w:b/>
              </w:rPr>
              <w:t>Emerging trends</w:t>
            </w:r>
          </w:p>
        </w:tc>
        <w:tc>
          <w:tcPr>
            <w:tcW w:w="4820" w:type="dxa"/>
            <w:shd w:val="clear" w:color="auto" w:fill="499FE1" w:themeFill="accent1" w:themeFillTint="99"/>
          </w:tcPr>
          <w:p w:rsidR="007328B2" w:rsidRPr="00F86FE1" w:rsidRDefault="007328B2" w:rsidP="007328B2">
            <w:pPr>
              <w:rPr>
                <w:b/>
              </w:rPr>
            </w:pPr>
            <w:r>
              <w:rPr>
                <w:b/>
              </w:rPr>
              <w:t xml:space="preserve"> Examples of potential new infrastructure</w:t>
            </w:r>
          </w:p>
        </w:tc>
      </w:tr>
      <w:tr w:rsidR="007328B2" w:rsidTr="00A6338F">
        <w:trPr>
          <w:trHeight w:val="416"/>
        </w:trPr>
        <w:tc>
          <w:tcPr>
            <w:tcW w:w="959" w:type="dxa"/>
          </w:tcPr>
          <w:p w:rsidR="007328B2" w:rsidRDefault="007328B2" w:rsidP="00A6338F">
            <w:pPr>
              <w:rPr>
                <w:b/>
              </w:rPr>
            </w:pPr>
          </w:p>
          <w:p w:rsidR="007328B2" w:rsidRDefault="007328B2" w:rsidP="00A6338F">
            <w:pPr>
              <w:rPr>
                <w:b/>
              </w:rPr>
            </w:pPr>
            <w:r>
              <w:rPr>
                <w:b/>
              </w:rPr>
              <w:t>Future</w:t>
            </w:r>
          </w:p>
        </w:tc>
        <w:tc>
          <w:tcPr>
            <w:tcW w:w="3685" w:type="dxa"/>
            <w:shd w:val="clear" w:color="auto" w:fill="auto"/>
          </w:tcPr>
          <w:p w:rsidR="007328B2" w:rsidRDefault="007328B2" w:rsidP="00A6338F">
            <w:pPr>
              <w:ind w:left="-15"/>
            </w:pPr>
            <w:r>
              <w:t>In addition to continuing existing capabilities:</w:t>
            </w:r>
          </w:p>
          <w:p w:rsidR="007328B2" w:rsidRDefault="007328B2" w:rsidP="00A6338F">
            <w:pPr>
              <w:pStyle w:val="ListParagraph"/>
              <w:numPr>
                <w:ilvl w:val="0"/>
                <w:numId w:val="14"/>
              </w:numPr>
              <w:ind w:left="231" w:hanging="206"/>
            </w:pPr>
            <w:r>
              <w:t>Establishment of a national d</w:t>
            </w:r>
            <w:r w:rsidRPr="009C0F50">
              <w:t>igitisation</w:t>
            </w:r>
            <w:r>
              <w:t xml:space="preserve"> capability</w:t>
            </w:r>
          </w:p>
          <w:p w:rsidR="007328B2" w:rsidRPr="009C0F50" w:rsidRDefault="007328B2" w:rsidP="00A6338F">
            <w:pPr>
              <w:pStyle w:val="ListParagraph"/>
              <w:numPr>
                <w:ilvl w:val="0"/>
                <w:numId w:val="14"/>
              </w:numPr>
              <w:ind w:left="231" w:hanging="206"/>
            </w:pPr>
            <w:r>
              <w:t>Increasing importance of imaging and visualisation technologies</w:t>
            </w:r>
          </w:p>
          <w:p w:rsidR="007328B2" w:rsidRDefault="007328B2" w:rsidP="00A6338F">
            <w:pPr>
              <w:rPr>
                <w:b/>
              </w:rPr>
            </w:pPr>
          </w:p>
        </w:tc>
        <w:tc>
          <w:tcPr>
            <w:tcW w:w="4820" w:type="dxa"/>
            <w:shd w:val="clear" w:color="auto" w:fill="auto"/>
          </w:tcPr>
          <w:p w:rsidR="007328B2" w:rsidRDefault="007328B2" w:rsidP="00A6338F">
            <w:pPr>
              <w:pStyle w:val="ListParagraph"/>
              <w:numPr>
                <w:ilvl w:val="0"/>
                <w:numId w:val="14"/>
              </w:numPr>
              <w:ind w:left="231" w:hanging="206"/>
            </w:pPr>
            <w:r>
              <w:t>Enhancement of the Australian Synchrotron and neutron scattering facilities</w:t>
            </w:r>
          </w:p>
          <w:p w:rsidR="007328B2" w:rsidRDefault="007328B2" w:rsidP="00A6338F">
            <w:pPr>
              <w:pStyle w:val="ListParagraph"/>
              <w:numPr>
                <w:ilvl w:val="0"/>
                <w:numId w:val="14"/>
              </w:numPr>
              <w:ind w:left="231" w:hanging="206"/>
            </w:pPr>
            <w:r>
              <w:t>Upgraded high performance computing infrastructure and coordination</w:t>
            </w:r>
          </w:p>
          <w:p w:rsidR="007328B2" w:rsidRPr="0056431A" w:rsidRDefault="007328B2" w:rsidP="00A6338F">
            <w:pPr>
              <w:pStyle w:val="ListParagraph"/>
              <w:numPr>
                <w:ilvl w:val="0"/>
                <w:numId w:val="14"/>
              </w:numPr>
              <w:ind w:left="231" w:hanging="206"/>
              <w:rPr>
                <w:b/>
              </w:rPr>
            </w:pPr>
            <w:r w:rsidRPr="002D3297">
              <w:t>Maintain and operate broadband networks</w:t>
            </w:r>
            <w:r>
              <w:t xml:space="preserve"> and</w:t>
            </w:r>
            <w:r w:rsidRPr="002D3297">
              <w:t xml:space="preserve"> extend networks, where viable and appropriate</w:t>
            </w:r>
          </w:p>
          <w:p w:rsidR="007328B2" w:rsidRDefault="007328B2" w:rsidP="00A6338F">
            <w:pPr>
              <w:pStyle w:val="ListParagraph"/>
              <w:numPr>
                <w:ilvl w:val="0"/>
                <w:numId w:val="14"/>
              </w:numPr>
              <w:ind w:left="231" w:hanging="206"/>
            </w:pPr>
            <w:r>
              <w:t>Researcher access and authentication services extended internationally</w:t>
            </w:r>
          </w:p>
          <w:p w:rsidR="007328B2" w:rsidRDefault="007328B2" w:rsidP="00A6338F">
            <w:pPr>
              <w:pStyle w:val="ListParagraph"/>
              <w:numPr>
                <w:ilvl w:val="0"/>
                <w:numId w:val="14"/>
              </w:numPr>
              <w:ind w:left="231" w:hanging="206"/>
            </w:pPr>
            <w:r>
              <w:t xml:space="preserve">National digitisation infrastructure </w:t>
            </w:r>
          </w:p>
          <w:p w:rsidR="007328B2" w:rsidRDefault="007328B2" w:rsidP="00A6338F">
            <w:pPr>
              <w:pStyle w:val="ListParagraph"/>
              <w:numPr>
                <w:ilvl w:val="0"/>
                <w:numId w:val="14"/>
              </w:numPr>
              <w:ind w:left="231" w:hanging="206"/>
              <w:rPr>
                <w:b/>
              </w:rPr>
            </w:pPr>
            <w:r w:rsidRPr="004D0132">
              <w:t>Geospatial data collection</w:t>
            </w:r>
          </w:p>
        </w:tc>
      </w:tr>
    </w:tbl>
    <w:p w:rsidR="007328B2" w:rsidRDefault="007328B2" w:rsidP="007328B2">
      <w:pPr>
        <w:rPr>
          <w:sz w:val="6"/>
          <w:szCs w:val="6"/>
        </w:rPr>
      </w:pPr>
    </w:p>
    <w:p w:rsidR="007328B2" w:rsidRDefault="007328B2" w:rsidP="007328B2">
      <w:pPr>
        <w:rPr>
          <w:sz w:val="6"/>
          <w:szCs w:val="6"/>
        </w:rPr>
      </w:pPr>
    </w:p>
    <w:p w:rsidR="00816437" w:rsidRPr="00620F1A" w:rsidRDefault="00816437" w:rsidP="007328B2">
      <w:pPr>
        <w:rPr>
          <w:sz w:val="6"/>
          <w:szCs w:val="6"/>
        </w:rPr>
      </w:pPr>
    </w:p>
    <w:tbl>
      <w:tblPr>
        <w:tblStyle w:val="TableGrid"/>
        <w:tblW w:w="9498" w:type="dxa"/>
        <w:tblInd w:w="-34" w:type="dxa"/>
        <w:tblLook w:val="04A0" w:firstRow="1" w:lastRow="0" w:firstColumn="1" w:lastColumn="0" w:noHBand="0" w:noVBand="1"/>
        <w:tblCaption w:val="Table cell containing Questions 30, 31 &amp; 32"/>
        <w:tblDescription w:val="Q30: Are the identified emerging directions and research infrastructure capabilities for Underpinning Research Infrastructure right? Are there any missing or additional needed?&#10;Q31: Are there any international research infrastructure collaborations or emerging projects that Australia should engage in over the next ten years and beyond?&#10;Q32: Is there anything else that needs to be included or considered in the 2016 Roadmap for the Underpinning Research Infrastructure capability area?&#10;"/>
      </w:tblPr>
      <w:tblGrid>
        <w:gridCol w:w="9498"/>
      </w:tblGrid>
      <w:tr w:rsidR="007328B2" w:rsidRPr="00E70C42" w:rsidTr="00676CA8">
        <w:tc>
          <w:tcPr>
            <w:tcW w:w="9498" w:type="dxa"/>
            <w:shd w:val="clear" w:color="auto" w:fill="FFC000"/>
          </w:tcPr>
          <w:p w:rsidR="007328B2" w:rsidRPr="00E70C42" w:rsidRDefault="007328B2" w:rsidP="00676CA8">
            <w:pPr>
              <w:autoSpaceDE w:val="0"/>
              <w:autoSpaceDN w:val="0"/>
              <w:adjustRightInd w:val="0"/>
              <w:spacing w:before="180" w:after="180" w:line="276" w:lineRule="auto"/>
              <w:ind w:left="1418" w:hanging="1276"/>
              <w:rPr>
                <w:rFonts w:cstheme="minorHAnsi"/>
                <w:b/>
              </w:rPr>
            </w:pPr>
            <w:r w:rsidRPr="00E70C42">
              <w:rPr>
                <w:rFonts w:cstheme="minorHAnsi"/>
                <w:b/>
              </w:rPr>
              <w:t xml:space="preserve">Question </w:t>
            </w:r>
            <w:r w:rsidR="00BA5937">
              <w:rPr>
                <w:rFonts w:cstheme="minorHAnsi"/>
                <w:b/>
              </w:rPr>
              <w:t>30</w:t>
            </w:r>
            <w:r w:rsidRPr="00E70C42">
              <w:rPr>
                <w:rFonts w:cstheme="minorHAnsi"/>
                <w:b/>
              </w:rPr>
              <w:t>:</w:t>
            </w:r>
            <w:r w:rsidRPr="00E70C42">
              <w:rPr>
                <w:rFonts w:cstheme="minorHAnsi"/>
                <w:b/>
              </w:rPr>
              <w:tab/>
              <w:t>Are the identified emerging directions and research infrastructure capabilities for Underpinning Research Infrastructure right? Are there any missing or additional needed?</w:t>
            </w:r>
          </w:p>
          <w:p w:rsidR="007328B2" w:rsidRPr="00E70C42" w:rsidRDefault="007328B2" w:rsidP="00676CA8">
            <w:pPr>
              <w:autoSpaceDE w:val="0"/>
              <w:autoSpaceDN w:val="0"/>
              <w:adjustRightInd w:val="0"/>
              <w:spacing w:before="180" w:after="180" w:line="276" w:lineRule="auto"/>
              <w:ind w:left="1418" w:hanging="1276"/>
              <w:rPr>
                <w:rFonts w:cstheme="minorHAnsi"/>
                <w:b/>
              </w:rPr>
            </w:pPr>
            <w:r w:rsidRPr="00E70C42">
              <w:rPr>
                <w:rFonts w:cstheme="minorHAnsi"/>
                <w:b/>
              </w:rPr>
              <w:t>Question 3</w:t>
            </w:r>
            <w:r w:rsidR="00BA5937">
              <w:rPr>
                <w:rFonts w:cstheme="minorHAnsi"/>
                <w:b/>
              </w:rPr>
              <w:t>1</w:t>
            </w:r>
            <w:r w:rsidRPr="00E70C42">
              <w:rPr>
                <w:rFonts w:cstheme="minorHAnsi"/>
                <w:b/>
              </w:rPr>
              <w:t>:</w:t>
            </w:r>
            <w:r w:rsidRPr="00E70C42">
              <w:rPr>
                <w:rFonts w:cstheme="minorHAnsi"/>
                <w:b/>
              </w:rPr>
              <w:tab/>
              <w:t>Are there any international research infrastructure collaborations or emerging projects that Australia should engage in over the next ten years and beyond?</w:t>
            </w:r>
          </w:p>
          <w:p w:rsidR="007328B2" w:rsidRPr="00E70C42" w:rsidRDefault="007328B2" w:rsidP="00BA5937">
            <w:pPr>
              <w:autoSpaceDE w:val="0"/>
              <w:autoSpaceDN w:val="0"/>
              <w:adjustRightInd w:val="0"/>
              <w:spacing w:before="200" w:after="180" w:line="276" w:lineRule="auto"/>
              <w:ind w:left="1418" w:hanging="1276"/>
              <w:rPr>
                <w:b/>
              </w:rPr>
            </w:pPr>
            <w:r w:rsidRPr="00E70C42">
              <w:rPr>
                <w:rFonts w:cstheme="minorHAnsi"/>
                <w:b/>
              </w:rPr>
              <w:t>Question 3</w:t>
            </w:r>
            <w:r w:rsidR="00BA5937">
              <w:rPr>
                <w:rFonts w:cstheme="minorHAnsi"/>
                <w:b/>
              </w:rPr>
              <w:t>2</w:t>
            </w:r>
            <w:r w:rsidRPr="00E70C42">
              <w:rPr>
                <w:rFonts w:cstheme="minorHAnsi"/>
                <w:b/>
              </w:rPr>
              <w:t>:</w:t>
            </w:r>
            <w:r w:rsidRPr="00E70C42">
              <w:rPr>
                <w:rFonts w:cstheme="minorHAnsi"/>
                <w:b/>
              </w:rPr>
              <w:tab/>
              <w:t>Is there anything else that needs to be included or considered in the 2016 Roadmap for the Underpinning Research Infrastructure capability area?</w:t>
            </w:r>
          </w:p>
        </w:tc>
      </w:tr>
    </w:tbl>
    <w:p w:rsidR="007328B2" w:rsidRDefault="007328B2" w:rsidP="007328B2">
      <w:r>
        <w:br w:type="page"/>
      </w:r>
    </w:p>
    <w:p w:rsidR="007328B2" w:rsidRDefault="007328B2" w:rsidP="007328B2">
      <w:pPr>
        <w:pStyle w:val="Heading1"/>
      </w:pPr>
      <w:bookmarkStart w:id="47" w:name="_Toc455445509"/>
      <w:bookmarkStart w:id="48" w:name="_Toc456042398"/>
      <w:bookmarkStart w:id="49" w:name="_Toc456449027"/>
      <w:r>
        <w:lastRenderedPageBreak/>
        <w:t>Data</w:t>
      </w:r>
      <w:bookmarkEnd w:id="46"/>
      <w:bookmarkEnd w:id="47"/>
      <w:r>
        <w:t xml:space="preserve"> for Research and Discoverability</w:t>
      </w:r>
      <w:bookmarkEnd w:id="48"/>
      <w:bookmarkEnd w:id="49"/>
    </w:p>
    <w:p w:rsidR="007328B2" w:rsidRDefault="007328B2" w:rsidP="007328B2">
      <w:r>
        <w:t xml:space="preserve">“Data is central to all research….For Australia to increase productivity and address grand challenges over the coming </w:t>
      </w:r>
      <w:proofErr w:type="gramStart"/>
      <w:r>
        <w:t>decades,</w:t>
      </w:r>
      <w:proofErr w:type="gramEnd"/>
      <w:r>
        <w:t xml:space="preserve"> it will require a national research capability that can deliver competitive advantage in a data-rich future”.</w:t>
      </w:r>
      <w:r>
        <w:rPr>
          <w:rStyle w:val="FootnoteReference"/>
        </w:rPr>
        <w:footnoteReference w:id="14"/>
      </w:r>
      <w:r>
        <w:t xml:space="preserve"> </w:t>
      </w:r>
    </w:p>
    <w:p w:rsidR="007328B2" w:rsidRDefault="007328B2" w:rsidP="007328B2">
      <w:r>
        <w:t xml:space="preserve">The lists of capabilities presented here are neither exhaustive nor prioritised. </w:t>
      </w:r>
    </w:p>
    <w:p w:rsidR="007328B2" w:rsidRDefault="007328B2" w:rsidP="007328B2">
      <w:pPr>
        <w:pStyle w:val="Heading2"/>
        <w:ind w:left="567"/>
      </w:pPr>
      <w:r w:rsidRPr="000F01EF">
        <w:t>Emerging Directions</w:t>
      </w:r>
    </w:p>
    <w:p w:rsidR="007328B2" w:rsidRPr="005263C7" w:rsidRDefault="007328B2" w:rsidP="007328B2">
      <w:r>
        <w:t>In terms of established infrastructure, the demands for computation and connectivity capabilities that have existed for decades continue unabated, with an increasing number of researchers taking advantage of them.</w:t>
      </w:r>
      <w:r w:rsidR="000126C7">
        <w:t xml:space="preserve"> </w:t>
      </w:r>
      <w:r>
        <w:t>An increasing and prominent trend concerns the rising dependence of research on digital data at new scales, and a variety of data not previously addressed.</w:t>
      </w:r>
      <w:r w:rsidR="000126C7">
        <w:t xml:space="preserve"> </w:t>
      </w:r>
      <w:r>
        <w:t>Data growth both expands demands on existing infrastructure and creates requirements for new infrastructure.</w:t>
      </w:r>
    </w:p>
    <w:p w:rsidR="007328B2" w:rsidRDefault="007328B2" w:rsidP="007328B2">
      <w:pPr>
        <w:pStyle w:val="Heading2"/>
        <w:ind w:left="567"/>
      </w:pPr>
      <w:r>
        <w:t>Current Capabilities and Emerging Capability Needs</w:t>
      </w:r>
    </w:p>
    <w:p w:rsidR="007328B2" w:rsidRDefault="007328B2" w:rsidP="007328B2">
      <w:r>
        <w:t>As a result of national and institutional investment over a number of years, Australia has a world leading research data system that should be built upon and developed to maintain its current competitive edge. This system has transformed the research data environment through the provision of national capability that delivers</w:t>
      </w:r>
      <w:r w:rsidR="009350FE">
        <w:t xml:space="preserve"> across the research ecosystem.</w:t>
      </w:r>
    </w:p>
    <w:p w:rsidR="007328B2" w:rsidRDefault="007328B2" w:rsidP="007328B2">
      <w:pPr>
        <w:pStyle w:val="Heading3"/>
      </w:pPr>
      <w:r w:rsidRPr="00F45AB8">
        <w:t>Better managed research data</w:t>
      </w:r>
      <w:r>
        <w:t xml:space="preserve"> </w:t>
      </w:r>
    </w:p>
    <w:p w:rsidR="007328B2" w:rsidRDefault="007328B2" w:rsidP="007328B2">
      <w:r>
        <w:t>National capability investments have enabled the development and delivery of services and infrastructure to ensure that data is managed, connected, discoverable and reusable making Australia’s research data assets more valuable for researchers, research institutions and the nation.</w:t>
      </w:r>
    </w:p>
    <w:p w:rsidR="007328B2" w:rsidRDefault="007328B2" w:rsidP="007328B2">
      <w:pPr>
        <w:pStyle w:val="Heading3"/>
      </w:pPr>
      <w:r w:rsidRPr="00F45AB8">
        <w:t>National research data storage infrastructure</w:t>
      </w:r>
      <w:r>
        <w:t xml:space="preserve"> </w:t>
      </w:r>
    </w:p>
    <w:p w:rsidR="007328B2" w:rsidRDefault="007328B2" w:rsidP="007328B2">
      <w:r>
        <w:t xml:space="preserve">Australia now has cost-effective, scaled up, </w:t>
      </w:r>
      <w:proofErr w:type="gramStart"/>
      <w:r>
        <w:t>shared</w:t>
      </w:r>
      <w:proofErr w:type="gramEnd"/>
      <w:r>
        <w:t xml:space="preserve"> research data storage services that are aimed at improving research collaboration through the storage and provision of access to research data collections of national significance.</w:t>
      </w:r>
    </w:p>
    <w:p w:rsidR="007328B2" w:rsidRDefault="007328B2" w:rsidP="007328B2">
      <w:pPr>
        <w:pStyle w:val="Heading3"/>
      </w:pPr>
      <w:r w:rsidRPr="00F45AB8">
        <w:t>Research cloud populated with digital tools and virtual laboratories</w:t>
      </w:r>
      <w:r w:rsidR="000126C7">
        <w:t xml:space="preserve"> </w:t>
      </w:r>
    </w:p>
    <w:p w:rsidR="007328B2" w:rsidRDefault="007328B2" w:rsidP="007328B2">
      <w:r>
        <w:t xml:space="preserve">Australia’s national cloud infrastructure and virtual laboratories support researchers to connect and collaborate through a distributed research cloud which enables researchers to manipulate and handle research data from a distance or in collaborations with other researchers through the availability of advanced research tools, research cloud capacity and virtual research laboratories. </w:t>
      </w:r>
    </w:p>
    <w:p w:rsidR="007328B2" w:rsidRDefault="007328B2" w:rsidP="007328B2">
      <w:r>
        <w:t>These capabilities have been developed and implemented as collaborative and coordinated efforts with other aspects of Underpinning Research Infrastructure, described above.</w:t>
      </w:r>
    </w:p>
    <w:p w:rsidR="007328B2" w:rsidRDefault="007328B2" w:rsidP="007328B2"/>
    <w:p w:rsidR="00DF7527" w:rsidRPr="000F01EF" w:rsidRDefault="00DF7527" w:rsidP="00DF7527">
      <w:pPr>
        <w:pStyle w:val="Heading2"/>
        <w:ind w:left="567"/>
      </w:pPr>
      <w:r>
        <w:lastRenderedPageBreak/>
        <w:t xml:space="preserve">Desirable </w:t>
      </w:r>
      <w:r w:rsidRPr="000F01EF">
        <w:t xml:space="preserve">New </w:t>
      </w:r>
      <w:r>
        <w:t>C</w:t>
      </w:r>
      <w:r w:rsidRPr="000F01EF">
        <w:t>apabilities</w:t>
      </w:r>
    </w:p>
    <w:p w:rsidR="007328B2" w:rsidRDefault="007328B2" w:rsidP="00AD2D49">
      <w:pPr>
        <w:spacing w:before="200"/>
      </w:pPr>
      <w:r>
        <w:t>Notwithstanding Australia’s global leadership in data infrastructure, this is an emerging area and Australia needs to consolidate the gains of the past decade and create a more integrated, coherent and reliable platform to deal with data-intensive, cross-disciplinary and global collaborative research.</w:t>
      </w:r>
    </w:p>
    <w:p w:rsidR="007328B2" w:rsidRDefault="007328B2" w:rsidP="007328B2">
      <w:pPr>
        <w:spacing w:after="180"/>
      </w:pPr>
      <w:r>
        <w:t xml:space="preserve">Australia’s future research data capability should be informed by, utilise, integrate and build on existing investments. Research data infrastructure should support the development of collaboration environments using trusted data throughout and beyond the life of a research project, from data capture through to simulation and modelling and to dissemination, and including data storage and management, cloud services and associated expertise and capability building. </w:t>
      </w:r>
    </w:p>
    <w:p w:rsidR="007328B2" w:rsidRDefault="007328B2" w:rsidP="007328B2">
      <w:pPr>
        <w:spacing w:after="180"/>
        <w:ind w:right="-330"/>
      </w:pPr>
      <w:r>
        <w:t>Globally, data is rapidly becoming an important research output in its own right and so a research data output</w:t>
      </w:r>
      <w:r w:rsidDel="005E57B0">
        <w:t xml:space="preserve"> </w:t>
      </w:r>
      <w:r>
        <w:t>needs to be as reliable and trusted as a research paper. In order to achieve this, Australia needs the infrastructure, processes and policies that will ensure that all research data outputs are reliable, able to be reproduced and able to provide a sounder basis for further research and improved translation outcomes. This infrastructure would be comparable to and be able to leverage international opportunities such as the European Open Science Cloud and other similar global initiatives.</w:t>
      </w:r>
    </w:p>
    <w:p w:rsidR="007328B2" w:rsidRDefault="007328B2" w:rsidP="007328B2">
      <w:pPr>
        <w:spacing w:after="180"/>
        <w:ind w:right="-188"/>
      </w:pPr>
      <w:r>
        <w:t>A range of national services will be needed to support the future of data-intensive research, including cloud provision of collaboration environments, computation and storage, reliable data and provenance capture, trusted data repositories, virtual laboratory support, publishing of research outputs and the federation of data, including physically dispersed nationally significant reference collections.</w:t>
      </w:r>
    </w:p>
    <w:p w:rsidR="007328B2" w:rsidRDefault="007328B2" w:rsidP="007328B2">
      <w:pPr>
        <w:spacing w:after="180"/>
      </w:pPr>
      <w:r>
        <w:t>Australia’s data system should focus on partnerships with high performance computing facilities, research capabilities, disciplines (especially the national Science and Research Priorities), institutions, global collaborators, the public sector and industry. This focus would leverage investments and allow researchers to be innovative and address national and globally significant challenges. It would also optimise reliability and interoperability, achieve reproducibility of research results and encourage engagement with industry.</w:t>
      </w:r>
    </w:p>
    <w:p w:rsidR="007328B2" w:rsidRDefault="007328B2" w:rsidP="007328B2">
      <w:pPr>
        <w:spacing w:after="180"/>
      </w:pPr>
      <w:r w:rsidRPr="00A00416">
        <w:t>This diagram illustrates a transformed environment where data and tools are provided reliably to researchers, and then the outputs of research – the publications, data and methods – are available in an integrated, reproducible form</w:t>
      </w:r>
      <w:r>
        <w:t>.</w:t>
      </w:r>
      <w:r w:rsidRPr="000A7053">
        <w:t xml:space="preserve"> </w:t>
      </w:r>
    </w:p>
    <w:p w:rsidR="007328B2" w:rsidRDefault="007328B2" w:rsidP="007328B2">
      <w:pPr>
        <w:spacing w:after="180"/>
      </w:pPr>
      <w:r>
        <w:rPr>
          <w:noProof/>
          <w:lang w:eastAsia="en-AU"/>
        </w:rPr>
        <w:lastRenderedPageBreak/>
        <w:drawing>
          <wp:inline distT="0" distB="0" distL="0" distR="0" wp14:anchorId="4E077B87" wp14:editId="101AC10A">
            <wp:extent cx="5731510" cy="3325011"/>
            <wp:effectExtent l="0" t="0" r="2540" b="8890"/>
            <wp:docPr id="8" name="Picture 8" title="Graphic depicting an ideal research data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3325011"/>
                    </a:xfrm>
                    <a:prstGeom prst="rect">
                      <a:avLst/>
                    </a:prstGeom>
                  </pic:spPr>
                </pic:pic>
              </a:graphicData>
            </a:graphic>
          </wp:inline>
        </w:drawing>
      </w:r>
    </w:p>
    <w:p w:rsidR="007328B2" w:rsidRDefault="007328B2" w:rsidP="007328B2">
      <w:pPr>
        <w:spacing w:after="0"/>
      </w:pPr>
    </w:p>
    <w:p w:rsidR="007328B2" w:rsidRPr="007A2D1D" w:rsidRDefault="007328B2" w:rsidP="007328B2">
      <w:pPr>
        <w:ind w:right="-330"/>
        <w:rPr>
          <w:rFonts w:cstheme="minorHAnsi"/>
        </w:rPr>
      </w:pPr>
      <w:r w:rsidRPr="007A2D1D">
        <w:rPr>
          <w:rFonts w:cstheme="minorHAnsi"/>
        </w:rPr>
        <w:t xml:space="preserve">This table provides a snapshot of the current and proposed future research infrastructure capabilities. These are examples and are not an exhaustive list. </w:t>
      </w:r>
    </w:p>
    <w:tbl>
      <w:tblPr>
        <w:tblStyle w:val="TableGrid"/>
        <w:tblW w:w="9464" w:type="dxa"/>
        <w:tblLook w:val="04A0" w:firstRow="1" w:lastRow="0" w:firstColumn="1" w:lastColumn="0" w:noHBand="0" w:noVBand="1"/>
        <w:tblCaption w:val="Table: Research Infrastructure Snapshot - Data for Research &amp; Discoverability"/>
        <w:tblDescription w:val="4 quadrants listing existing capability elements, existing infrastructure, emerging trends and examples of potential new infrastructure"/>
      </w:tblPr>
      <w:tblGrid>
        <w:gridCol w:w="959"/>
        <w:gridCol w:w="3118"/>
        <w:gridCol w:w="5387"/>
      </w:tblGrid>
      <w:tr w:rsidR="007328B2" w:rsidTr="00A6338F">
        <w:tc>
          <w:tcPr>
            <w:tcW w:w="9464" w:type="dxa"/>
            <w:gridSpan w:val="3"/>
            <w:shd w:val="clear" w:color="auto" w:fill="FFC000"/>
          </w:tcPr>
          <w:p w:rsidR="007328B2" w:rsidRDefault="007328B2" w:rsidP="00A6338F">
            <w:pPr>
              <w:spacing w:before="120" w:after="120"/>
              <w:jc w:val="center"/>
              <w:rPr>
                <w:b/>
              </w:rPr>
            </w:pPr>
            <w:r>
              <w:rPr>
                <w:b/>
              </w:rPr>
              <w:t xml:space="preserve">Research Infrastructure Snapshot – </w:t>
            </w:r>
            <w:r w:rsidR="00DF7527" w:rsidRPr="00DF7527">
              <w:rPr>
                <w:b/>
              </w:rPr>
              <w:t>Data for Research and Discoverability</w:t>
            </w:r>
          </w:p>
        </w:tc>
      </w:tr>
      <w:tr w:rsidR="007328B2" w:rsidRPr="00F86FE1" w:rsidTr="00A6338F">
        <w:tc>
          <w:tcPr>
            <w:tcW w:w="959" w:type="dxa"/>
            <w:shd w:val="clear" w:color="auto" w:fill="499FE1" w:themeFill="accent1" w:themeFillTint="99"/>
          </w:tcPr>
          <w:p w:rsidR="007328B2" w:rsidRDefault="007328B2" w:rsidP="00A6338F">
            <w:pPr>
              <w:rPr>
                <w:b/>
              </w:rPr>
            </w:pPr>
          </w:p>
        </w:tc>
        <w:tc>
          <w:tcPr>
            <w:tcW w:w="3118" w:type="dxa"/>
            <w:shd w:val="clear" w:color="auto" w:fill="499FE1" w:themeFill="accent1" w:themeFillTint="99"/>
          </w:tcPr>
          <w:p w:rsidR="007328B2" w:rsidRDefault="007328B2" w:rsidP="00A6338F">
            <w:pPr>
              <w:rPr>
                <w:b/>
              </w:rPr>
            </w:pPr>
            <w:r>
              <w:rPr>
                <w:b/>
              </w:rPr>
              <w:t>Existing capability elements</w:t>
            </w:r>
          </w:p>
        </w:tc>
        <w:tc>
          <w:tcPr>
            <w:tcW w:w="5387" w:type="dxa"/>
            <w:shd w:val="clear" w:color="auto" w:fill="499FE1" w:themeFill="accent1" w:themeFillTint="99"/>
          </w:tcPr>
          <w:p w:rsidR="007328B2" w:rsidRPr="00F86FE1" w:rsidRDefault="007328B2" w:rsidP="007328B2">
            <w:pPr>
              <w:rPr>
                <w:b/>
              </w:rPr>
            </w:pPr>
            <w:r>
              <w:rPr>
                <w:b/>
              </w:rPr>
              <w:t>Existing i</w:t>
            </w:r>
            <w:r w:rsidR="007542A0">
              <w:rPr>
                <w:b/>
              </w:rPr>
              <w:t>nfrastructure</w:t>
            </w:r>
          </w:p>
        </w:tc>
      </w:tr>
      <w:tr w:rsidR="007328B2" w:rsidTr="00A6338F">
        <w:trPr>
          <w:trHeight w:val="1192"/>
        </w:trPr>
        <w:tc>
          <w:tcPr>
            <w:tcW w:w="959" w:type="dxa"/>
          </w:tcPr>
          <w:p w:rsidR="007328B2" w:rsidRDefault="007328B2" w:rsidP="00A6338F">
            <w:pPr>
              <w:rPr>
                <w:b/>
              </w:rPr>
            </w:pPr>
          </w:p>
          <w:p w:rsidR="007328B2" w:rsidRDefault="007328B2" w:rsidP="00A6338F">
            <w:pPr>
              <w:rPr>
                <w:b/>
              </w:rPr>
            </w:pPr>
            <w:r>
              <w:rPr>
                <w:b/>
              </w:rPr>
              <w:t>Now</w:t>
            </w:r>
          </w:p>
        </w:tc>
        <w:tc>
          <w:tcPr>
            <w:tcW w:w="3118" w:type="dxa"/>
            <w:shd w:val="clear" w:color="auto" w:fill="auto"/>
          </w:tcPr>
          <w:p w:rsidR="007328B2" w:rsidRPr="00A17E06" w:rsidRDefault="007328B2" w:rsidP="00A6338F">
            <w:pPr>
              <w:pStyle w:val="ListParagraph"/>
              <w:numPr>
                <w:ilvl w:val="0"/>
                <w:numId w:val="14"/>
              </w:numPr>
              <w:ind w:left="231" w:hanging="206"/>
            </w:pPr>
            <w:r>
              <w:t>Software, tools and collaboration resources</w:t>
            </w:r>
          </w:p>
          <w:p w:rsidR="007328B2" w:rsidRDefault="007328B2" w:rsidP="00A6338F">
            <w:pPr>
              <w:pStyle w:val="ListParagraph"/>
              <w:numPr>
                <w:ilvl w:val="0"/>
                <w:numId w:val="14"/>
              </w:numPr>
              <w:ind w:left="231" w:hanging="206"/>
            </w:pPr>
            <w:r>
              <w:t>Research data storage</w:t>
            </w:r>
          </w:p>
          <w:p w:rsidR="007328B2" w:rsidRPr="008A6437" w:rsidRDefault="007328B2" w:rsidP="00D04046">
            <w:pPr>
              <w:pStyle w:val="ListParagraph"/>
              <w:numPr>
                <w:ilvl w:val="0"/>
                <w:numId w:val="14"/>
              </w:numPr>
              <w:ind w:left="231" w:hanging="206"/>
            </w:pPr>
            <w:r>
              <w:t>Research data management</w:t>
            </w:r>
          </w:p>
        </w:tc>
        <w:tc>
          <w:tcPr>
            <w:tcW w:w="5387" w:type="dxa"/>
            <w:shd w:val="clear" w:color="auto" w:fill="auto"/>
          </w:tcPr>
          <w:p w:rsidR="007328B2" w:rsidRPr="00A17E06" w:rsidRDefault="007328B2" w:rsidP="00A6338F">
            <w:pPr>
              <w:pStyle w:val="ListParagraph"/>
              <w:numPr>
                <w:ilvl w:val="0"/>
                <w:numId w:val="14"/>
              </w:numPr>
              <w:ind w:left="231" w:hanging="206"/>
            </w:pPr>
            <w:r>
              <w:t>National eResearch Collaboration Tools and Resources</w:t>
            </w:r>
          </w:p>
          <w:p w:rsidR="007328B2" w:rsidRDefault="00110F16" w:rsidP="00A6338F">
            <w:pPr>
              <w:pStyle w:val="ListParagraph"/>
              <w:numPr>
                <w:ilvl w:val="0"/>
                <w:numId w:val="14"/>
              </w:numPr>
              <w:ind w:left="231" w:hanging="206"/>
            </w:pPr>
            <w:r>
              <w:t>Research Data Services</w:t>
            </w:r>
            <w:r w:rsidR="00E30E3E">
              <w:t>-</w:t>
            </w:r>
            <w:r w:rsidR="007328B2">
              <w:t>storage infrastructure and services supporting collaborative access to research data assets of national significance</w:t>
            </w:r>
          </w:p>
          <w:p w:rsidR="00615DED" w:rsidRDefault="007328B2">
            <w:pPr>
              <w:pStyle w:val="ListParagraph"/>
              <w:numPr>
                <w:ilvl w:val="0"/>
                <w:numId w:val="14"/>
              </w:numPr>
              <w:ind w:left="231" w:hanging="206"/>
            </w:pPr>
            <w:r>
              <w:t>Australian National Data Service</w:t>
            </w:r>
            <w:r w:rsidR="00E30E3E">
              <w:t>-</w:t>
            </w:r>
            <w:r>
              <w:t>enabling research data to be findable, accessible, interoperable and reusable</w:t>
            </w:r>
          </w:p>
          <w:p w:rsidR="005F1B60" w:rsidRPr="00615DED" w:rsidRDefault="005F1B60" w:rsidP="00676CA8">
            <w:pPr>
              <w:pStyle w:val="ListParagraph"/>
              <w:ind w:left="231"/>
            </w:pPr>
          </w:p>
        </w:tc>
      </w:tr>
      <w:tr w:rsidR="007328B2" w:rsidRPr="00F86FE1" w:rsidTr="00A6338F">
        <w:tc>
          <w:tcPr>
            <w:tcW w:w="959" w:type="dxa"/>
            <w:shd w:val="clear" w:color="auto" w:fill="499FE1" w:themeFill="accent1" w:themeFillTint="99"/>
          </w:tcPr>
          <w:p w:rsidR="007328B2" w:rsidRDefault="007328B2" w:rsidP="00A6338F">
            <w:pPr>
              <w:jc w:val="center"/>
              <w:rPr>
                <w:b/>
              </w:rPr>
            </w:pPr>
          </w:p>
        </w:tc>
        <w:tc>
          <w:tcPr>
            <w:tcW w:w="3118" w:type="dxa"/>
            <w:shd w:val="clear" w:color="auto" w:fill="499FE1" w:themeFill="accent1" w:themeFillTint="99"/>
          </w:tcPr>
          <w:p w:rsidR="007328B2" w:rsidRPr="00F86FE1" w:rsidRDefault="007328B2" w:rsidP="007328B2">
            <w:pPr>
              <w:rPr>
                <w:b/>
              </w:rPr>
            </w:pPr>
            <w:r>
              <w:rPr>
                <w:b/>
              </w:rPr>
              <w:t>Emerging trends</w:t>
            </w:r>
          </w:p>
        </w:tc>
        <w:tc>
          <w:tcPr>
            <w:tcW w:w="5387" w:type="dxa"/>
            <w:shd w:val="clear" w:color="auto" w:fill="499FE1" w:themeFill="accent1" w:themeFillTint="99"/>
          </w:tcPr>
          <w:p w:rsidR="007328B2" w:rsidRPr="00F86FE1" w:rsidRDefault="007328B2" w:rsidP="007328B2">
            <w:pPr>
              <w:rPr>
                <w:b/>
              </w:rPr>
            </w:pPr>
            <w:r>
              <w:rPr>
                <w:b/>
              </w:rPr>
              <w:t>Examples of potential new infrastructure</w:t>
            </w:r>
          </w:p>
        </w:tc>
      </w:tr>
      <w:tr w:rsidR="007328B2" w:rsidTr="00A6338F">
        <w:trPr>
          <w:trHeight w:val="1389"/>
        </w:trPr>
        <w:tc>
          <w:tcPr>
            <w:tcW w:w="959" w:type="dxa"/>
          </w:tcPr>
          <w:p w:rsidR="007328B2" w:rsidRDefault="007328B2" w:rsidP="00A6338F">
            <w:pPr>
              <w:rPr>
                <w:b/>
              </w:rPr>
            </w:pPr>
          </w:p>
          <w:p w:rsidR="007328B2" w:rsidRDefault="007328B2" w:rsidP="00A6338F">
            <w:pPr>
              <w:rPr>
                <w:b/>
              </w:rPr>
            </w:pPr>
            <w:r>
              <w:rPr>
                <w:b/>
              </w:rPr>
              <w:t>Future</w:t>
            </w:r>
          </w:p>
        </w:tc>
        <w:tc>
          <w:tcPr>
            <w:tcW w:w="3118" w:type="dxa"/>
            <w:shd w:val="clear" w:color="auto" w:fill="auto"/>
          </w:tcPr>
          <w:p w:rsidR="007328B2" w:rsidRDefault="007328B2" w:rsidP="00A6338F">
            <w:pPr>
              <w:ind w:left="-15"/>
            </w:pPr>
            <w:r>
              <w:t>In addition to continuing existing capabilities:</w:t>
            </w:r>
          </w:p>
          <w:p w:rsidR="007328B2" w:rsidRDefault="007328B2" w:rsidP="00D04046">
            <w:pPr>
              <w:pStyle w:val="ListParagraph"/>
              <w:numPr>
                <w:ilvl w:val="0"/>
                <w:numId w:val="14"/>
              </w:numPr>
              <w:ind w:left="231" w:hanging="206"/>
              <w:rPr>
                <w:b/>
              </w:rPr>
            </w:pPr>
            <w:r>
              <w:t>Integrated research data solutions</w:t>
            </w:r>
          </w:p>
        </w:tc>
        <w:tc>
          <w:tcPr>
            <w:tcW w:w="5387" w:type="dxa"/>
            <w:shd w:val="clear" w:color="auto" w:fill="auto"/>
          </w:tcPr>
          <w:p w:rsidR="007328B2" w:rsidRDefault="007328B2" w:rsidP="00D04046">
            <w:pPr>
              <w:pStyle w:val="ListParagraph"/>
              <w:numPr>
                <w:ilvl w:val="0"/>
                <w:numId w:val="14"/>
              </w:numPr>
              <w:ind w:left="231" w:hanging="206"/>
              <w:rPr>
                <w:b/>
              </w:rPr>
            </w:pPr>
            <w:r>
              <w:t>An integrated Australian research data system, including cloud provision of collaboration environments, computation and storage, reliable data and provenance capture, trusted data repositories, virtual laboratory support, publishing of research outputs and the federation of data, including physically dispersed nationally significant reference collections</w:t>
            </w:r>
          </w:p>
        </w:tc>
      </w:tr>
    </w:tbl>
    <w:p w:rsidR="007328B2" w:rsidRDefault="007328B2" w:rsidP="007328B2">
      <w:pPr>
        <w:rPr>
          <w:rFonts w:ascii="Calibri" w:eastAsiaTheme="majorEastAsia" w:hAnsi="Calibri" w:cstheme="majorBidi"/>
          <w:bCs/>
          <w:color w:val="000000" w:themeColor="text1"/>
          <w:sz w:val="18"/>
          <w:szCs w:val="18"/>
        </w:rPr>
      </w:pPr>
    </w:p>
    <w:p w:rsidR="007328B2" w:rsidRDefault="007328B2" w:rsidP="007328B2">
      <w:pPr>
        <w:rPr>
          <w:rFonts w:ascii="Calibri" w:eastAsiaTheme="majorEastAsia" w:hAnsi="Calibri" w:cstheme="majorBidi"/>
          <w:bCs/>
          <w:color w:val="000000" w:themeColor="text1"/>
          <w:sz w:val="18"/>
          <w:szCs w:val="18"/>
        </w:rPr>
      </w:pPr>
    </w:p>
    <w:p w:rsidR="00292CFC" w:rsidRDefault="00292CFC" w:rsidP="007328B2">
      <w:pPr>
        <w:rPr>
          <w:rFonts w:ascii="Calibri" w:eastAsiaTheme="majorEastAsia" w:hAnsi="Calibri" w:cstheme="majorBidi"/>
          <w:bCs/>
          <w:color w:val="000000" w:themeColor="text1"/>
          <w:sz w:val="18"/>
          <w:szCs w:val="18"/>
        </w:rPr>
      </w:pPr>
    </w:p>
    <w:tbl>
      <w:tblPr>
        <w:tblStyle w:val="TableGrid"/>
        <w:tblW w:w="9356" w:type="dxa"/>
        <w:tblInd w:w="108" w:type="dxa"/>
        <w:tblLook w:val="04A0" w:firstRow="1" w:lastRow="0" w:firstColumn="1" w:lastColumn="0" w:noHBand="0" w:noVBand="1"/>
        <w:tblCaption w:val="Table cell containing Questions 33, 34 &amp; 35"/>
        <w:tblDescription w:val="Q33: Are the identified emerging directions and research infrastructure capabilities for Data for Research and Discoverability right? Are there any missing or additional needed?&#10;Q34: Are there any international research infrastructure collaborations or emerging projects that Australia should engage in over the next ten years and beyond?&#10;Q35: Is there anything else that needs to be included or considered in the 2016 Roadmap for the Data for Research and Discoverability capability area?&#10;"/>
      </w:tblPr>
      <w:tblGrid>
        <w:gridCol w:w="9356"/>
      </w:tblGrid>
      <w:tr w:rsidR="007328B2" w:rsidRPr="00E70C42" w:rsidTr="00676CA8">
        <w:tc>
          <w:tcPr>
            <w:tcW w:w="9356" w:type="dxa"/>
            <w:shd w:val="clear" w:color="auto" w:fill="FFC000"/>
          </w:tcPr>
          <w:p w:rsidR="007328B2" w:rsidRPr="00E70C42" w:rsidRDefault="007328B2" w:rsidP="00676CA8">
            <w:pPr>
              <w:autoSpaceDE w:val="0"/>
              <w:autoSpaceDN w:val="0"/>
              <w:adjustRightInd w:val="0"/>
              <w:spacing w:before="180" w:after="180" w:line="276" w:lineRule="auto"/>
              <w:ind w:left="1418" w:hanging="1276"/>
              <w:rPr>
                <w:rFonts w:cstheme="minorHAnsi"/>
                <w:b/>
              </w:rPr>
            </w:pPr>
            <w:r w:rsidRPr="00E70C42">
              <w:rPr>
                <w:rFonts w:cstheme="minorHAnsi"/>
                <w:b/>
              </w:rPr>
              <w:lastRenderedPageBreak/>
              <w:t>Question 3</w:t>
            </w:r>
            <w:r w:rsidR="00DE7B22">
              <w:rPr>
                <w:rFonts w:cstheme="minorHAnsi"/>
                <w:b/>
              </w:rPr>
              <w:t>3</w:t>
            </w:r>
            <w:r w:rsidRPr="00E70C42">
              <w:rPr>
                <w:rFonts w:cstheme="minorHAnsi"/>
                <w:b/>
              </w:rPr>
              <w:t>:</w:t>
            </w:r>
            <w:r w:rsidRPr="00E70C42">
              <w:rPr>
                <w:rFonts w:cstheme="minorHAnsi"/>
                <w:b/>
              </w:rPr>
              <w:tab/>
              <w:t>Are the identified emerging directions and research infrastructure capabilities for Data for Research</w:t>
            </w:r>
            <w:r>
              <w:rPr>
                <w:rFonts w:cstheme="minorHAnsi"/>
                <w:b/>
              </w:rPr>
              <w:t xml:space="preserve"> and Discoverability</w:t>
            </w:r>
            <w:r w:rsidRPr="00E70C42">
              <w:rPr>
                <w:rFonts w:cstheme="minorHAnsi"/>
                <w:b/>
              </w:rPr>
              <w:t xml:space="preserve"> right? Are there any missing or additional needed?</w:t>
            </w:r>
          </w:p>
          <w:p w:rsidR="007328B2" w:rsidRPr="00E70C42" w:rsidRDefault="007328B2" w:rsidP="00676CA8">
            <w:pPr>
              <w:autoSpaceDE w:val="0"/>
              <w:autoSpaceDN w:val="0"/>
              <w:adjustRightInd w:val="0"/>
              <w:spacing w:before="180" w:after="180" w:line="276" w:lineRule="auto"/>
              <w:ind w:left="1418" w:hanging="1276"/>
              <w:rPr>
                <w:rFonts w:cstheme="minorHAnsi"/>
                <w:b/>
              </w:rPr>
            </w:pPr>
            <w:r w:rsidRPr="00E70C42">
              <w:rPr>
                <w:rFonts w:cstheme="minorHAnsi"/>
                <w:b/>
              </w:rPr>
              <w:t>Question 3</w:t>
            </w:r>
            <w:r w:rsidR="00DE7B22">
              <w:rPr>
                <w:rFonts w:cstheme="minorHAnsi"/>
                <w:b/>
              </w:rPr>
              <w:t>4</w:t>
            </w:r>
            <w:r w:rsidRPr="00E70C42">
              <w:rPr>
                <w:rFonts w:cstheme="minorHAnsi"/>
                <w:b/>
              </w:rPr>
              <w:t>:</w:t>
            </w:r>
            <w:r w:rsidRPr="00E70C42">
              <w:rPr>
                <w:rFonts w:cstheme="minorHAnsi"/>
                <w:b/>
              </w:rPr>
              <w:tab/>
              <w:t>Are there any international research infrastructure collaborations or emerging projects that Australia should engage in over the next ten years and beyond?</w:t>
            </w:r>
          </w:p>
          <w:p w:rsidR="007328B2" w:rsidRPr="00E70C42" w:rsidRDefault="007328B2" w:rsidP="00676CA8">
            <w:pPr>
              <w:autoSpaceDE w:val="0"/>
              <w:autoSpaceDN w:val="0"/>
              <w:adjustRightInd w:val="0"/>
              <w:spacing w:before="200" w:after="180" w:line="276" w:lineRule="auto"/>
              <w:ind w:left="1418" w:hanging="1276"/>
              <w:rPr>
                <w:b/>
              </w:rPr>
            </w:pPr>
            <w:r w:rsidRPr="00E70C42">
              <w:rPr>
                <w:rFonts w:cstheme="minorHAnsi"/>
                <w:b/>
              </w:rPr>
              <w:t>Question 3</w:t>
            </w:r>
            <w:r w:rsidR="00DE7B22">
              <w:rPr>
                <w:rFonts w:cstheme="minorHAnsi"/>
                <w:b/>
              </w:rPr>
              <w:t>5</w:t>
            </w:r>
            <w:r w:rsidRPr="00E70C42">
              <w:rPr>
                <w:rFonts w:cstheme="minorHAnsi"/>
                <w:b/>
              </w:rPr>
              <w:t>:</w:t>
            </w:r>
            <w:r w:rsidRPr="00E70C42">
              <w:rPr>
                <w:rFonts w:cstheme="minorHAnsi"/>
                <w:b/>
              </w:rPr>
              <w:tab/>
              <w:t xml:space="preserve">Is there anything else that needs to be included or considered in the 2016 Roadmap for the Data for Research </w:t>
            </w:r>
            <w:r>
              <w:rPr>
                <w:rFonts w:cstheme="minorHAnsi"/>
                <w:b/>
              </w:rPr>
              <w:t xml:space="preserve">and Discoverability </w:t>
            </w:r>
            <w:r w:rsidRPr="00E70C42">
              <w:rPr>
                <w:rFonts w:cstheme="minorHAnsi"/>
                <w:b/>
              </w:rPr>
              <w:t>capability area?</w:t>
            </w:r>
          </w:p>
        </w:tc>
      </w:tr>
    </w:tbl>
    <w:p w:rsidR="009C127A" w:rsidRDefault="009C127A">
      <w:r>
        <w:br w:type="page"/>
      </w:r>
    </w:p>
    <w:p w:rsidR="00B8025F" w:rsidRPr="0005055C" w:rsidRDefault="003B540D" w:rsidP="00BB281B">
      <w:pPr>
        <w:pStyle w:val="Heading1"/>
        <w:numPr>
          <w:ilvl w:val="0"/>
          <w:numId w:val="0"/>
        </w:numPr>
        <w:ind w:left="432" w:hanging="432"/>
      </w:pPr>
      <w:bookmarkStart w:id="50" w:name="_Toc456449028"/>
      <w:bookmarkStart w:id="51" w:name="_Toc455414558"/>
      <w:r w:rsidRPr="0005055C">
        <w:lastRenderedPageBreak/>
        <w:t xml:space="preserve">Attachment </w:t>
      </w:r>
      <w:proofErr w:type="gramStart"/>
      <w:r w:rsidR="008834CA">
        <w:t>A</w:t>
      </w:r>
      <w:proofErr w:type="gramEnd"/>
      <w:r w:rsidR="0050342B">
        <w:t xml:space="preserve"> </w:t>
      </w:r>
      <w:r w:rsidR="0050342B">
        <w:rPr>
          <w:rFonts w:eastAsia="Calibri"/>
        </w:rPr>
        <w:t xml:space="preserve">– </w:t>
      </w:r>
      <w:r>
        <w:t>Making a Submission</w:t>
      </w:r>
      <w:bookmarkEnd w:id="50"/>
      <w:r w:rsidR="00731AC5">
        <w:t xml:space="preserve"> </w:t>
      </w:r>
      <w:bookmarkEnd w:id="51"/>
    </w:p>
    <w:p w:rsidR="00B8025F" w:rsidRPr="00BB281B" w:rsidRDefault="00B8025F" w:rsidP="00BB281B">
      <w:pPr>
        <w:pStyle w:val="Default"/>
        <w:spacing w:after="120"/>
        <w:rPr>
          <w:rFonts w:asciiTheme="minorHAnsi" w:hAnsiTheme="minorHAnsi" w:cstheme="minorHAnsi"/>
          <w:b/>
          <w:bCs/>
          <w:sz w:val="22"/>
          <w:szCs w:val="22"/>
        </w:rPr>
      </w:pPr>
      <w:r w:rsidRPr="00BB281B">
        <w:rPr>
          <w:rFonts w:asciiTheme="minorHAnsi" w:hAnsiTheme="minorHAnsi" w:cstheme="minorHAnsi"/>
          <w:b/>
          <w:bCs/>
          <w:sz w:val="22"/>
          <w:szCs w:val="22"/>
        </w:rPr>
        <w:t xml:space="preserve">Please note the following key information about making a submission to the 2016 National Research Infrastructure Capability </w:t>
      </w:r>
      <w:r w:rsidR="0051190F">
        <w:rPr>
          <w:rFonts w:asciiTheme="minorHAnsi" w:hAnsiTheme="minorHAnsi" w:cstheme="minorHAnsi"/>
          <w:b/>
          <w:bCs/>
          <w:sz w:val="22"/>
          <w:szCs w:val="22"/>
        </w:rPr>
        <w:t>Issues Paper</w:t>
      </w:r>
      <w:r w:rsidRPr="00BB281B">
        <w:rPr>
          <w:rFonts w:asciiTheme="minorHAnsi" w:hAnsiTheme="minorHAnsi" w:cstheme="minorHAnsi"/>
          <w:b/>
          <w:bCs/>
          <w:sz w:val="22"/>
          <w:szCs w:val="22"/>
        </w:rPr>
        <w:t>.</w:t>
      </w:r>
    </w:p>
    <w:p w:rsidR="00B8025F" w:rsidRPr="004B5E0E" w:rsidRDefault="00B8025F" w:rsidP="00B8025F">
      <w:pPr>
        <w:pStyle w:val="Default"/>
        <w:rPr>
          <w:rFonts w:asciiTheme="minorHAnsi" w:hAnsiTheme="minorHAnsi" w:cstheme="minorHAnsi"/>
          <w:sz w:val="28"/>
          <w:szCs w:val="28"/>
        </w:rPr>
      </w:pPr>
    </w:p>
    <w:p w:rsidR="00B8025F" w:rsidRPr="004B5E0E" w:rsidRDefault="00B8025F" w:rsidP="00B8025F">
      <w:pPr>
        <w:pStyle w:val="Default"/>
        <w:spacing w:after="120"/>
        <w:rPr>
          <w:rFonts w:asciiTheme="minorHAnsi" w:hAnsiTheme="minorHAnsi" w:cstheme="minorHAnsi"/>
          <w:sz w:val="22"/>
          <w:szCs w:val="22"/>
        </w:rPr>
      </w:pPr>
      <w:r w:rsidRPr="004B5E0E">
        <w:rPr>
          <w:rFonts w:asciiTheme="minorHAnsi" w:hAnsiTheme="minorHAnsi" w:cstheme="minorHAnsi"/>
          <w:b/>
          <w:bCs/>
          <w:sz w:val="22"/>
          <w:szCs w:val="22"/>
        </w:rPr>
        <w:t xml:space="preserve">Who can make a submission? </w:t>
      </w:r>
    </w:p>
    <w:p w:rsidR="00B8025F" w:rsidRDefault="00850BBB" w:rsidP="00B8025F">
      <w:pPr>
        <w:pStyle w:val="Default"/>
        <w:rPr>
          <w:rFonts w:asciiTheme="minorHAnsi" w:hAnsiTheme="minorHAnsi" w:cstheme="minorHAnsi"/>
          <w:sz w:val="22"/>
          <w:szCs w:val="22"/>
        </w:rPr>
      </w:pPr>
      <w:r>
        <w:rPr>
          <w:rFonts w:asciiTheme="minorHAnsi" w:hAnsiTheme="minorHAnsi" w:cstheme="minorHAnsi"/>
          <w:sz w:val="22"/>
          <w:szCs w:val="22"/>
        </w:rPr>
        <w:t xml:space="preserve">Anyone </w:t>
      </w:r>
      <w:r w:rsidR="00B8025F" w:rsidRPr="004B5E0E">
        <w:rPr>
          <w:rFonts w:asciiTheme="minorHAnsi" w:hAnsiTheme="minorHAnsi" w:cstheme="minorHAnsi"/>
          <w:sz w:val="22"/>
          <w:szCs w:val="22"/>
        </w:rPr>
        <w:t xml:space="preserve">is </w:t>
      </w:r>
      <w:r w:rsidR="006215F1">
        <w:rPr>
          <w:rFonts w:asciiTheme="minorHAnsi" w:hAnsiTheme="minorHAnsi" w:cstheme="minorHAnsi"/>
          <w:sz w:val="22"/>
          <w:szCs w:val="22"/>
        </w:rPr>
        <w:t>welcome</w:t>
      </w:r>
      <w:r w:rsidR="006215F1" w:rsidRPr="004B5E0E">
        <w:rPr>
          <w:rFonts w:asciiTheme="minorHAnsi" w:hAnsiTheme="minorHAnsi" w:cstheme="minorHAnsi"/>
          <w:sz w:val="22"/>
          <w:szCs w:val="22"/>
        </w:rPr>
        <w:t xml:space="preserve"> </w:t>
      </w:r>
      <w:r w:rsidR="00B8025F" w:rsidRPr="004B5E0E">
        <w:rPr>
          <w:rFonts w:asciiTheme="minorHAnsi" w:hAnsiTheme="minorHAnsi" w:cstheme="minorHAnsi"/>
          <w:sz w:val="22"/>
          <w:szCs w:val="22"/>
        </w:rPr>
        <w:t xml:space="preserve">to comment and make submissions on </w:t>
      </w:r>
      <w:r w:rsidR="00B8025F" w:rsidRPr="001F6739">
        <w:rPr>
          <w:rFonts w:asciiTheme="minorHAnsi" w:hAnsiTheme="minorHAnsi" w:cstheme="minorHAnsi"/>
          <w:sz w:val="22"/>
          <w:szCs w:val="22"/>
        </w:rPr>
        <w:t>th</w:t>
      </w:r>
      <w:r w:rsidR="00B8025F">
        <w:rPr>
          <w:rFonts w:asciiTheme="minorHAnsi" w:hAnsiTheme="minorHAnsi" w:cstheme="minorHAnsi"/>
          <w:sz w:val="22"/>
          <w:szCs w:val="22"/>
        </w:rPr>
        <w:t xml:space="preserve">e </w:t>
      </w:r>
      <w:r w:rsidR="00B8025F" w:rsidRPr="001F6739">
        <w:rPr>
          <w:rFonts w:asciiTheme="minorHAnsi" w:hAnsiTheme="minorHAnsi" w:cstheme="minorHAnsi"/>
          <w:sz w:val="22"/>
          <w:szCs w:val="22"/>
        </w:rPr>
        <w:t xml:space="preserve">2016 National Research Infrastructure </w:t>
      </w:r>
      <w:r w:rsidR="00B8025F">
        <w:rPr>
          <w:rFonts w:asciiTheme="minorHAnsi" w:hAnsiTheme="minorHAnsi" w:cstheme="minorHAnsi"/>
          <w:sz w:val="22"/>
          <w:szCs w:val="22"/>
        </w:rPr>
        <w:t xml:space="preserve">Capability </w:t>
      </w:r>
      <w:r w:rsidR="0051190F">
        <w:rPr>
          <w:rFonts w:asciiTheme="minorHAnsi" w:hAnsiTheme="minorHAnsi" w:cstheme="minorHAnsi"/>
          <w:sz w:val="22"/>
          <w:szCs w:val="22"/>
        </w:rPr>
        <w:t>Issues Paper</w:t>
      </w:r>
      <w:r w:rsidR="00B8025F">
        <w:rPr>
          <w:rFonts w:asciiTheme="minorHAnsi" w:hAnsiTheme="minorHAnsi" w:cstheme="minorHAnsi"/>
          <w:sz w:val="22"/>
          <w:szCs w:val="22"/>
        </w:rPr>
        <w:t>.</w:t>
      </w:r>
    </w:p>
    <w:p w:rsidR="00B8025F" w:rsidRPr="004B5E0E" w:rsidRDefault="00B8025F" w:rsidP="00B8025F">
      <w:pPr>
        <w:pStyle w:val="Default"/>
        <w:rPr>
          <w:rFonts w:asciiTheme="minorHAnsi" w:hAnsiTheme="minorHAnsi" w:cstheme="minorHAnsi"/>
          <w:sz w:val="22"/>
          <w:szCs w:val="22"/>
        </w:rPr>
      </w:pPr>
    </w:p>
    <w:p w:rsidR="00B8025F" w:rsidRDefault="00B8025F" w:rsidP="00B8025F">
      <w:pPr>
        <w:pStyle w:val="Default"/>
        <w:spacing w:after="120"/>
        <w:rPr>
          <w:rFonts w:asciiTheme="minorHAnsi" w:hAnsiTheme="minorHAnsi" w:cstheme="minorHAnsi"/>
          <w:sz w:val="22"/>
          <w:szCs w:val="22"/>
        </w:rPr>
      </w:pPr>
      <w:r w:rsidRPr="004B5E0E">
        <w:rPr>
          <w:rFonts w:asciiTheme="minorHAnsi" w:hAnsiTheme="minorHAnsi" w:cstheme="minorHAnsi"/>
          <w:b/>
          <w:bCs/>
          <w:sz w:val="22"/>
          <w:szCs w:val="22"/>
        </w:rPr>
        <w:t xml:space="preserve">How will submissions be used? </w:t>
      </w:r>
    </w:p>
    <w:p w:rsidR="00B8025F" w:rsidRDefault="00850BBB" w:rsidP="00B8025F">
      <w:pPr>
        <w:pStyle w:val="Default"/>
        <w:rPr>
          <w:rFonts w:asciiTheme="minorHAnsi" w:hAnsiTheme="minorHAnsi" w:cstheme="minorHAnsi"/>
          <w:sz w:val="22"/>
          <w:szCs w:val="22"/>
        </w:rPr>
      </w:pPr>
      <w:r>
        <w:rPr>
          <w:rFonts w:asciiTheme="minorHAnsi" w:hAnsiTheme="minorHAnsi" w:cstheme="minorHAnsi"/>
          <w:sz w:val="22"/>
          <w:szCs w:val="22"/>
        </w:rPr>
        <w:t xml:space="preserve">Every submission </w:t>
      </w:r>
      <w:r w:rsidR="00B8025F">
        <w:rPr>
          <w:rFonts w:asciiTheme="minorHAnsi" w:hAnsiTheme="minorHAnsi" w:cstheme="minorHAnsi"/>
          <w:sz w:val="22"/>
          <w:szCs w:val="22"/>
        </w:rPr>
        <w:t xml:space="preserve">received will be reviewed and considered as part of the </w:t>
      </w:r>
      <w:r w:rsidR="00B8025F" w:rsidRPr="001F6739">
        <w:rPr>
          <w:rFonts w:asciiTheme="minorHAnsi" w:hAnsiTheme="minorHAnsi" w:cstheme="minorHAnsi"/>
          <w:sz w:val="22"/>
          <w:szCs w:val="22"/>
        </w:rPr>
        <w:t>2016 National Research Infrastructure Roadmap</w:t>
      </w:r>
      <w:r w:rsidR="00B8025F">
        <w:rPr>
          <w:rFonts w:asciiTheme="minorHAnsi" w:hAnsiTheme="minorHAnsi" w:cstheme="minorHAnsi"/>
          <w:sz w:val="22"/>
          <w:szCs w:val="22"/>
        </w:rPr>
        <w:t xml:space="preserve"> development process.</w:t>
      </w:r>
      <w:r w:rsidR="006D7E4A">
        <w:rPr>
          <w:rFonts w:asciiTheme="minorHAnsi" w:hAnsiTheme="minorHAnsi" w:cstheme="minorHAnsi"/>
          <w:sz w:val="22"/>
          <w:szCs w:val="22"/>
        </w:rPr>
        <w:t xml:space="preserve"> </w:t>
      </w:r>
    </w:p>
    <w:p w:rsidR="00B8025F" w:rsidRPr="004B5E0E" w:rsidRDefault="00B8025F" w:rsidP="00B8025F">
      <w:pPr>
        <w:pStyle w:val="Default"/>
        <w:rPr>
          <w:rFonts w:asciiTheme="minorHAnsi" w:hAnsiTheme="minorHAnsi" w:cstheme="minorHAnsi"/>
          <w:sz w:val="22"/>
          <w:szCs w:val="22"/>
        </w:rPr>
      </w:pPr>
    </w:p>
    <w:p w:rsidR="00B8025F" w:rsidRDefault="00B8025F" w:rsidP="00B8025F">
      <w:pPr>
        <w:pStyle w:val="Default"/>
        <w:spacing w:after="120"/>
        <w:rPr>
          <w:rFonts w:asciiTheme="minorHAnsi" w:hAnsiTheme="minorHAnsi" w:cstheme="minorHAnsi"/>
          <w:b/>
          <w:bCs/>
          <w:sz w:val="22"/>
          <w:szCs w:val="22"/>
        </w:rPr>
      </w:pPr>
      <w:r w:rsidRPr="004B5E0E">
        <w:rPr>
          <w:rFonts w:asciiTheme="minorHAnsi" w:hAnsiTheme="minorHAnsi" w:cstheme="minorHAnsi"/>
          <w:b/>
          <w:bCs/>
          <w:sz w:val="22"/>
          <w:szCs w:val="22"/>
        </w:rPr>
        <w:t xml:space="preserve">Will submissions be publicly available? </w:t>
      </w:r>
    </w:p>
    <w:p w:rsidR="00B8025F" w:rsidRDefault="00B8025F" w:rsidP="00B8025F">
      <w:pPr>
        <w:pStyle w:val="Default"/>
        <w:rPr>
          <w:rFonts w:asciiTheme="minorHAnsi" w:hAnsiTheme="minorHAnsi" w:cstheme="minorHAnsi"/>
          <w:sz w:val="22"/>
          <w:szCs w:val="22"/>
        </w:rPr>
      </w:pPr>
      <w:r w:rsidRPr="004B5E0E">
        <w:rPr>
          <w:rFonts w:asciiTheme="minorHAnsi" w:hAnsiTheme="minorHAnsi" w:cstheme="minorHAnsi"/>
          <w:sz w:val="22"/>
          <w:szCs w:val="22"/>
        </w:rPr>
        <w:t xml:space="preserve">Written submissions will be publicly available </w:t>
      </w:r>
      <w:r w:rsidR="006215F1">
        <w:rPr>
          <w:rFonts w:asciiTheme="minorHAnsi" w:hAnsiTheme="minorHAnsi" w:cstheme="minorHAnsi"/>
          <w:sz w:val="22"/>
          <w:szCs w:val="22"/>
        </w:rPr>
        <w:t>on the Department of Education</w:t>
      </w:r>
      <w:r w:rsidR="00DF7527">
        <w:rPr>
          <w:rFonts w:asciiTheme="minorHAnsi" w:hAnsiTheme="minorHAnsi" w:cstheme="minorHAnsi"/>
          <w:sz w:val="22"/>
          <w:szCs w:val="22"/>
        </w:rPr>
        <w:t xml:space="preserve"> and Training</w:t>
      </w:r>
      <w:r w:rsidR="006215F1">
        <w:rPr>
          <w:rFonts w:asciiTheme="minorHAnsi" w:hAnsiTheme="minorHAnsi" w:cstheme="minorHAnsi"/>
          <w:sz w:val="22"/>
          <w:szCs w:val="22"/>
        </w:rPr>
        <w:t xml:space="preserve">’s website </w:t>
      </w:r>
      <w:r w:rsidRPr="004B5E0E">
        <w:rPr>
          <w:rFonts w:asciiTheme="minorHAnsi" w:hAnsiTheme="minorHAnsi" w:cstheme="minorHAnsi"/>
          <w:sz w:val="22"/>
          <w:szCs w:val="22"/>
        </w:rPr>
        <w:t>and will be able to be read by othe</w:t>
      </w:r>
      <w:r>
        <w:rPr>
          <w:rFonts w:asciiTheme="minorHAnsi" w:hAnsiTheme="minorHAnsi" w:cstheme="minorHAnsi"/>
          <w:sz w:val="22"/>
          <w:szCs w:val="22"/>
        </w:rPr>
        <w:t xml:space="preserve">rs, unless you have requested </w:t>
      </w:r>
      <w:r w:rsidRPr="004B5E0E">
        <w:rPr>
          <w:rFonts w:asciiTheme="minorHAnsi" w:hAnsiTheme="minorHAnsi" w:cstheme="minorHAnsi"/>
          <w:sz w:val="22"/>
          <w:szCs w:val="22"/>
        </w:rPr>
        <w:t xml:space="preserve">confidentiality status. </w:t>
      </w:r>
    </w:p>
    <w:p w:rsidR="00B8025F" w:rsidRPr="004B5E0E" w:rsidRDefault="00B8025F" w:rsidP="00B8025F">
      <w:pPr>
        <w:pStyle w:val="Default"/>
        <w:rPr>
          <w:rFonts w:asciiTheme="minorHAnsi" w:hAnsiTheme="minorHAnsi" w:cstheme="minorHAnsi"/>
          <w:sz w:val="22"/>
          <w:szCs w:val="22"/>
        </w:rPr>
      </w:pPr>
    </w:p>
    <w:p w:rsidR="00B8025F" w:rsidRPr="004B5E0E" w:rsidRDefault="00B8025F" w:rsidP="00B8025F">
      <w:pPr>
        <w:pStyle w:val="Default"/>
        <w:spacing w:after="120"/>
        <w:rPr>
          <w:rFonts w:asciiTheme="minorHAnsi" w:hAnsiTheme="minorHAnsi" w:cstheme="minorHAnsi"/>
          <w:sz w:val="22"/>
          <w:szCs w:val="22"/>
        </w:rPr>
      </w:pPr>
      <w:r w:rsidRPr="004B5E0E">
        <w:rPr>
          <w:rFonts w:asciiTheme="minorHAnsi" w:hAnsiTheme="minorHAnsi" w:cstheme="minorHAnsi"/>
          <w:b/>
          <w:bCs/>
          <w:sz w:val="22"/>
          <w:szCs w:val="22"/>
        </w:rPr>
        <w:t xml:space="preserve">Why do I have to register to make a submission or comment online? </w:t>
      </w:r>
    </w:p>
    <w:p w:rsidR="00B8025F" w:rsidRDefault="00B8025F" w:rsidP="00B8025F">
      <w:pPr>
        <w:pStyle w:val="Default"/>
        <w:rPr>
          <w:rFonts w:asciiTheme="minorHAnsi" w:hAnsiTheme="minorHAnsi" w:cstheme="minorHAnsi"/>
          <w:sz w:val="22"/>
          <w:szCs w:val="22"/>
        </w:rPr>
      </w:pPr>
      <w:r w:rsidRPr="004B5E0E">
        <w:rPr>
          <w:rFonts w:asciiTheme="minorHAnsi" w:hAnsiTheme="minorHAnsi" w:cstheme="minorHAnsi"/>
          <w:sz w:val="22"/>
          <w:szCs w:val="22"/>
        </w:rPr>
        <w:t xml:space="preserve">The information provided in the registration form will help us analyse the responses and help us know which issues are of concern to </w:t>
      </w:r>
      <w:r>
        <w:rPr>
          <w:rFonts w:asciiTheme="minorHAnsi" w:hAnsiTheme="minorHAnsi" w:cstheme="minorHAnsi"/>
          <w:sz w:val="22"/>
          <w:szCs w:val="22"/>
        </w:rPr>
        <w:t>stakeholders in national research infrastructure.</w:t>
      </w:r>
    </w:p>
    <w:p w:rsidR="00B8025F" w:rsidRPr="004B5E0E" w:rsidRDefault="00B8025F" w:rsidP="00B8025F">
      <w:pPr>
        <w:pStyle w:val="Default"/>
        <w:rPr>
          <w:rFonts w:asciiTheme="minorHAnsi" w:hAnsiTheme="minorHAnsi" w:cstheme="minorHAnsi"/>
          <w:sz w:val="22"/>
          <w:szCs w:val="22"/>
        </w:rPr>
      </w:pPr>
    </w:p>
    <w:p w:rsidR="00B8025F" w:rsidRPr="004B5E0E" w:rsidRDefault="00B8025F" w:rsidP="00B8025F">
      <w:pPr>
        <w:pStyle w:val="Default"/>
        <w:spacing w:after="120"/>
        <w:rPr>
          <w:rFonts w:asciiTheme="minorHAnsi" w:hAnsiTheme="minorHAnsi" w:cstheme="minorHAnsi"/>
          <w:sz w:val="22"/>
          <w:szCs w:val="22"/>
        </w:rPr>
      </w:pPr>
      <w:r w:rsidRPr="004B5E0E">
        <w:rPr>
          <w:rFonts w:asciiTheme="minorHAnsi" w:hAnsiTheme="minorHAnsi" w:cstheme="minorHAnsi"/>
          <w:b/>
          <w:bCs/>
          <w:sz w:val="22"/>
          <w:szCs w:val="22"/>
        </w:rPr>
        <w:t xml:space="preserve">Can I provide a submission in another format? </w:t>
      </w:r>
    </w:p>
    <w:p w:rsidR="00B8025F" w:rsidRDefault="008834CA" w:rsidP="00B8025F">
      <w:pPr>
        <w:pStyle w:val="Default"/>
        <w:rPr>
          <w:rFonts w:asciiTheme="minorHAnsi" w:hAnsiTheme="minorHAnsi" w:cstheme="minorHAnsi"/>
          <w:sz w:val="22"/>
          <w:szCs w:val="22"/>
        </w:rPr>
      </w:pPr>
      <w:r>
        <w:rPr>
          <w:rFonts w:asciiTheme="minorHAnsi" w:hAnsiTheme="minorHAnsi" w:cstheme="minorHAnsi"/>
          <w:sz w:val="22"/>
          <w:szCs w:val="22"/>
        </w:rPr>
        <w:t>No</w:t>
      </w:r>
      <w:r w:rsidR="005F1B60">
        <w:rPr>
          <w:rFonts w:asciiTheme="minorHAnsi" w:hAnsiTheme="minorHAnsi" w:cstheme="minorHAnsi"/>
          <w:sz w:val="22"/>
          <w:szCs w:val="22"/>
        </w:rPr>
        <w:t>,</w:t>
      </w:r>
      <w:r>
        <w:rPr>
          <w:rFonts w:asciiTheme="minorHAnsi" w:hAnsiTheme="minorHAnsi" w:cstheme="minorHAnsi"/>
          <w:sz w:val="22"/>
          <w:szCs w:val="22"/>
        </w:rPr>
        <w:t xml:space="preserve"> for accessibility reasons </w:t>
      </w:r>
      <w:r w:rsidR="00B8025F">
        <w:rPr>
          <w:rFonts w:asciiTheme="minorHAnsi" w:hAnsiTheme="minorHAnsi" w:cstheme="minorHAnsi"/>
          <w:sz w:val="22"/>
          <w:szCs w:val="22"/>
        </w:rPr>
        <w:t xml:space="preserve">only </w:t>
      </w:r>
      <w:r>
        <w:rPr>
          <w:rFonts w:asciiTheme="minorHAnsi" w:hAnsiTheme="minorHAnsi" w:cstheme="minorHAnsi"/>
          <w:sz w:val="22"/>
          <w:szCs w:val="22"/>
        </w:rPr>
        <w:t xml:space="preserve">the word </w:t>
      </w:r>
      <w:r w:rsidR="00B8025F" w:rsidRPr="004B5E0E">
        <w:rPr>
          <w:rFonts w:asciiTheme="minorHAnsi" w:hAnsiTheme="minorHAnsi" w:cstheme="minorHAnsi"/>
          <w:sz w:val="22"/>
          <w:szCs w:val="22"/>
        </w:rPr>
        <w:t xml:space="preserve">template </w:t>
      </w:r>
      <w:r>
        <w:rPr>
          <w:rFonts w:asciiTheme="minorHAnsi" w:hAnsiTheme="minorHAnsi" w:cstheme="minorHAnsi"/>
          <w:sz w:val="22"/>
          <w:szCs w:val="22"/>
        </w:rPr>
        <w:t xml:space="preserve">available from the Department of Education and Training’s website should be used </w:t>
      </w:r>
      <w:r w:rsidR="008C5C0A">
        <w:rPr>
          <w:rFonts w:asciiTheme="minorHAnsi" w:hAnsiTheme="minorHAnsi" w:cstheme="minorHAnsi"/>
          <w:sz w:val="22"/>
          <w:szCs w:val="22"/>
        </w:rPr>
        <w:t>and an example copy has been provided</w:t>
      </w:r>
      <w:r w:rsidR="00B8025F" w:rsidRPr="004B5E0E">
        <w:rPr>
          <w:rFonts w:asciiTheme="minorHAnsi" w:hAnsiTheme="minorHAnsi" w:cstheme="minorHAnsi"/>
          <w:sz w:val="22"/>
          <w:szCs w:val="22"/>
        </w:rPr>
        <w:t xml:space="preserve">. This will </w:t>
      </w:r>
      <w:r w:rsidR="0035003A">
        <w:rPr>
          <w:rFonts w:asciiTheme="minorHAnsi" w:hAnsiTheme="minorHAnsi" w:cstheme="minorHAnsi"/>
          <w:sz w:val="22"/>
          <w:szCs w:val="22"/>
        </w:rPr>
        <w:t xml:space="preserve">also </w:t>
      </w:r>
      <w:r w:rsidR="00B8025F" w:rsidRPr="004B5E0E">
        <w:rPr>
          <w:rFonts w:asciiTheme="minorHAnsi" w:hAnsiTheme="minorHAnsi" w:cstheme="minorHAnsi"/>
          <w:sz w:val="22"/>
          <w:szCs w:val="22"/>
        </w:rPr>
        <w:t xml:space="preserve">ensure the most effective </w:t>
      </w:r>
      <w:r w:rsidR="0035003A">
        <w:rPr>
          <w:rFonts w:asciiTheme="minorHAnsi" w:hAnsiTheme="minorHAnsi" w:cstheme="minorHAnsi"/>
          <w:sz w:val="22"/>
          <w:szCs w:val="22"/>
        </w:rPr>
        <w:t xml:space="preserve">consideration </w:t>
      </w:r>
      <w:r w:rsidR="00B8025F" w:rsidRPr="004B5E0E">
        <w:rPr>
          <w:rFonts w:asciiTheme="minorHAnsi" w:hAnsiTheme="minorHAnsi" w:cstheme="minorHAnsi"/>
          <w:sz w:val="22"/>
          <w:szCs w:val="22"/>
        </w:rPr>
        <w:t xml:space="preserve">of the issues </w:t>
      </w:r>
      <w:r w:rsidR="0035003A">
        <w:rPr>
          <w:rFonts w:asciiTheme="minorHAnsi" w:hAnsiTheme="minorHAnsi" w:cstheme="minorHAnsi"/>
          <w:sz w:val="22"/>
          <w:szCs w:val="22"/>
        </w:rPr>
        <w:t xml:space="preserve">you </w:t>
      </w:r>
      <w:r w:rsidR="00B8025F" w:rsidRPr="004B5E0E">
        <w:rPr>
          <w:rFonts w:asciiTheme="minorHAnsi" w:hAnsiTheme="minorHAnsi" w:cstheme="minorHAnsi"/>
          <w:sz w:val="22"/>
          <w:szCs w:val="22"/>
        </w:rPr>
        <w:t xml:space="preserve">raise in </w:t>
      </w:r>
      <w:r w:rsidR="0035003A">
        <w:rPr>
          <w:rFonts w:asciiTheme="minorHAnsi" w:hAnsiTheme="minorHAnsi" w:cstheme="minorHAnsi"/>
          <w:sz w:val="22"/>
          <w:szCs w:val="22"/>
        </w:rPr>
        <w:t xml:space="preserve">your </w:t>
      </w:r>
      <w:r w:rsidR="00B8025F" w:rsidRPr="004B5E0E">
        <w:rPr>
          <w:rFonts w:asciiTheme="minorHAnsi" w:hAnsiTheme="minorHAnsi" w:cstheme="minorHAnsi"/>
          <w:sz w:val="22"/>
          <w:szCs w:val="22"/>
        </w:rPr>
        <w:t>submissions.</w:t>
      </w:r>
      <w:r w:rsidR="00E41495">
        <w:rPr>
          <w:rFonts w:asciiTheme="minorHAnsi" w:hAnsiTheme="minorHAnsi" w:cstheme="minorHAnsi"/>
          <w:sz w:val="22"/>
          <w:szCs w:val="22"/>
        </w:rPr>
        <w:t xml:space="preserve"> </w:t>
      </w:r>
    </w:p>
    <w:p w:rsidR="008C5C0A" w:rsidRDefault="008C5C0A" w:rsidP="00B8025F">
      <w:pPr>
        <w:pStyle w:val="Default"/>
        <w:rPr>
          <w:rFonts w:asciiTheme="minorHAnsi" w:hAnsiTheme="minorHAnsi" w:cstheme="minorHAnsi"/>
          <w:sz w:val="22"/>
          <w:szCs w:val="22"/>
        </w:rPr>
      </w:pPr>
    </w:p>
    <w:p w:rsidR="00B8025F" w:rsidRDefault="00B8025F" w:rsidP="00B8025F">
      <w:pPr>
        <w:pStyle w:val="Default"/>
        <w:spacing w:after="120"/>
        <w:rPr>
          <w:rFonts w:asciiTheme="minorHAnsi" w:hAnsiTheme="minorHAnsi" w:cstheme="minorHAnsi"/>
          <w:b/>
          <w:bCs/>
          <w:sz w:val="22"/>
          <w:szCs w:val="22"/>
        </w:rPr>
      </w:pPr>
      <w:r w:rsidRPr="004B5E0E">
        <w:rPr>
          <w:rFonts w:asciiTheme="minorHAnsi" w:hAnsiTheme="minorHAnsi" w:cstheme="minorHAnsi"/>
          <w:b/>
          <w:bCs/>
          <w:sz w:val="22"/>
          <w:szCs w:val="22"/>
        </w:rPr>
        <w:t xml:space="preserve">How do I make a submission? </w:t>
      </w:r>
    </w:p>
    <w:p w:rsidR="00B8025F" w:rsidRPr="004B5E0E" w:rsidRDefault="00B8025F" w:rsidP="00B8025F">
      <w:pPr>
        <w:pStyle w:val="Default"/>
        <w:rPr>
          <w:rFonts w:asciiTheme="minorHAnsi" w:hAnsiTheme="minorHAnsi" w:cstheme="minorHAnsi"/>
          <w:sz w:val="22"/>
          <w:szCs w:val="22"/>
        </w:rPr>
      </w:pPr>
    </w:p>
    <w:p w:rsidR="00B8025F" w:rsidRPr="006277FF" w:rsidRDefault="0035003A" w:rsidP="008C5C0A">
      <w:pPr>
        <w:pStyle w:val="Default"/>
        <w:numPr>
          <w:ilvl w:val="0"/>
          <w:numId w:val="16"/>
        </w:numPr>
        <w:spacing w:after="120"/>
        <w:rPr>
          <w:rFonts w:asciiTheme="minorHAnsi" w:hAnsiTheme="minorHAnsi" w:cstheme="minorHAnsi"/>
          <w:sz w:val="22"/>
          <w:szCs w:val="22"/>
        </w:rPr>
      </w:pPr>
      <w:r>
        <w:rPr>
          <w:rFonts w:asciiTheme="minorHAnsi" w:hAnsiTheme="minorHAnsi" w:cstheme="minorHAnsi"/>
          <w:sz w:val="22"/>
          <w:szCs w:val="22"/>
        </w:rPr>
        <w:t>Download and c</w:t>
      </w:r>
      <w:r w:rsidR="00B8025F" w:rsidRPr="004B5E0E">
        <w:rPr>
          <w:rFonts w:asciiTheme="minorHAnsi" w:hAnsiTheme="minorHAnsi" w:cstheme="minorHAnsi"/>
          <w:sz w:val="22"/>
          <w:szCs w:val="22"/>
        </w:rPr>
        <w:t>omplete the submission form</w:t>
      </w:r>
      <w:r>
        <w:rPr>
          <w:rFonts w:asciiTheme="minorHAnsi" w:hAnsiTheme="minorHAnsi" w:cstheme="minorHAnsi"/>
          <w:sz w:val="22"/>
          <w:szCs w:val="22"/>
        </w:rPr>
        <w:t xml:space="preserve"> – available at:</w:t>
      </w:r>
      <w:r w:rsidR="00B8025F" w:rsidRPr="004B5E0E">
        <w:rPr>
          <w:rFonts w:asciiTheme="minorHAnsi" w:hAnsiTheme="minorHAnsi" w:cstheme="minorHAnsi"/>
          <w:sz w:val="22"/>
          <w:szCs w:val="22"/>
        </w:rPr>
        <w:t xml:space="preserve"> </w:t>
      </w:r>
      <w:hyperlink r:id="rId26" w:tooltip="This link will take you to the 2016 National Research Infrastructure Roadmap web page" w:history="1">
        <w:r w:rsidR="008C5C0A" w:rsidRPr="00451CC5">
          <w:rPr>
            <w:rStyle w:val="Hyperlink"/>
            <w:rFonts w:asciiTheme="minorHAnsi" w:hAnsiTheme="minorHAnsi" w:cstheme="minorHAnsi"/>
            <w:sz w:val="22"/>
            <w:szCs w:val="22"/>
          </w:rPr>
          <w:t>https://www.education.gov.au/2016-national-research-infrastructure-roadmap</w:t>
        </w:r>
      </w:hyperlink>
      <w:r w:rsidR="00B8025F">
        <w:rPr>
          <w:rFonts w:asciiTheme="minorHAnsi" w:hAnsiTheme="minorHAnsi" w:cstheme="minorHAnsi"/>
          <w:color w:val="auto"/>
          <w:sz w:val="22"/>
          <w:szCs w:val="22"/>
        </w:rPr>
        <w:t>. P</w:t>
      </w:r>
      <w:r w:rsidR="00B8025F" w:rsidRPr="00CC5F10">
        <w:rPr>
          <w:rFonts w:asciiTheme="minorHAnsi" w:hAnsiTheme="minorHAnsi" w:cstheme="minorHAnsi"/>
          <w:color w:val="auto"/>
          <w:sz w:val="22"/>
          <w:szCs w:val="22"/>
        </w:rPr>
        <w:t>lease note th</w:t>
      </w:r>
      <w:r w:rsidR="00B8025F">
        <w:rPr>
          <w:rFonts w:asciiTheme="minorHAnsi" w:hAnsiTheme="minorHAnsi" w:cstheme="minorHAnsi"/>
          <w:color w:val="auto"/>
          <w:sz w:val="22"/>
          <w:szCs w:val="22"/>
        </w:rPr>
        <w:t xml:space="preserve">e following: </w:t>
      </w:r>
    </w:p>
    <w:p w:rsidR="00B8025F" w:rsidRDefault="00B8025F" w:rsidP="009C127A">
      <w:pPr>
        <w:pStyle w:val="Default"/>
        <w:numPr>
          <w:ilvl w:val="1"/>
          <w:numId w:val="16"/>
        </w:numPr>
        <w:ind w:left="993" w:hanging="284"/>
        <w:rPr>
          <w:rFonts w:asciiTheme="minorHAnsi" w:hAnsiTheme="minorHAnsi" w:cstheme="minorHAnsi"/>
          <w:sz w:val="22"/>
          <w:szCs w:val="22"/>
        </w:rPr>
      </w:pPr>
      <w:r>
        <w:rPr>
          <w:rFonts w:asciiTheme="minorHAnsi" w:hAnsiTheme="minorHAnsi" w:cstheme="minorHAnsi"/>
          <w:sz w:val="22"/>
          <w:szCs w:val="22"/>
        </w:rPr>
        <w:t>Format: Word</w:t>
      </w:r>
    </w:p>
    <w:p w:rsidR="00B8025F" w:rsidRPr="006D4696" w:rsidRDefault="00B8025F" w:rsidP="009C127A">
      <w:pPr>
        <w:pStyle w:val="Default"/>
        <w:numPr>
          <w:ilvl w:val="1"/>
          <w:numId w:val="16"/>
        </w:numPr>
        <w:ind w:left="993" w:hanging="284"/>
        <w:rPr>
          <w:rFonts w:asciiTheme="minorHAnsi" w:hAnsiTheme="minorHAnsi" w:cstheme="minorHAnsi"/>
          <w:sz w:val="22"/>
          <w:szCs w:val="22"/>
        </w:rPr>
      </w:pPr>
      <w:r>
        <w:rPr>
          <w:rFonts w:asciiTheme="minorHAnsi" w:hAnsiTheme="minorHAnsi" w:cstheme="minorHAnsi"/>
          <w:sz w:val="22"/>
          <w:szCs w:val="22"/>
        </w:rPr>
        <w:t xml:space="preserve">Font: </w:t>
      </w:r>
      <w:r w:rsidR="005F1B60">
        <w:rPr>
          <w:rFonts w:asciiTheme="minorHAnsi" w:hAnsiTheme="minorHAnsi" w:cstheme="minorHAnsi"/>
          <w:sz w:val="22"/>
          <w:szCs w:val="22"/>
        </w:rPr>
        <w:t xml:space="preserve">no smaller than size </w:t>
      </w:r>
      <w:r>
        <w:rPr>
          <w:rFonts w:asciiTheme="minorHAnsi" w:hAnsiTheme="minorHAnsi" w:cstheme="minorHAnsi"/>
          <w:sz w:val="22"/>
          <w:szCs w:val="22"/>
        </w:rPr>
        <w:t>1</w:t>
      </w:r>
      <w:r w:rsidR="00A03D6E">
        <w:rPr>
          <w:rFonts w:asciiTheme="minorHAnsi" w:hAnsiTheme="minorHAnsi" w:cstheme="minorHAnsi"/>
          <w:sz w:val="22"/>
          <w:szCs w:val="22"/>
        </w:rPr>
        <w:t>1</w:t>
      </w:r>
      <w:r w:rsidR="005F1B60">
        <w:rPr>
          <w:rFonts w:asciiTheme="minorHAnsi" w:hAnsiTheme="minorHAnsi" w:cstheme="minorHAnsi"/>
          <w:sz w:val="22"/>
          <w:szCs w:val="22"/>
        </w:rPr>
        <w:t xml:space="preserve"> font</w:t>
      </w:r>
    </w:p>
    <w:p w:rsidR="00B8025F" w:rsidRPr="006277FF" w:rsidRDefault="00B8025F" w:rsidP="009C127A">
      <w:pPr>
        <w:pStyle w:val="Default"/>
        <w:numPr>
          <w:ilvl w:val="1"/>
          <w:numId w:val="16"/>
        </w:numPr>
        <w:ind w:left="993" w:hanging="284"/>
        <w:rPr>
          <w:rFonts w:asciiTheme="minorHAnsi" w:hAnsiTheme="minorHAnsi" w:cstheme="minorHAnsi"/>
          <w:sz w:val="22"/>
          <w:szCs w:val="22"/>
        </w:rPr>
      </w:pPr>
      <w:r>
        <w:rPr>
          <w:rFonts w:asciiTheme="minorHAnsi" w:hAnsiTheme="minorHAnsi" w:cstheme="minorHAnsi"/>
          <w:color w:val="auto"/>
          <w:sz w:val="22"/>
          <w:szCs w:val="22"/>
        </w:rPr>
        <w:t>Actual submission: a maximum of 20 pages</w:t>
      </w:r>
    </w:p>
    <w:p w:rsidR="00B8025F" w:rsidRDefault="00B8025F" w:rsidP="009C127A">
      <w:pPr>
        <w:pStyle w:val="Default"/>
        <w:numPr>
          <w:ilvl w:val="1"/>
          <w:numId w:val="16"/>
        </w:numPr>
        <w:spacing w:after="120"/>
        <w:ind w:left="993" w:hanging="284"/>
        <w:rPr>
          <w:rFonts w:asciiTheme="minorHAnsi" w:hAnsiTheme="minorHAnsi" w:cstheme="minorHAnsi"/>
          <w:sz w:val="22"/>
          <w:szCs w:val="22"/>
        </w:rPr>
      </w:pPr>
      <w:r>
        <w:rPr>
          <w:rFonts w:asciiTheme="minorHAnsi" w:hAnsiTheme="minorHAnsi" w:cstheme="minorHAnsi"/>
          <w:color w:val="auto"/>
          <w:sz w:val="22"/>
          <w:szCs w:val="22"/>
        </w:rPr>
        <w:t>Attachments: a maximum of 50 pages</w:t>
      </w:r>
    </w:p>
    <w:p w:rsidR="00B8025F" w:rsidRDefault="00B8025F" w:rsidP="00620F1A">
      <w:pPr>
        <w:pStyle w:val="Default"/>
        <w:numPr>
          <w:ilvl w:val="0"/>
          <w:numId w:val="16"/>
        </w:numPr>
        <w:ind w:left="426"/>
        <w:rPr>
          <w:rFonts w:asciiTheme="minorHAnsi" w:hAnsiTheme="minorHAnsi" w:cstheme="minorHAnsi"/>
          <w:sz w:val="22"/>
          <w:szCs w:val="22"/>
        </w:rPr>
      </w:pPr>
      <w:r>
        <w:rPr>
          <w:rFonts w:asciiTheme="minorHAnsi" w:hAnsiTheme="minorHAnsi" w:cstheme="minorHAnsi"/>
          <w:sz w:val="22"/>
          <w:szCs w:val="22"/>
        </w:rPr>
        <w:t xml:space="preserve">Email your submission plus attachments to </w:t>
      </w:r>
      <w:hyperlink r:id="rId27" w:history="1">
        <w:r w:rsidRPr="006378AF">
          <w:rPr>
            <w:rStyle w:val="Hyperlink"/>
            <w:rFonts w:asciiTheme="minorHAnsi" w:eastAsiaTheme="majorEastAsia" w:hAnsiTheme="minorHAnsi" w:cstheme="minorHAnsi"/>
            <w:sz w:val="22"/>
            <w:szCs w:val="22"/>
          </w:rPr>
          <w:t>RoadmapSubmissions@education.gov.au</w:t>
        </w:r>
      </w:hyperlink>
      <w:r>
        <w:rPr>
          <w:rFonts w:asciiTheme="minorHAnsi" w:hAnsiTheme="minorHAnsi" w:cstheme="minorHAnsi"/>
          <w:sz w:val="22"/>
          <w:szCs w:val="22"/>
        </w:rPr>
        <w:t xml:space="preserve"> </w:t>
      </w:r>
    </w:p>
    <w:p w:rsidR="00B8025F" w:rsidRDefault="00B8025F" w:rsidP="00B8025F">
      <w:pPr>
        <w:pStyle w:val="Default"/>
        <w:rPr>
          <w:rFonts w:asciiTheme="minorHAnsi" w:hAnsiTheme="minorHAnsi" w:cstheme="minorHAnsi"/>
          <w:sz w:val="22"/>
          <w:szCs w:val="22"/>
        </w:rPr>
      </w:pPr>
    </w:p>
    <w:p w:rsidR="00B8025F" w:rsidRDefault="00B8025F" w:rsidP="00B8025F">
      <w:pPr>
        <w:pStyle w:val="Default"/>
        <w:rPr>
          <w:rFonts w:asciiTheme="minorHAnsi" w:hAnsiTheme="minorHAnsi" w:cstheme="minorHAnsi"/>
          <w:sz w:val="22"/>
          <w:szCs w:val="22"/>
        </w:rPr>
      </w:pPr>
      <w:r w:rsidRPr="004B5E0E">
        <w:rPr>
          <w:rFonts w:asciiTheme="minorHAnsi" w:hAnsiTheme="minorHAnsi" w:cstheme="minorHAnsi"/>
          <w:sz w:val="22"/>
          <w:szCs w:val="22"/>
        </w:rPr>
        <w:t xml:space="preserve">Submissions and comments will </w:t>
      </w:r>
      <w:r w:rsidRPr="00CF47A4">
        <w:rPr>
          <w:rFonts w:asciiTheme="minorHAnsi" w:hAnsiTheme="minorHAnsi" w:cstheme="minorHAnsi"/>
          <w:sz w:val="22"/>
          <w:szCs w:val="22"/>
        </w:rPr>
        <w:t>close at</w:t>
      </w:r>
      <w:r>
        <w:rPr>
          <w:rFonts w:asciiTheme="minorHAnsi" w:hAnsiTheme="minorHAnsi" w:cstheme="minorHAnsi"/>
          <w:color w:val="FF0000"/>
          <w:sz w:val="22"/>
          <w:szCs w:val="22"/>
        </w:rPr>
        <w:t xml:space="preserve"> </w:t>
      </w:r>
      <w:proofErr w:type="spellStart"/>
      <w:r w:rsidRPr="006277FF">
        <w:rPr>
          <w:rFonts w:asciiTheme="minorHAnsi" w:hAnsiTheme="minorHAnsi" w:cstheme="minorHAnsi"/>
          <w:b/>
          <w:color w:val="auto"/>
          <w:sz w:val="22"/>
          <w:szCs w:val="22"/>
        </w:rPr>
        <w:t>5.00pm</w:t>
      </w:r>
      <w:proofErr w:type="spellEnd"/>
      <w:r w:rsidRPr="006277FF">
        <w:rPr>
          <w:rFonts w:asciiTheme="minorHAnsi" w:hAnsiTheme="minorHAnsi" w:cstheme="minorHAnsi"/>
          <w:b/>
          <w:color w:val="auto"/>
          <w:sz w:val="22"/>
          <w:szCs w:val="22"/>
        </w:rPr>
        <w:t xml:space="preserve"> (</w:t>
      </w:r>
      <w:proofErr w:type="spellStart"/>
      <w:r w:rsidRPr="006277FF">
        <w:rPr>
          <w:rFonts w:asciiTheme="minorHAnsi" w:hAnsiTheme="minorHAnsi" w:cstheme="minorHAnsi"/>
          <w:b/>
          <w:color w:val="auto"/>
          <w:sz w:val="22"/>
          <w:szCs w:val="22"/>
        </w:rPr>
        <w:t>AEST</w:t>
      </w:r>
      <w:proofErr w:type="spellEnd"/>
      <w:r w:rsidRPr="006277FF">
        <w:rPr>
          <w:rFonts w:asciiTheme="minorHAnsi" w:hAnsiTheme="minorHAnsi" w:cstheme="minorHAnsi"/>
          <w:b/>
          <w:color w:val="auto"/>
          <w:sz w:val="22"/>
          <w:szCs w:val="22"/>
        </w:rPr>
        <w:t xml:space="preserve">) </w:t>
      </w:r>
      <w:r w:rsidR="00854203">
        <w:rPr>
          <w:rFonts w:asciiTheme="minorHAnsi" w:hAnsiTheme="minorHAnsi" w:cstheme="minorHAnsi"/>
          <w:b/>
          <w:color w:val="auto"/>
          <w:sz w:val="22"/>
          <w:szCs w:val="22"/>
        </w:rPr>
        <w:t>9</w:t>
      </w:r>
      <w:r w:rsidR="00854203" w:rsidRPr="006277FF">
        <w:rPr>
          <w:rFonts w:asciiTheme="minorHAnsi" w:hAnsiTheme="minorHAnsi" w:cstheme="minorHAnsi"/>
          <w:b/>
          <w:color w:val="auto"/>
          <w:sz w:val="22"/>
          <w:szCs w:val="22"/>
        </w:rPr>
        <w:t xml:space="preserve"> </w:t>
      </w:r>
      <w:r w:rsidR="00854203">
        <w:rPr>
          <w:rFonts w:asciiTheme="minorHAnsi" w:hAnsiTheme="minorHAnsi" w:cstheme="minorHAnsi"/>
          <w:b/>
          <w:color w:val="auto"/>
          <w:sz w:val="22"/>
          <w:szCs w:val="22"/>
        </w:rPr>
        <w:t>September</w:t>
      </w:r>
      <w:r w:rsidR="00854203" w:rsidRPr="006277FF">
        <w:rPr>
          <w:rFonts w:asciiTheme="minorHAnsi" w:hAnsiTheme="minorHAnsi" w:cstheme="minorHAnsi"/>
          <w:b/>
          <w:color w:val="auto"/>
          <w:sz w:val="22"/>
          <w:szCs w:val="22"/>
        </w:rPr>
        <w:t xml:space="preserve"> </w:t>
      </w:r>
      <w:r w:rsidRPr="006277FF">
        <w:rPr>
          <w:rFonts w:asciiTheme="minorHAnsi" w:hAnsiTheme="minorHAnsi" w:cstheme="minorHAnsi"/>
          <w:b/>
          <w:color w:val="auto"/>
          <w:sz w:val="22"/>
          <w:szCs w:val="22"/>
        </w:rPr>
        <w:t>2016</w:t>
      </w:r>
      <w:r>
        <w:rPr>
          <w:rFonts w:asciiTheme="minorHAnsi" w:hAnsiTheme="minorHAnsi" w:cstheme="minorHAnsi"/>
          <w:color w:val="FF0000"/>
          <w:sz w:val="22"/>
          <w:szCs w:val="22"/>
        </w:rPr>
        <w:t xml:space="preserve">. </w:t>
      </w:r>
    </w:p>
    <w:p w:rsidR="00B8025F" w:rsidRDefault="00B8025F" w:rsidP="00B8025F">
      <w:pPr>
        <w:pStyle w:val="Default"/>
        <w:spacing w:after="120"/>
        <w:rPr>
          <w:rFonts w:asciiTheme="minorHAnsi" w:hAnsiTheme="minorHAnsi" w:cstheme="minorHAnsi"/>
          <w:sz w:val="22"/>
          <w:szCs w:val="22"/>
        </w:rPr>
      </w:pPr>
    </w:p>
    <w:p w:rsidR="00B8025F" w:rsidRPr="004B5E0E" w:rsidRDefault="00B8025F" w:rsidP="00B8025F">
      <w:pPr>
        <w:pStyle w:val="Default"/>
        <w:spacing w:after="120"/>
        <w:rPr>
          <w:rFonts w:asciiTheme="minorHAnsi" w:hAnsiTheme="minorHAnsi" w:cstheme="minorHAnsi"/>
          <w:sz w:val="22"/>
          <w:szCs w:val="22"/>
        </w:rPr>
      </w:pPr>
      <w:r w:rsidRPr="004B5E0E">
        <w:rPr>
          <w:rFonts w:asciiTheme="minorHAnsi" w:hAnsiTheme="minorHAnsi" w:cstheme="minorHAnsi"/>
          <w:b/>
          <w:bCs/>
          <w:sz w:val="22"/>
          <w:szCs w:val="22"/>
        </w:rPr>
        <w:t xml:space="preserve">Do I have to respond to all of the questions in the submission form for my views to be heard? </w:t>
      </w:r>
    </w:p>
    <w:p w:rsidR="00B8025F" w:rsidRPr="004B5E0E" w:rsidRDefault="0035003A" w:rsidP="009F4A8E">
      <w:pPr>
        <w:pStyle w:val="Default"/>
        <w:rPr>
          <w:rFonts w:cstheme="minorHAnsi"/>
        </w:rPr>
      </w:pPr>
      <w:r>
        <w:rPr>
          <w:rFonts w:asciiTheme="minorHAnsi" w:hAnsiTheme="minorHAnsi" w:cstheme="minorHAnsi"/>
          <w:sz w:val="22"/>
          <w:szCs w:val="22"/>
        </w:rPr>
        <w:t>No</w:t>
      </w:r>
      <w:r w:rsidR="005F1B60">
        <w:rPr>
          <w:rFonts w:asciiTheme="minorHAnsi" w:hAnsiTheme="minorHAnsi" w:cstheme="minorHAnsi"/>
          <w:sz w:val="22"/>
          <w:szCs w:val="22"/>
        </w:rPr>
        <w:t xml:space="preserve">, </w:t>
      </w:r>
      <w:r>
        <w:rPr>
          <w:rFonts w:asciiTheme="minorHAnsi" w:hAnsiTheme="minorHAnsi" w:cstheme="minorHAnsi"/>
          <w:sz w:val="22"/>
          <w:szCs w:val="22"/>
        </w:rPr>
        <w:t>y</w:t>
      </w:r>
      <w:r w:rsidR="00B8025F">
        <w:rPr>
          <w:rFonts w:asciiTheme="minorHAnsi" w:hAnsiTheme="minorHAnsi" w:cstheme="minorHAnsi"/>
          <w:sz w:val="22"/>
          <w:szCs w:val="22"/>
        </w:rPr>
        <w:t xml:space="preserve">ou do not have to answer all the questions. However, please follow the overall template format by providing responses to the questions in the template rather than in free text format. </w:t>
      </w:r>
      <w:r w:rsidR="00B8025F" w:rsidRPr="004B5E0E">
        <w:rPr>
          <w:rFonts w:cstheme="minorHAnsi"/>
        </w:rPr>
        <w:br w:type="page"/>
      </w:r>
    </w:p>
    <w:p w:rsidR="0005055C" w:rsidRDefault="00E72B29" w:rsidP="00BB281B">
      <w:pPr>
        <w:pStyle w:val="Heading1"/>
        <w:numPr>
          <w:ilvl w:val="0"/>
          <w:numId w:val="0"/>
        </w:numPr>
        <w:ind w:left="432"/>
        <w:jc w:val="center"/>
        <w:rPr>
          <w:rFonts w:cstheme="minorHAnsi"/>
          <w:sz w:val="28"/>
        </w:rPr>
      </w:pPr>
      <w:bookmarkStart w:id="52" w:name="_Toc456449029"/>
      <w:r>
        <w:lastRenderedPageBreak/>
        <w:t>S</w:t>
      </w:r>
      <w:r w:rsidRPr="004B5E0E">
        <w:t xml:space="preserve">ubmission </w:t>
      </w:r>
      <w:r w:rsidR="00615DED">
        <w:t>T</w:t>
      </w:r>
      <w:r w:rsidRPr="004B5E0E">
        <w:t>emplate</w:t>
      </w:r>
      <w:bookmarkEnd w:id="52"/>
    </w:p>
    <w:p w:rsidR="009C3019" w:rsidRPr="009C3019" w:rsidRDefault="00B8025F" w:rsidP="00EC3D5A">
      <w:pPr>
        <w:pStyle w:val="LetterBody"/>
        <w:jc w:val="center"/>
        <w:rPr>
          <w:b/>
          <w:sz w:val="36"/>
          <w:szCs w:val="36"/>
        </w:rPr>
      </w:pPr>
      <w:r w:rsidRPr="009C3019">
        <w:rPr>
          <w:b/>
          <w:sz w:val="36"/>
          <w:szCs w:val="36"/>
        </w:rPr>
        <w:t>2016 National Research Infrastructure</w:t>
      </w:r>
      <w:r w:rsidR="00E72B29" w:rsidRPr="009C3019">
        <w:rPr>
          <w:b/>
          <w:sz w:val="36"/>
          <w:szCs w:val="36"/>
        </w:rPr>
        <w:t xml:space="preserve"> Roadmap Capability </w:t>
      </w:r>
      <w:r w:rsidR="0051190F">
        <w:rPr>
          <w:b/>
          <w:sz w:val="36"/>
          <w:szCs w:val="36"/>
        </w:rPr>
        <w:t>Issues Paper</w:t>
      </w:r>
    </w:p>
    <w:tbl>
      <w:tblPr>
        <w:tblStyle w:val="TableGrid"/>
        <w:tblW w:w="0" w:type="auto"/>
        <w:tblLook w:val="04A0" w:firstRow="1" w:lastRow="0" w:firstColumn="1" w:lastColumn="0" w:noHBand="0" w:noVBand="1"/>
        <w:tblCaption w:val="Table of demographic information for submission (to be completed by Departmental staff)"/>
      </w:tblPr>
      <w:tblGrid>
        <w:gridCol w:w="4077"/>
        <w:gridCol w:w="5165"/>
      </w:tblGrid>
      <w:tr w:rsidR="00B8025F" w:rsidRPr="00EC3D5A" w:rsidTr="00E72B29">
        <w:tc>
          <w:tcPr>
            <w:tcW w:w="9242" w:type="dxa"/>
            <w:gridSpan w:val="2"/>
          </w:tcPr>
          <w:p w:rsidR="00B8025F" w:rsidRPr="00676CA8" w:rsidRDefault="00B8025F" w:rsidP="00E72B29">
            <w:pPr>
              <w:rPr>
                <w:b/>
                <w:sz w:val="24"/>
                <w:szCs w:val="24"/>
              </w:rPr>
            </w:pPr>
            <w:r w:rsidRPr="00676CA8">
              <w:rPr>
                <w:b/>
                <w:sz w:val="24"/>
                <w:szCs w:val="24"/>
              </w:rPr>
              <w:t>Submission No:</w:t>
            </w:r>
          </w:p>
          <w:p w:rsidR="00B8025F" w:rsidRPr="00676CA8" w:rsidRDefault="00B8025F" w:rsidP="00E72B29">
            <w:pPr>
              <w:rPr>
                <w:b/>
                <w:sz w:val="24"/>
                <w:szCs w:val="24"/>
              </w:rPr>
            </w:pPr>
            <w:r w:rsidRPr="00676CA8">
              <w:rPr>
                <w:b/>
                <w:i/>
                <w:color w:val="FF0000"/>
                <w:sz w:val="24"/>
                <w:szCs w:val="24"/>
              </w:rPr>
              <w:t>(to be completed by Departmental staff)</w:t>
            </w:r>
          </w:p>
        </w:tc>
      </w:tr>
      <w:tr w:rsidR="00B8025F" w:rsidRPr="00EC3D5A" w:rsidTr="00E72B29">
        <w:tc>
          <w:tcPr>
            <w:tcW w:w="4077" w:type="dxa"/>
          </w:tcPr>
          <w:p w:rsidR="00B8025F" w:rsidRPr="00676CA8" w:rsidRDefault="00B8025F" w:rsidP="00E72B29">
            <w:pPr>
              <w:rPr>
                <w:b/>
                <w:sz w:val="24"/>
                <w:szCs w:val="24"/>
              </w:rPr>
            </w:pPr>
            <w:r w:rsidRPr="00676CA8">
              <w:rPr>
                <w:b/>
                <w:sz w:val="24"/>
                <w:szCs w:val="24"/>
              </w:rPr>
              <w:t>Name</w:t>
            </w:r>
          </w:p>
        </w:tc>
        <w:tc>
          <w:tcPr>
            <w:tcW w:w="5165" w:type="dxa"/>
          </w:tcPr>
          <w:p w:rsidR="00B8025F" w:rsidRPr="00676CA8" w:rsidRDefault="00B8025F" w:rsidP="00E72B29">
            <w:pPr>
              <w:rPr>
                <w:b/>
                <w:sz w:val="24"/>
                <w:szCs w:val="24"/>
              </w:rPr>
            </w:pPr>
          </w:p>
        </w:tc>
      </w:tr>
      <w:tr w:rsidR="00B8025F" w:rsidRPr="00EC3D5A" w:rsidTr="00E72B29">
        <w:tc>
          <w:tcPr>
            <w:tcW w:w="4077" w:type="dxa"/>
          </w:tcPr>
          <w:p w:rsidR="00B8025F" w:rsidRPr="00676CA8" w:rsidRDefault="00B8025F" w:rsidP="00E72B29">
            <w:pPr>
              <w:rPr>
                <w:b/>
                <w:sz w:val="24"/>
                <w:szCs w:val="24"/>
              </w:rPr>
            </w:pPr>
            <w:r w:rsidRPr="00676CA8">
              <w:rPr>
                <w:b/>
                <w:sz w:val="24"/>
                <w:szCs w:val="24"/>
              </w:rPr>
              <w:t>Title/role</w:t>
            </w:r>
          </w:p>
        </w:tc>
        <w:tc>
          <w:tcPr>
            <w:tcW w:w="5165" w:type="dxa"/>
          </w:tcPr>
          <w:p w:rsidR="00B8025F" w:rsidRPr="00676CA8" w:rsidRDefault="00B8025F" w:rsidP="00E72B29">
            <w:pPr>
              <w:rPr>
                <w:b/>
                <w:sz w:val="24"/>
                <w:szCs w:val="24"/>
              </w:rPr>
            </w:pPr>
          </w:p>
        </w:tc>
      </w:tr>
      <w:tr w:rsidR="00B8025F" w:rsidRPr="00EC3D5A" w:rsidTr="00E72B29">
        <w:tc>
          <w:tcPr>
            <w:tcW w:w="4077" w:type="dxa"/>
          </w:tcPr>
          <w:p w:rsidR="00B8025F" w:rsidRPr="00676CA8" w:rsidRDefault="00B8025F" w:rsidP="00E72B29">
            <w:pPr>
              <w:rPr>
                <w:b/>
                <w:sz w:val="24"/>
                <w:szCs w:val="24"/>
              </w:rPr>
            </w:pPr>
            <w:r w:rsidRPr="00676CA8">
              <w:rPr>
                <w:b/>
                <w:sz w:val="24"/>
                <w:szCs w:val="24"/>
              </w:rPr>
              <w:t>Organisation</w:t>
            </w:r>
          </w:p>
        </w:tc>
        <w:tc>
          <w:tcPr>
            <w:tcW w:w="5165" w:type="dxa"/>
          </w:tcPr>
          <w:p w:rsidR="00B8025F" w:rsidRPr="00676CA8" w:rsidRDefault="00B8025F" w:rsidP="00E72B29">
            <w:pPr>
              <w:rPr>
                <w:b/>
                <w:sz w:val="24"/>
                <w:szCs w:val="24"/>
              </w:rPr>
            </w:pPr>
          </w:p>
        </w:tc>
      </w:tr>
      <w:tr w:rsidR="00B8025F" w:rsidRPr="00EC3D5A" w:rsidTr="00E72B29">
        <w:tc>
          <w:tcPr>
            <w:tcW w:w="4077" w:type="dxa"/>
          </w:tcPr>
          <w:p w:rsidR="00B8025F" w:rsidRPr="00676CA8" w:rsidRDefault="00B8025F" w:rsidP="00E72B29">
            <w:pPr>
              <w:rPr>
                <w:b/>
                <w:sz w:val="24"/>
                <w:szCs w:val="24"/>
              </w:rPr>
            </w:pPr>
            <w:r w:rsidRPr="00676CA8">
              <w:rPr>
                <w:b/>
                <w:sz w:val="24"/>
                <w:szCs w:val="24"/>
              </w:rPr>
              <w:t>Preferred contact phone number</w:t>
            </w:r>
          </w:p>
        </w:tc>
        <w:tc>
          <w:tcPr>
            <w:tcW w:w="5165" w:type="dxa"/>
          </w:tcPr>
          <w:p w:rsidR="00B8025F" w:rsidRPr="00676CA8" w:rsidRDefault="00B8025F" w:rsidP="00E72B29">
            <w:pPr>
              <w:rPr>
                <w:b/>
                <w:sz w:val="24"/>
                <w:szCs w:val="24"/>
              </w:rPr>
            </w:pPr>
          </w:p>
        </w:tc>
      </w:tr>
      <w:tr w:rsidR="00B8025F" w:rsidRPr="00EC3D5A" w:rsidTr="00E72B29">
        <w:tc>
          <w:tcPr>
            <w:tcW w:w="4077" w:type="dxa"/>
          </w:tcPr>
          <w:p w:rsidR="00B8025F" w:rsidRPr="00676CA8" w:rsidRDefault="00B8025F" w:rsidP="00E72B29">
            <w:pPr>
              <w:rPr>
                <w:b/>
                <w:sz w:val="24"/>
                <w:szCs w:val="24"/>
              </w:rPr>
            </w:pPr>
            <w:r w:rsidRPr="00676CA8">
              <w:rPr>
                <w:b/>
                <w:sz w:val="24"/>
                <w:szCs w:val="24"/>
              </w:rPr>
              <w:t>Preferred email</w:t>
            </w:r>
          </w:p>
        </w:tc>
        <w:tc>
          <w:tcPr>
            <w:tcW w:w="5165" w:type="dxa"/>
          </w:tcPr>
          <w:p w:rsidR="00B8025F" w:rsidRPr="00676CA8" w:rsidRDefault="00B8025F" w:rsidP="00E72B29">
            <w:pPr>
              <w:rPr>
                <w:b/>
                <w:sz w:val="24"/>
                <w:szCs w:val="24"/>
              </w:rPr>
            </w:pPr>
          </w:p>
        </w:tc>
      </w:tr>
      <w:tr w:rsidR="00B8025F" w:rsidRPr="00EC3D5A" w:rsidTr="00E72B29">
        <w:tc>
          <w:tcPr>
            <w:tcW w:w="4077" w:type="dxa"/>
          </w:tcPr>
          <w:p w:rsidR="00B8025F" w:rsidRPr="00676CA8" w:rsidRDefault="00B8025F" w:rsidP="00E72B29">
            <w:pPr>
              <w:rPr>
                <w:b/>
                <w:sz w:val="24"/>
                <w:szCs w:val="24"/>
              </w:rPr>
            </w:pPr>
            <w:r w:rsidRPr="00676CA8">
              <w:rPr>
                <w:b/>
                <w:sz w:val="24"/>
                <w:szCs w:val="24"/>
              </w:rPr>
              <w:t>Would you like your submission to remain confidential, i.e. not published on the website?</w:t>
            </w:r>
          </w:p>
        </w:tc>
        <w:tc>
          <w:tcPr>
            <w:tcW w:w="5165" w:type="dxa"/>
          </w:tcPr>
          <w:p w:rsidR="00B8025F" w:rsidRPr="00676CA8" w:rsidRDefault="00B8025F" w:rsidP="00E72B29">
            <w:pPr>
              <w:rPr>
                <w:b/>
                <w:sz w:val="24"/>
                <w:szCs w:val="24"/>
              </w:rPr>
            </w:pPr>
            <w:r w:rsidRPr="00676CA8">
              <w:rPr>
                <w:b/>
                <w:sz w:val="24"/>
                <w:szCs w:val="24"/>
              </w:rPr>
              <w:t>YES/NO</w:t>
            </w:r>
          </w:p>
        </w:tc>
      </w:tr>
    </w:tbl>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1:</w:t>
      </w:r>
      <w:r w:rsidRPr="00D643FD">
        <w:rPr>
          <w:rFonts w:cstheme="minorHAnsi"/>
        </w:rPr>
        <w:tab/>
        <w:t>Are there other capability areas that should be considered?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2:</w:t>
      </w:r>
      <w:r w:rsidRPr="00D643FD">
        <w:rPr>
          <w:rFonts w:cstheme="minorHAnsi"/>
        </w:rPr>
        <w:tab/>
        <w:t xml:space="preserve">Are these </w:t>
      </w:r>
      <w:r w:rsidR="0038255D">
        <w:rPr>
          <w:rFonts w:cstheme="minorHAnsi"/>
        </w:rPr>
        <w:t xml:space="preserve">governance </w:t>
      </w:r>
      <w:r w:rsidRPr="00D643FD">
        <w:rPr>
          <w:rFonts w:cstheme="minorHAnsi"/>
        </w:rPr>
        <w:t>characteristics appropriate and are there other factors that should be considered for optimal governance for national research infrastructure.</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3:</w:t>
      </w:r>
      <w:r w:rsidRPr="00D643FD">
        <w:rPr>
          <w:rFonts w:cstheme="minorHAnsi"/>
        </w:rPr>
        <w:tab/>
        <w:t>Should national research infrastructure investment assist with access to international facilities?</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4:</w:t>
      </w:r>
      <w:r w:rsidRPr="00D643FD">
        <w:rPr>
          <w:rFonts w:cstheme="minorHAnsi"/>
        </w:rPr>
        <w:tab/>
        <w:t>What are the conditions or scenarios where access to international facilities should be prioritised over developing national facilities?</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5:</w:t>
      </w:r>
      <w:r w:rsidRPr="00D643FD">
        <w:rPr>
          <w:rFonts w:cstheme="minorHAnsi"/>
        </w:rPr>
        <w:tab/>
        <w:t xml:space="preserve">Should research workforce skills be considered a research infrastructure issue? </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6:</w:t>
      </w:r>
      <w:r w:rsidRPr="00D643FD">
        <w:rPr>
          <w:rFonts w:cstheme="minorHAnsi"/>
        </w:rPr>
        <w:tab/>
        <w:t>How can national research infrastructure assist in training and skills development?</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7:</w:t>
      </w:r>
      <w:r w:rsidRPr="00D643FD">
        <w:rPr>
          <w:rFonts w:cstheme="minorHAnsi"/>
        </w:rPr>
        <w:tab/>
        <w:t>What responsibility should research institutions have in supporting the development of infrastructure ready researchers and technical specialists?</w:t>
      </w:r>
    </w:p>
    <w:p w:rsidR="003D4F47" w:rsidRDefault="003D4F47" w:rsidP="003D4F47">
      <w:pPr>
        <w:autoSpaceDE w:val="0"/>
        <w:autoSpaceDN w:val="0"/>
        <w:adjustRightInd w:val="0"/>
        <w:spacing w:before="180" w:after="180"/>
        <w:ind w:left="1418" w:hanging="1276"/>
        <w:rPr>
          <w:rFonts w:cstheme="minorHAnsi"/>
        </w:rPr>
      </w:pPr>
      <w:r w:rsidRPr="00D643FD">
        <w:rPr>
          <w:rFonts w:cstheme="minorHAnsi"/>
        </w:rPr>
        <w:t>Question 8:</w:t>
      </w:r>
      <w:r w:rsidRPr="00D643FD">
        <w:rPr>
          <w:rFonts w:cstheme="minorHAnsi"/>
        </w:rPr>
        <w:tab/>
      </w:r>
      <w:r w:rsidR="0038255D" w:rsidRPr="0038255D">
        <w:rPr>
          <w:rFonts w:cstheme="minorHAnsi"/>
        </w:rPr>
        <w:t>What principles should be applied for access to national research infrastructure, and are there situations when these should not apply?</w:t>
      </w:r>
    </w:p>
    <w:p w:rsidR="004B465F" w:rsidRDefault="004B465F" w:rsidP="003D4F47">
      <w:pPr>
        <w:autoSpaceDE w:val="0"/>
        <w:autoSpaceDN w:val="0"/>
        <w:adjustRightInd w:val="0"/>
        <w:spacing w:before="180" w:after="180"/>
        <w:ind w:left="1418" w:hanging="1276"/>
        <w:rPr>
          <w:rFonts w:cstheme="minorHAnsi"/>
        </w:rPr>
      </w:pPr>
      <w:r>
        <w:rPr>
          <w:rFonts w:cstheme="minorHAnsi"/>
        </w:rPr>
        <w:t xml:space="preserve">Question 9: </w:t>
      </w:r>
      <w:r>
        <w:rPr>
          <w:rFonts w:cstheme="minorHAnsi"/>
        </w:rPr>
        <w:tab/>
        <w:t>What should the criteria and funding arrangements for defunding or decommissioning look like?</w:t>
      </w:r>
    </w:p>
    <w:p w:rsidR="004B465F" w:rsidRPr="00D643FD" w:rsidRDefault="004B465F" w:rsidP="003D4F47">
      <w:pPr>
        <w:autoSpaceDE w:val="0"/>
        <w:autoSpaceDN w:val="0"/>
        <w:adjustRightInd w:val="0"/>
        <w:spacing w:before="180" w:after="180"/>
        <w:ind w:left="1418" w:hanging="1276"/>
        <w:rPr>
          <w:rFonts w:cstheme="minorHAnsi"/>
        </w:rPr>
      </w:pPr>
      <w:r>
        <w:rPr>
          <w:rFonts w:cstheme="minorHAnsi"/>
        </w:rPr>
        <w:t xml:space="preserve">Question 10: </w:t>
      </w:r>
      <w:r>
        <w:rPr>
          <w:rFonts w:cstheme="minorHAnsi"/>
        </w:rPr>
        <w:tab/>
        <w:t xml:space="preserve">What financing models should the Government consider to support investment in national research infrastructure? </w:t>
      </w:r>
    </w:p>
    <w:p w:rsidR="003D4F47" w:rsidRDefault="0038255D" w:rsidP="003D4F47">
      <w:pPr>
        <w:autoSpaceDE w:val="0"/>
        <w:autoSpaceDN w:val="0"/>
        <w:adjustRightInd w:val="0"/>
        <w:spacing w:before="180" w:after="180"/>
        <w:ind w:left="1418" w:hanging="1276"/>
        <w:rPr>
          <w:rFonts w:cstheme="minorHAnsi"/>
        </w:rPr>
      </w:pPr>
      <w:r w:rsidRPr="0038255D">
        <w:rPr>
          <w:rFonts w:cstheme="minorHAnsi"/>
        </w:rPr>
        <w:t>Question 1</w:t>
      </w:r>
      <w:r w:rsidR="004B465F">
        <w:rPr>
          <w:rFonts w:cstheme="minorHAnsi"/>
        </w:rPr>
        <w:t>1</w:t>
      </w:r>
      <w:r w:rsidRPr="0038255D">
        <w:rPr>
          <w:rFonts w:cstheme="minorHAnsi"/>
        </w:rPr>
        <w:t>:</w:t>
      </w:r>
      <w:r w:rsidRPr="0038255D">
        <w:rPr>
          <w:rFonts w:cstheme="minorHAnsi"/>
        </w:rPr>
        <w:tab/>
        <w:t xml:space="preserve">When should capabilities </w:t>
      </w:r>
      <w:proofErr w:type="gramStart"/>
      <w:r w:rsidRPr="0038255D">
        <w:rPr>
          <w:rFonts w:cstheme="minorHAnsi"/>
        </w:rPr>
        <w:t>be</w:t>
      </w:r>
      <w:proofErr w:type="gramEnd"/>
      <w:r w:rsidRPr="0038255D">
        <w:rPr>
          <w:rFonts w:cstheme="minorHAnsi"/>
        </w:rPr>
        <w:t xml:space="preserve"> expected to address standard and accreditation requirements?</w:t>
      </w:r>
    </w:p>
    <w:p w:rsidR="004B465F" w:rsidRPr="0038255D" w:rsidRDefault="004B465F" w:rsidP="004B465F">
      <w:pPr>
        <w:autoSpaceDE w:val="0"/>
        <w:autoSpaceDN w:val="0"/>
        <w:adjustRightInd w:val="0"/>
        <w:spacing w:before="180" w:after="180"/>
        <w:ind w:left="1418" w:hanging="1276"/>
        <w:rPr>
          <w:rFonts w:cstheme="minorHAnsi"/>
        </w:rPr>
      </w:pPr>
      <w:r w:rsidRPr="0038255D">
        <w:rPr>
          <w:rFonts w:cstheme="minorHAnsi"/>
        </w:rPr>
        <w:t>Question 12:</w:t>
      </w:r>
      <w:r w:rsidRPr="0038255D">
        <w:rPr>
          <w:rFonts w:cstheme="minorHAnsi"/>
        </w:rPr>
        <w:tab/>
        <w:t>Are there international or global models that represent best practice for national research infrastructure that could be considered?</w:t>
      </w:r>
    </w:p>
    <w:p w:rsidR="004B465F" w:rsidRDefault="004B465F" w:rsidP="004B465F">
      <w:pPr>
        <w:autoSpaceDE w:val="0"/>
        <w:autoSpaceDN w:val="0"/>
        <w:adjustRightInd w:val="0"/>
        <w:spacing w:before="180" w:after="180"/>
        <w:ind w:left="1418" w:hanging="1276"/>
        <w:rPr>
          <w:rFonts w:cstheme="minorHAnsi"/>
        </w:rPr>
      </w:pPr>
      <w:r>
        <w:rPr>
          <w:rFonts w:cstheme="minorHAnsi"/>
        </w:rPr>
        <w:lastRenderedPageBreak/>
        <w:t xml:space="preserve">Question 13: </w:t>
      </w:r>
      <w:r>
        <w:rPr>
          <w:rFonts w:cstheme="minorHAnsi"/>
        </w:rPr>
        <w:tab/>
        <w:t xml:space="preserve">In considering whole of life investment including decommissioning or defunding for national research infrastructure are there examples domestic or international that should be examined? </w:t>
      </w:r>
    </w:p>
    <w:p w:rsidR="004B465F" w:rsidRPr="0038255D" w:rsidRDefault="004B465F" w:rsidP="004B465F">
      <w:pPr>
        <w:autoSpaceDE w:val="0"/>
        <w:autoSpaceDN w:val="0"/>
        <w:adjustRightInd w:val="0"/>
        <w:spacing w:before="180" w:after="180"/>
        <w:ind w:left="1418" w:hanging="1276"/>
        <w:rPr>
          <w:rFonts w:cstheme="minorHAnsi"/>
        </w:rPr>
      </w:pPr>
      <w:r>
        <w:rPr>
          <w:rFonts w:cstheme="minorHAnsi"/>
        </w:rPr>
        <w:t>Question 14</w:t>
      </w:r>
      <w:r w:rsidRPr="0038255D">
        <w:rPr>
          <w:rFonts w:cstheme="minorHAnsi"/>
        </w:rPr>
        <w:t>:</w:t>
      </w:r>
      <w:r w:rsidRPr="0038255D">
        <w:rPr>
          <w:rFonts w:cstheme="minorHAnsi"/>
        </w:rPr>
        <w:tab/>
        <w:t>Are there alternative financing options, including international models that the Government could consider to support investment in national research infrastructure?</w:t>
      </w:r>
    </w:p>
    <w:p w:rsidR="003D4F47" w:rsidRPr="00E20D91" w:rsidRDefault="003D4F47" w:rsidP="003D4F47">
      <w:pPr>
        <w:rPr>
          <w:rFonts w:cstheme="minorHAnsi"/>
          <w:b/>
        </w:rPr>
      </w:pPr>
      <w:r w:rsidRPr="00E20D91">
        <w:rPr>
          <w:rFonts w:cstheme="minorHAnsi"/>
          <w:b/>
        </w:rPr>
        <w:t>Health and Medical Sciences</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1</w:t>
      </w:r>
      <w:r w:rsidR="004B465F">
        <w:rPr>
          <w:rFonts w:cstheme="minorHAnsi"/>
        </w:rPr>
        <w:t>5</w:t>
      </w:r>
      <w:r w:rsidRPr="00D643FD">
        <w:rPr>
          <w:rFonts w:cstheme="minorHAnsi"/>
        </w:rPr>
        <w:t>:</w:t>
      </w:r>
      <w:r w:rsidRPr="00D643FD">
        <w:rPr>
          <w:rFonts w:cstheme="minorHAnsi"/>
        </w:rPr>
        <w:tab/>
        <w:t>Are the identified emerging directions and research infrastructure capabilities for Health and Medical Sciences right? Are there any missing or additional needed?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1</w:t>
      </w:r>
      <w:r w:rsidR="004B465F">
        <w:rPr>
          <w:rFonts w:cstheme="minorHAnsi"/>
        </w:rPr>
        <w:t>6</w:t>
      </w:r>
      <w:r w:rsidRPr="00D643FD">
        <w:rPr>
          <w:rFonts w:cstheme="minorHAnsi"/>
        </w:rPr>
        <w:t>:</w:t>
      </w:r>
      <w:r w:rsidRPr="00D643FD">
        <w:rPr>
          <w:rFonts w:cstheme="minorHAnsi"/>
        </w:rPr>
        <w:tab/>
        <w:t>Are there any international research infrastructure collaborations or emerging projects that Australia should engage in over the next ten years and beyond?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1</w:t>
      </w:r>
      <w:r w:rsidR="004B465F">
        <w:rPr>
          <w:rFonts w:cstheme="minorHAnsi"/>
        </w:rPr>
        <w:t>7</w:t>
      </w:r>
      <w:r w:rsidRPr="00D643FD">
        <w:rPr>
          <w:rFonts w:cstheme="minorHAnsi"/>
        </w:rPr>
        <w:t>:</w:t>
      </w:r>
      <w:r w:rsidRPr="00D643FD">
        <w:rPr>
          <w:rFonts w:cstheme="minorHAnsi"/>
        </w:rPr>
        <w:tab/>
        <w:t>Is there anything else that needs to be included or considered in the 2016 Roadmap for the Health and Medical Sciences capability area?</w:t>
      </w:r>
    </w:p>
    <w:p w:rsidR="003D4F47" w:rsidRPr="00E20D91" w:rsidRDefault="003D4F47" w:rsidP="003D4F47">
      <w:pPr>
        <w:rPr>
          <w:rFonts w:cstheme="minorHAnsi"/>
          <w:b/>
        </w:rPr>
      </w:pPr>
      <w:r w:rsidRPr="00E20D91">
        <w:rPr>
          <w:rFonts w:cstheme="minorHAnsi"/>
          <w:b/>
        </w:rPr>
        <w:t>Environment and Natural Resource Management</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1</w:t>
      </w:r>
      <w:r w:rsidR="004B465F">
        <w:rPr>
          <w:rFonts w:cstheme="minorHAnsi"/>
        </w:rPr>
        <w:t>8</w:t>
      </w:r>
      <w:r w:rsidRPr="00D643FD">
        <w:rPr>
          <w:rFonts w:cstheme="minorHAnsi"/>
        </w:rPr>
        <w:t>:</w:t>
      </w:r>
      <w:r w:rsidRPr="00D643FD">
        <w:rPr>
          <w:rFonts w:cstheme="minorHAnsi"/>
        </w:rPr>
        <w:tab/>
        <w:t>Are the identified emerging directions and research infrastructure capabilities for Environment and Natural Resource Management right? Are there any missing or additional needed?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 xml:space="preserve">Question </w:t>
      </w:r>
      <w:r>
        <w:rPr>
          <w:rFonts w:cstheme="minorHAnsi"/>
        </w:rPr>
        <w:t>1</w:t>
      </w:r>
      <w:r w:rsidR="004B465F">
        <w:rPr>
          <w:rFonts w:cstheme="minorHAnsi"/>
        </w:rPr>
        <w:t>9</w:t>
      </w:r>
      <w:r w:rsidRPr="00D643FD">
        <w:rPr>
          <w:rFonts w:cstheme="minorHAnsi"/>
        </w:rPr>
        <w:t>:</w:t>
      </w:r>
      <w:r w:rsidRPr="00D643FD">
        <w:rPr>
          <w:rFonts w:cstheme="minorHAnsi"/>
        </w:rPr>
        <w:tab/>
        <w:t>Are there any international research infrastructure collaborations or emerging projects that Australia should engage in over the next ten years and beyond?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 xml:space="preserve">Question </w:t>
      </w:r>
      <w:r w:rsidR="004B465F">
        <w:rPr>
          <w:rFonts w:cstheme="minorHAnsi"/>
        </w:rPr>
        <w:t>20</w:t>
      </w:r>
      <w:r w:rsidRPr="00D643FD">
        <w:rPr>
          <w:rFonts w:cstheme="minorHAnsi"/>
        </w:rPr>
        <w:t>:</w:t>
      </w:r>
      <w:r w:rsidRPr="00D643FD">
        <w:rPr>
          <w:rFonts w:cstheme="minorHAnsi"/>
        </w:rPr>
        <w:tab/>
        <w:t>Is there anything else that needs to be included or considered in the 2016 Roadmap for the Environment and Natural Resource Management capability area?</w:t>
      </w:r>
    </w:p>
    <w:p w:rsidR="003D4F47" w:rsidRPr="00E20D91" w:rsidRDefault="003D4F47" w:rsidP="003D4F47">
      <w:pPr>
        <w:rPr>
          <w:rFonts w:cstheme="minorHAnsi"/>
          <w:b/>
        </w:rPr>
      </w:pPr>
      <w:r w:rsidRPr="00E20D91">
        <w:rPr>
          <w:rFonts w:cstheme="minorHAnsi"/>
          <w:b/>
        </w:rPr>
        <w:t>Advanced Physics, Chemistry, Mathematics and Materials</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w:t>
      </w:r>
      <w:r>
        <w:rPr>
          <w:rFonts w:cstheme="minorHAnsi"/>
        </w:rPr>
        <w:t>uestion 2</w:t>
      </w:r>
      <w:r w:rsidR="004B465F">
        <w:rPr>
          <w:rFonts w:cstheme="minorHAnsi"/>
        </w:rPr>
        <w:t>1</w:t>
      </w:r>
      <w:r w:rsidRPr="00D643FD">
        <w:rPr>
          <w:rFonts w:cstheme="minorHAnsi"/>
        </w:rPr>
        <w:t>:</w:t>
      </w:r>
      <w:r w:rsidRPr="00D643FD">
        <w:rPr>
          <w:rFonts w:cstheme="minorHAnsi"/>
        </w:rPr>
        <w:tab/>
        <w:t xml:space="preserve">Are the identified emerging directions and research infrastructure capabilities for Advanced Physics, Chemistry, </w:t>
      </w:r>
      <w:r w:rsidR="00B526B8" w:rsidRPr="00D643FD">
        <w:rPr>
          <w:rFonts w:cstheme="minorHAnsi"/>
        </w:rPr>
        <w:t>Mathematics</w:t>
      </w:r>
      <w:r w:rsidR="00B526B8">
        <w:rPr>
          <w:rFonts w:cstheme="minorHAnsi"/>
        </w:rPr>
        <w:t xml:space="preserve"> and</w:t>
      </w:r>
      <w:r w:rsidR="00B526B8" w:rsidRPr="00D643FD">
        <w:rPr>
          <w:rFonts w:cstheme="minorHAnsi"/>
        </w:rPr>
        <w:t xml:space="preserve"> </w:t>
      </w:r>
      <w:r w:rsidRPr="00D643FD">
        <w:rPr>
          <w:rFonts w:cstheme="minorHAnsi"/>
        </w:rPr>
        <w:t>Materials right? Are there any missing or additional needed?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 xml:space="preserve">Question </w:t>
      </w:r>
      <w:r>
        <w:rPr>
          <w:rFonts w:cstheme="minorHAnsi"/>
        </w:rPr>
        <w:t>2</w:t>
      </w:r>
      <w:r w:rsidR="004B465F">
        <w:rPr>
          <w:rFonts w:cstheme="minorHAnsi"/>
        </w:rPr>
        <w:t>2</w:t>
      </w:r>
      <w:r w:rsidRPr="00D643FD">
        <w:rPr>
          <w:rFonts w:cstheme="minorHAnsi"/>
        </w:rPr>
        <w:t>:</w:t>
      </w:r>
      <w:r w:rsidRPr="00D643FD">
        <w:rPr>
          <w:rFonts w:cstheme="minorHAnsi"/>
        </w:rPr>
        <w:tab/>
        <w:t>Are there any international research infrastructure collaborations or emerging projects that Australia should engage in over the next ten years and beyond?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 xml:space="preserve">Question </w:t>
      </w:r>
      <w:r>
        <w:rPr>
          <w:rFonts w:cstheme="minorHAnsi"/>
        </w:rPr>
        <w:t>2</w:t>
      </w:r>
      <w:r w:rsidR="004B465F">
        <w:rPr>
          <w:rFonts w:cstheme="minorHAnsi"/>
        </w:rPr>
        <w:t>3</w:t>
      </w:r>
      <w:r w:rsidRPr="00D643FD">
        <w:rPr>
          <w:rFonts w:cstheme="minorHAnsi"/>
        </w:rPr>
        <w:t>:</w:t>
      </w:r>
      <w:r w:rsidRPr="00D643FD">
        <w:rPr>
          <w:rFonts w:cstheme="minorHAnsi"/>
        </w:rPr>
        <w:tab/>
        <w:t xml:space="preserve">Is there anything else that needs to be included or considered in the 2016 Roadmap for the Advanced Physics, Chemistry, </w:t>
      </w:r>
      <w:r w:rsidR="00B526B8" w:rsidRPr="00D643FD">
        <w:rPr>
          <w:rFonts w:cstheme="minorHAnsi"/>
        </w:rPr>
        <w:t xml:space="preserve">Mathematics </w:t>
      </w:r>
      <w:r w:rsidR="00B526B8">
        <w:rPr>
          <w:rFonts w:cstheme="minorHAnsi"/>
        </w:rPr>
        <w:t xml:space="preserve">and </w:t>
      </w:r>
      <w:r w:rsidRPr="00D643FD">
        <w:rPr>
          <w:rFonts w:cstheme="minorHAnsi"/>
        </w:rPr>
        <w:t>Materials</w:t>
      </w:r>
      <w:r w:rsidR="00B526B8">
        <w:rPr>
          <w:rFonts w:cstheme="minorHAnsi"/>
        </w:rPr>
        <w:t xml:space="preserve"> </w:t>
      </w:r>
      <w:r w:rsidRPr="00D643FD">
        <w:rPr>
          <w:rFonts w:cstheme="minorHAnsi"/>
        </w:rPr>
        <w:t>capability area?</w:t>
      </w:r>
    </w:p>
    <w:p w:rsidR="003D4F47" w:rsidRPr="00E20D91" w:rsidRDefault="003D4F47" w:rsidP="003D4F47">
      <w:pPr>
        <w:rPr>
          <w:rFonts w:cstheme="minorHAnsi"/>
          <w:b/>
        </w:rPr>
      </w:pPr>
      <w:r w:rsidRPr="00E20D91">
        <w:rPr>
          <w:rFonts w:cstheme="minorHAnsi"/>
          <w:b/>
        </w:rPr>
        <w:t>Understanding Cultures and Communities</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2</w:t>
      </w:r>
      <w:r w:rsidR="004B465F">
        <w:rPr>
          <w:rFonts w:cstheme="minorHAnsi"/>
        </w:rPr>
        <w:t>4</w:t>
      </w:r>
      <w:r w:rsidRPr="00D643FD">
        <w:rPr>
          <w:rFonts w:cstheme="minorHAnsi"/>
        </w:rPr>
        <w:t>:</w:t>
      </w:r>
      <w:r w:rsidRPr="00D643FD">
        <w:rPr>
          <w:rFonts w:cstheme="minorHAnsi"/>
        </w:rPr>
        <w:tab/>
        <w:t>Are the identified emerging directions and research infrastructure capabilities for Understanding Cultures and Communities right? Are there any missing or additional needed?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lastRenderedPageBreak/>
        <w:t>Question 2</w:t>
      </w:r>
      <w:r w:rsidR="004B465F">
        <w:rPr>
          <w:rFonts w:cstheme="minorHAnsi"/>
        </w:rPr>
        <w:t>5</w:t>
      </w:r>
      <w:r w:rsidRPr="00D643FD">
        <w:rPr>
          <w:rFonts w:cstheme="minorHAnsi"/>
        </w:rPr>
        <w:t>:</w:t>
      </w:r>
      <w:r w:rsidRPr="00D643FD">
        <w:rPr>
          <w:rFonts w:cstheme="minorHAnsi"/>
        </w:rPr>
        <w:tab/>
        <w:t>Are there any international research infrastructure collaborations or emerging projects that Australia should engage in over the next ten years and beyond?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2</w:t>
      </w:r>
      <w:r w:rsidR="004B465F">
        <w:rPr>
          <w:rFonts w:cstheme="minorHAnsi"/>
        </w:rPr>
        <w:t>6</w:t>
      </w:r>
      <w:r w:rsidRPr="00D643FD">
        <w:rPr>
          <w:rFonts w:cstheme="minorHAnsi"/>
        </w:rPr>
        <w:t>:</w:t>
      </w:r>
      <w:r w:rsidRPr="00D643FD">
        <w:rPr>
          <w:rFonts w:cstheme="minorHAnsi"/>
        </w:rPr>
        <w:tab/>
        <w:t>Is there anything else that needs to be included or considered in the 2016 Roadmap for the Understanding Cultures and Communities capability area?</w:t>
      </w:r>
    </w:p>
    <w:p w:rsidR="003D4F47" w:rsidRPr="00E20D91" w:rsidRDefault="003D4F47" w:rsidP="003D4F47">
      <w:pPr>
        <w:rPr>
          <w:rFonts w:cstheme="minorHAnsi"/>
          <w:b/>
        </w:rPr>
      </w:pPr>
      <w:r w:rsidRPr="00E20D91">
        <w:rPr>
          <w:rFonts w:cstheme="minorHAnsi"/>
          <w:b/>
        </w:rPr>
        <w:t>National Security</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2</w:t>
      </w:r>
      <w:r w:rsidR="004B465F">
        <w:rPr>
          <w:rFonts w:cstheme="minorHAnsi"/>
        </w:rPr>
        <w:t>7</w:t>
      </w:r>
      <w:r w:rsidRPr="00D643FD">
        <w:rPr>
          <w:rFonts w:cstheme="minorHAnsi"/>
        </w:rPr>
        <w:t>:</w:t>
      </w:r>
      <w:r w:rsidRPr="00D643FD">
        <w:rPr>
          <w:rFonts w:cstheme="minorHAnsi"/>
        </w:rPr>
        <w:tab/>
        <w:t>Are the identified emerging directions and research infrastructure capabilities for National Security right? Are there any missing or additional needed?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 xml:space="preserve">Question </w:t>
      </w:r>
      <w:r>
        <w:rPr>
          <w:rFonts w:cstheme="minorHAnsi"/>
        </w:rPr>
        <w:t>2</w:t>
      </w:r>
      <w:r w:rsidR="004B465F">
        <w:rPr>
          <w:rFonts w:cstheme="minorHAnsi"/>
        </w:rPr>
        <w:t>8</w:t>
      </w:r>
      <w:r w:rsidRPr="00D643FD">
        <w:rPr>
          <w:rFonts w:cstheme="minorHAnsi"/>
        </w:rPr>
        <w:t>:</w:t>
      </w:r>
      <w:r w:rsidRPr="00D643FD">
        <w:rPr>
          <w:rFonts w:cstheme="minorHAnsi"/>
        </w:rPr>
        <w:tab/>
        <w:t>Are there any international research infrastructure collaborations or emerging projects that Australia should engage in over the next ten years and beyond?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 xml:space="preserve">Question </w:t>
      </w:r>
      <w:r>
        <w:rPr>
          <w:rFonts w:cstheme="minorHAnsi"/>
        </w:rPr>
        <w:t>2</w:t>
      </w:r>
      <w:r w:rsidR="004B465F">
        <w:rPr>
          <w:rFonts w:cstheme="minorHAnsi"/>
        </w:rPr>
        <w:t>9</w:t>
      </w:r>
      <w:r w:rsidRPr="00D643FD">
        <w:rPr>
          <w:rFonts w:cstheme="minorHAnsi"/>
        </w:rPr>
        <w:t>:</w:t>
      </w:r>
      <w:r w:rsidRPr="00D643FD">
        <w:rPr>
          <w:rFonts w:cstheme="minorHAnsi"/>
        </w:rPr>
        <w:tab/>
        <w:t>Is there anything else that needs to be included or considered in the 2016 Roadmap for the National Security capability area?</w:t>
      </w:r>
    </w:p>
    <w:p w:rsidR="003D4F47" w:rsidRPr="00E20D91" w:rsidRDefault="003D4F47" w:rsidP="003D4F47">
      <w:pPr>
        <w:rPr>
          <w:rFonts w:cstheme="minorHAnsi"/>
          <w:b/>
        </w:rPr>
      </w:pPr>
      <w:r w:rsidRPr="00E20D91">
        <w:rPr>
          <w:rFonts w:cstheme="minorHAnsi"/>
          <w:b/>
        </w:rPr>
        <w:t xml:space="preserve">Underpinning Research Infrastructure </w:t>
      </w:r>
    </w:p>
    <w:p w:rsidR="003D4F47" w:rsidRPr="00D643FD" w:rsidRDefault="003D4F47" w:rsidP="003D4F47">
      <w:pPr>
        <w:autoSpaceDE w:val="0"/>
        <w:autoSpaceDN w:val="0"/>
        <w:adjustRightInd w:val="0"/>
        <w:spacing w:before="180" w:after="180"/>
        <w:ind w:left="1418" w:hanging="1276"/>
        <w:rPr>
          <w:rFonts w:cstheme="minorHAnsi"/>
        </w:rPr>
      </w:pPr>
      <w:r>
        <w:rPr>
          <w:rFonts w:cstheme="minorHAnsi"/>
        </w:rPr>
        <w:t xml:space="preserve">Question </w:t>
      </w:r>
      <w:r w:rsidR="004B465F">
        <w:rPr>
          <w:rFonts w:cstheme="minorHAnsi"/>
        </w:rPr>
        <w:t>30</w:t>
      </w:r>
      <w:r w:rsidRPr="00D643FD">
        <w:rPr>
          <w:rFonts w:cstheme="minorHAnsi"/>
        </w:rPr>
        <w:t>:</w:t>
      </w:r>
      <w:r w:rsidRPr="00D643FD">
        <w:rPr>
          <w:rFonts w:cstheme="minorHAnsi"/>
        </w:rPr>
        <w:tab/>
        <w:t>Are the identified emerging directions and research infrastructure capabilities for Underpinning Research Infrastructure right? Are there any missing or additional needed?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 xml:space="preserve">Question </w:t>
      </w:r>
      <w:r>
        <w:rPr>
          <w:rFonts w:cstheme="minorHAnsi"/>
        </w:rPr>
        <w:t>3</w:t>
      </w:r>
      <w:r w:rsidR="004B465F">
        <w:rPr>
          <w:rFonts w:cstheme="minorHAnsi"/>
        </w:rPr>
        <w:t>1</w:t>
      </w:r>
      <w:r w:rsidRPr="00D643FD">
        <w:rPr>
          <w:rFonts w:cstheme="minorHAnsi"/>
        </w:rPr>
        <w:t>:</w:t>
      </w:r>
      <w:r w:rsidRPr="00D643FD">
        <w:rPr>
          <w:rFonts w:cstheme="minorHAnsi"/>
        </w:rPr>
        <w:tab/>
        <w:t>Are there any international research infrastructure collaborations or emerging projects that Australia should engage in over the next ten years and beyond?</w:t>
      </w:r>
    </w:p>
    <w:p w:rsidR="003D4F47" w:rsidRPr="00D643FD" w:rsidRDefault="003D4F47" w:rsidP="003D4F47">
      <w:pPr>
        <w:autoSpaceDE w:val="0"/>
        <w:autoSpaceDN w:val="0"/>
        <w:adjustRightInd w:val="0"/>
        <w:spacing w:before="180" w:after="180"/>
        <w:ind w:left="1418" w:hanging="1276"/>
        <w:rPr>
          <w:rFonts w:cstheme="minorHAnsi"/>
        </w:rPr>
      </w:pPr>
      <w:r w:rsidRPr="00D643FD">
        <w:rPr>
          <w:rFonts w:cstheme="minorHAnsi"/>
        </w:rPr>
        <w:t>Question 3</w:t>
      </w:r>
      <w:r w:rsidR="004B465F">
        <w:rPr>
          <w:rFonts w:cstheme="minorHAnsi"/>
        </w:rPr>
        <w:t>2</w:t>
      </w:r>
      <w:r w:rsidRPr="00D643FD">
        <w:rPr>
          <w:rFonts w:cstheme="minorHAnsi"/>
        </w:rPr>
        <w:t>:</w:t>
      </w:r>
      <w:r w:rsidRPr="00D643FD">
        <w:rPr>
          <w:rFonts w:cstheme="minorHAnsi"/>
        </w:rPr>
        <w:tab/>
        <w:t>Is there anything else that needs to be included or considered in the 2016 Roadmap for the Underpinning Research Infrastructure capability area?</w:t>
      </w:r>
    </w:p>
    <w:p w:rsidR="003D4F47" w:rsidRPr="00E20D91" w:rsidRDefault="00D81470" w:rsidP="003D4F47">
      <w:pPr>
        <w:rPr>
          <w:rFonts w:cstheme="minorHAnsi"/>
          <w:b/>
        </w:rPr>
      </w:pPr>
      <w:r>
        <w:rPr>
          <w:rFonts w:cstheme="minorHAnsi"/>
          <w:b/>
        </w:rPr>
        <w:t>Data for Research and Discoverability</w:t>
      </w:r>
    </w:p>
    <w:p w:rsidR="007542A0" w:rsidRPr="007542A0" w:rsidRDefault="007542A0" w:rsidP="007542A0">
      <w:pPr>
        <w:ind w:left="1440" w:hanging="1440"/>
        <w:rPr>
          <w:rFonts w:cstheme="minorHAnsi"/>
        </w:rPr>
      </w:pPr>
      <w:r w:rsidRPr="007542A0">
        <w:rPr>
          <w:rFonts w:cstheme="minorHAnsi"/>
        </w:rPr>
        <w:t>Question 3</w:t>
      </w:r>
      <w:r w:rsidR="004B465F">
        <w:rPr>
          <w:rFonts w:cstheme="minorHAnsi"/>
        </w:rPr>
        <w:t>3</w:t>
      </w:r>
      <w:r w:rsidRPr="007542A0">
        <w:rPr>
          <w:rFonts w:cstheme="minorHAnsi"/>
        </w:rPr>
        <w:tab/>
        <w:t>Are the identified emerging directions and research infrastructure capabilities for Data for Research and Discoverability right? Are there any missing or additional needed?</w:t>
      </w:r>
    </w:p>
    <w:p w:rsidR="007542A0" w:rsidRPr="007542A0" w:rsidRDefault="007542A0" w:rsidP="007542A0">
      <w:pPr>
        <w:ind w:left="1440" w:hanging="1440"/>
        <w:rPr>
          <w:rFonts w:cstheme="minorHAnsi"/>
        </w:rPr>
      </w:pPr>
      <w:r w:rsidRPr="007542A0">
        <w:rPr>
          <w:rFonts w:cstheme="minorHAnsi"/>
        </w:rPr>
        <w:t>Question 3</w:t>
      </w:r>
      <w:r w:rsidR="004B465F">
        <w:rPr>
          <w:rFonts w:cstheme="minorHAnsi"/>
        </w:rPr>
        <w:t>4</w:t>
      </w:r>
      <w:r w:rsidRPr="007542A0">
        <w:rPr>
          <w:rFonts w:cstheme="minorHAnsi"/>
        </w:rPr>
        <w:t>:</w:t>
      </w:r>
      <w:r w:rsidRPr="007542A0">
        <w:rPr>
          <w:rFonts w:cstheme="minorHAnsi"/>
        </w:rPr>
        <w:tab/>
        <w:t>Are there any international research infrastructure collaborations or emerging projects that Australia should engage in over the next ten years and beyond?</w:t>
      </w:r>
    </w:p>
    <w:p w:rsidR="009350FE" w:rsidRDefault="007542A0" w:rsidP="007542A0">
      <w:pPr>
        <w:ind w:left="1440" w:hanging="1440"/>
        <w:rPr>
          <w:rFonts w:cstheme="minorHAnsi"/>
        </w:rPr>
      </w:pPr>
      <w:r w:rsidRPr="007542A0">
        <w:rPr>
          <w:rFonts w:cstheme="minorHAnsi"/>
        </w:rPr>
        <w:t>Question 3</w:t>
      </w:r>
      <w:r w:rsidR="004B465F">
        <w:rPr>
          <w:rFonts w:cstheme="minorHAnsi"/>
        </w:rPr>
        <w:t>5</w:t>
      </w:r>
      <w:r w:rsidRPr="007542A0">
        <w:rPr>
          <w:rFonts w:cstheme="minorHAnsi"/>
        </w:rPr>
        <w:t>:</w:t>
      </w:r>
      <w:r w:rsidRPr="007542A0">
        <w:rPr>
          <w:rFonts w:cstheme="minorHAnsi"/>
        </w:rPr>
        <w:tab/>
        <w:t>Is there anything else that needs to be included or considered in the 2016 Roadmap for the Data for Research and Discoverability capability area?</w:t>
      </w:r>
    </w:p>
    <w:p w:rsidR="009350FE" w:rsidRDefault="009350FE" w:rsidP="007542A0">
      <w:pPr>
        <w:ind w:left="1440" w:hanging="1440"/>
        <w:rPr>
          <w:rFonts w:cstheme="minorHAnsi"/>
          <w:b/>
        </w:rPr>
      </w:pPr>
      <w:r w:rsidRPr="00676CA8">
        <w:rPr>
          <w:rFonts w:cstheme="minorHAnsi"/>
          <w:b/>
        </w:rPr>
        <w:t>Other comments</w:t>
      </w:r>
    </w:p>
    <w:p w:rsidR="009350FE" w:rsidRPr="009350FE" w:rsidRDefault="009350FE" w:rsidP="00676CA8">
      <w:pPr>
        <w:rPr>
          <w:rFonts w:cstheme="minorHAnsi"/>
        </w:rPr>
      </w:pPr>
      <w:r>
        <w:rPr>
          <w:rFonts w:cstheme="minorHAnsi"/>
        </w:rPr>
        <w:t xml:space="preserve">If you believe that there are issues not addressed in this Issues Paper or the associated questions, please provide your comments under this heading noting </w:t>
      </w:r>
      <w:r w:rsidR="005F1B60">
        <w:rPr>
          <w:rFonts w:cstheme="minorHAnsi"/>
        </w:rPr>
        <w:t>the overall 20 page limit of submissions</w:t>
      </w:r>
      <w:r>
        <w:rPr>
          <w:rFonts w:cstheme="minorHAnsi"/>
        </w:rPr>
        <w:t>.</w:t>
      </w:r>
    </w:p>
    <w:p w:rsidR="009C127A" w:rsidRDefault="009C127A" w:rsidP="007542A0">
      <w:pPr>
        <w:ind w:left="1440" w:hanging="1440"/>
        <w:rPr>
          <w:rFonts w:ascii="Calibri" w:eastAsia="Calibri" w:hAnsi="Calibri" w:cstheme="majorBidi"/>
          <w:b/>
          <w:bCs/>
          <w:color w:val="000000" w:themeColor="text1"/>
          <w:sz w:val="36"/>
          <w:szCs w:val="28"/>
        </w:rPr>
      </w:pPr>
      <w:r>
        <w:rPr>
          <w:rFonts w:ascii="Calibri" w:eastAsia="Calibri" w:hAnsi="Calibri" w:cstheme="majorBidi"/>
          <w:b/>
          <w:bCs/>
          <w:color w:val="000000" w:themeColor="text1"/>
          <w:sz w:val="36"/>
          <w:szCs w:val="28"/>
        </w:rPr>
        <w:br w:type="page"/>
      </w:r>
    </w:p>
    <w:p w:rsidR="008834CA" w:rsidRPr="007235FE" w:rsidRDefault="008834CA" w:rsidP="008834CA">
      <w:pPr>
        <w:pStyle w:val="Heading1"/>
        <w:numPr>
          <w:ilvl w:val="0"/>
          <w:numId w:val="0"/>
        </w:numPr>
        <w:ind w:left="2410" w:hanging="2410"/>
        <w:rPr>
          <w:rFonts w:eastAsia="Calibri"/>
        </w:rPr>
      </w:pPr>
      <w:bookmarkStart w:id="53" w:name="_Toc456449030"/>
      <w:r w:rsidRPr="00AE2A9E">
        <w:rPr>
          <w:rFonts w:eastAsia="Calibri"/>
        </w:rPr>
        <w:lastRenderedPageBreak/>
        <w:t xml:space="preserve">Attachment </w:t>
      </w:r>
      <w:r w:rsidR="009C127A">
        <w:rPr>
          <w:rFonts w:eastAsia="Calibri"/>
        </w:rPr>
        <w:t>B</w:t>
      </w:r>
      <w:r>
        <w:rPr>
          <w:rFonts w:eastAsia="Calibri"/>
        </w:rPr>
        <w:t xml:space="preserve"> </w:t>
      </w:r>
      <w:r w:rsidR="008C5C0A">
        <w:rPr>
          <w:rFonts w:eastAsia="Calibri"/>
        </w:rPr>
        <w:t xml:space="preserve">– </w:t>
      </w:r>
      <w:r w:rsidRPr="0067199D">
        <w:rPr>
          <w:rFonts w:eastAsia="Calibri"/>
        </w:rPr>
        <w:t>2016</w:t>
      </w:r>
      <w:r w:rsidR="008C5C0A">
        <w:rPr>
          <w:rFonts w:eastAsia="Calibri"/>
        </w:rPr>
        <w:t xml:space="preserve"> </w:t>
      </w:r>
      <w:r w:rsidRPr="0067199D">
        <w:rPr>
          <w:rFonts w:eastAsia="Calibri"/>
        </w:rPr>
        <w:t xml:space="preserve">National Research Infrastructure Roadmap </w:t>
      </w:r>
      <w:r w:rsidRPr="007235FE">
        <w:rPr>
          <w:rFonts w:eastAsia="Calibri"/>
        </w:rPr>
        <w:t>Expert Working Group</w:t>
      </w:r>
      <w:r>
        <w:rPr>
          <w:rFonts w:eastAsia="Calibri"/>
        </w:rPr>
        <w:t xml:space="preserve"> and Capability Experts</w:t>
      </w:r>
      <w:bookmarkEnd w:id="53"/>
    </w:p>
    <w:p w:rsidR="0084387E" w:rsidRDefault="0084387E" w:rsidP="00515F25">
      <w:pPr>
        <w:rPr>
          <w:b/>
          <w:sz w:val="28"/>
          <w:szCs w:val="28"/>
        </w:rPr>
      </w:pPr>
    </w:p>
    <w:p w:rsidR="008834CA" w:rsidRDefault="008834CA" w:rsidP="00515F25">
      <w:r w:rsidRPr="00A03D6E">
        <w:rPr>
          <w:b/>
          <w:sz w:val="28"/>
          <w:szCs w:val="28"/>
        </w:rPr>
        <w:t>Expert Working Group</w:t>
      </w:r>
    </w:p>
    <w:p w:rsidR="008834CA" w:rsidRPr="00B53FEB" w:rsidRDefault="008834CA" w:rsidP="0084387E">
      <w:pPr>
        <w:spacing w:after="120" w:line="240" w:lineRule="auto"/>
        <w:rPr>
          <w:rFonts w:ascii="Calibri" w:eastAsia="Calibri" w:hAnsi="Calibri" w:cs="Calibri"/>
          <w:sz w:val="24"/>
        </w:rPr>
      </w:pPr>
      <w:r w:rsidRPr="00A03D6E">
        <w:rPr>
          <w:rFonts w:ascii="Calibri" w:eastAsia="Calibri" w:hAnsi="Calibri" w:cs="Calibri"/>
        </w:rPr>
        <w:t xml:space="preserve">Dr Alan Finkel AO, Chief Scientist </w:t>
      </w:r>
      <w:r w:rsidR="00292940">
        <w:rPr>
          <w:rFonts w:ascii="Calibri" w:eastAsia="Calibri" w:hAnsi="Calibri" w:cs="Calibri"/>
        </w:rPr>
        <w:t>(Chairman)</w:t>
      </w:r>
    </w:p>
    <w:p w:rsidR="00EC3D5A" w:rsidRPr="00A03D6E" w:rsidRDefault="00EC3D5A" w:rsidP="00EC3D5A">
      <w:pPr>
        <w:spacing w:after="120" w:line="240" w:lineRule="auto"/>
        <w:rPr>
          <w:rFonts w:ascii="Calibri" w:eastAsia="Calibri" w:hAnsi="Calibri" w:cs="Calibri"/>
        </w:rPr>
      </w:pPr>
      <w:r w:rsidRPr="00A03D6E">
        <w:rPr>
          <w:rFonts w:ascii="Calibri" w:eastAsia="Calibri" w:hAnsi="Calibri" w:cs="Calibri"/>
        </w:rPr>
        <w:t>Professor Aidan Byrne, Chief Executive Officer, Australian Research Council</w:t>
      </w:r>
      <w:r>
        <w:rPr>
          <w:rFonts w:ascii="Calibri" w:eastAsia="Calibri" w:hAnsi="Calibri" w:cs="Calibri"/>
        </w:rPr>
        <w:t xml:space="preserve"> (ex-officio)</w:t>
      </w:r>
    </w:p>
    <w:p w:rsidR="008834CA" w:rsidRPr="00A03D6E" w:rsidRDefault="008834CA" w:rsidP="008834CA">
      <w:pPr>
        <w:spacing w:after="120" w:line="240" w:lineRule="auto"/>
        <w:rPr>
          <w:rFonts w:ascii="Calibri" w:eastAsia="Calibri" w:hAnsi="Calibri" w:cs="Calibri"/>
        </w:rPr>
      </w:pPr>
      <w:r w:rsidRPr="00A03D6E">
        <w:rPr>
          <w:rFonts w:ascii="Calibri" w:eastAsia="Calibri" w:hAnsi="Calibri" w:cs="Calibri"/>
        </w:rPr>
        <w:t>Professor Edwina Cornish AO, Provost and Senior Vice-President, Monash University</w:t>
      </w:r>
    </w:p>
    <w:p w:rsidR="008834CA" w:rsidRPr="00A03D6E" w:rsidRDefault="008834CA" w:rsidP="008834CA">
      <w:pPr>
        <w:spacing w:after="120" w:line="240" w:lineRule="auto"/>
        <w:rPr>
          <w:rFonts w:ascii="Calibri" w:eastAsia="Calibri" w:hAnsi="Calibri" w:cs="Calibri"/>
        </w:rPr>
      </w:pPr>
      <w:r w:rsidRPr="00A03D6E">
        <w:rPr>
          <w:rFonts w:ascii="Calibri" w:eastAsia="Calibri" w:hAnsi="Calibri" w:cs="Calibri"/>
        </w:rPr>
        <w:t>Dr Andrew Cuthbertson, Chief Scientific Officer and R</w:t>
      </w:r>
      <w:r w:rsidR="0084387E">
        <w:rPr>
          <w:rFonts w:ascii="Calibri" w:eastAsia="Calibri" w:hAnsi="Calibri" w:cs="Calibri"/>
        </w:rPr>
        <w:t>&amp;</w:t>
      </w:r>
      <w:r w:rsidRPr="00A03D6E">
        <w:rPr>
          <w:rFonts w:ascii="Calibri" w:eastAsia="Calibri" w:hAnsi="Calibri" w:cs="Calibri"/>
        </w:rPr>
        <w:t xml:space="preserve">D Director, </w:t>
      </w:r>
      <w:proofErr w:type="spellStart"/>
      <w:r w:rsidRPr="00A03D6E">
        <w:rPr>
          <w:rFonts w:ascii="Calibri" w:eastAsia="Calibri" w:hAnsi="Calibri" w:cs="Calibri"/>
        </w:rPr>
        <w:t>CSL</w:t>
      </w:r>
      <w:proofErr w:type="spellEnd"/>
      <w:r w:rsidRPr="00A03D6E">
        <w:rPr>
          <w:rFonts w:ascii="Calibri" w:eastAsia="Calibri" w:hAnsi="Calibri" w:cs="Calibri"/>
        </w:rPr>
        <w:t xml:space="preserve"> Ltd</w:t>
      </w:r>
    </w:p>
    <w:p w:rsidR="008834CA" w:rsidRPr="00A03D6E" w:rsidRDefault="008834CA" w:rsidP="008834CA">
      <w:pPr>
        <w:spacing w:after="120" w:line="240" w:lineRule="auto"/>
        <w:rPr>
          <w:rFonts w:ascii="Calibri" w:eastAsia="Calibri" w:hAnsi="Calibri" w:cs="Calibri"/>
        </w:rPr>
      </w:pPr>
      <w:r w:rsidRPr="00A03D6E">
        <w:rPr>
          <w:rFonts w:ascii="Calibri" w:eastAsia="Calibri" w:hAnsi="Calibri" w:cs="Calibri"/>
        </w:rPr>
        <w:t>Professor Sandra Harding, Vice Chancellor and President, James Cook University</w:t>
      </w:r>
    </w:p>
    <w:p w:rsidR="008834CA" w:rsidRPr="00A03D6E" w:rsidRDefault="008834CA" w:rsidP="008834CA">
      <w:pPr>
        <w:spacing w:after="120" w:line="240" w:lineRule="auto"/>
        <w:rPr>
          <w:rFonts w:ascii="Calibri" w:eastAsia="Calibri" w:hAnsi="Calibri" w:cs="Calibri"/>
        </w:rPr>
      </w:pPr>
      <w:r w:rsidRPr="00A03D6E">
        <w:rPr>
          <w:rFonts w:ascii="Calibri" w:eastAsia="Calibri" w:hAnsi="Calibri" w:cs="Calibri"/>
        </w:rPr>
        <w:t>Mrs Rosie Hicks, Chief Executive Officer, Australian National Fabrication Facility Ltd</w:t>
      </w:r>
    </w:p>
    <w:p w:rsidR="00EC3D5A" w:rsidRDefault="00EC3D5A" w:rsidP="008834CA">
      <w:pPr>
        <w:spacing w:after="120" w:line="240" w:lineRule="auto"/>
        <w:rPr>
          <w:rFonts w:ascii="Calibri" w:eastAsia="Calibri" w:hAnsi="Calibri" w:cs="Calibri"/>
        </w:rPr>
      </w:pPr>
      <w:r w:rsidRPr="00A03D6E">
        <w:rPr>
          <w:rFonts w:ascii="Calibri" w:eastAsia="Calibri" w:hAnsi="Calibri" w:cs="Calibri"/>
        </w:rPr>
        <w:t>Professor Anne Kelso AO, Chief Executive Officer, NHMRC</w:t>
      </w:r>
      <w:r>
        <w:rPr>
          <w:rFonts w:ascii="Calibri" w:eastAsia="Calibri" w:hAnsi="Calibri" w:cs="Calibri"/>
        </w:rPr>
        <w:t xml:space="preserve"> (ex-officio)</w:t>
      </w:r>
    </w:p>
    <w:p w:rsidR="008834CA" w:rsidRPr="00A03D6E" w:rsidRDefault="008834CA" w:rsidP="008834CA">
      <w:pPr>
        <w:spacing w:after="120" w:line="240" w:lineRule="auto"/>
        <w:rPr>
          <w:rFonts w:ascii="Calibri" w:eastAsia="Calibri" w:hAnsi="Calibri" w:cs="Calibri"/>
        </w:rPr>
      </w:pPr>
      <w:r w:rsidRPr="00A03D6E">
        <w:rPr>
          <w:rFonts w:ascii="Calibri" w:eastAsia="Calibri" w:hAnsi="Calibri" w:cs="Calibri"/>
        </w:rPr>
        <w:t>Professor Suzanne Miller, Chief Executive Officer and Director, Queensland Museum</w:t>
      </w:r>
    </w:p>
    <w:p w:rsidR="008834CA" w:rsidRPr="00A03D6E" w:rsidRDefault="008834CA" w:rsidP="008834CA">
      <w:pPr>
        <w:spacing w:after="120" w:line="240" w:lineRule="auto"/>
        <w:rPr>
          <w:rFonts w:ascii="Calibri" w:eastAsia="Calibri" w:hAnsi="Calibri" w:cs="Calibri"/>
        </w:rPr>
      </w:pPr>
      <w:r w:rsidRPr="00A03D6E">
        <w:rPr>
          <w:rFonts w:ascii="Calibri" w:eastAsia="Calibri" w:hAnsi="Calibri" w:cs="Calibri"/>
        </w:rPr>
        <w:t xml:space="preserve">Dr Adrian (Adi) Paterson, Chief Executive Officer, </w:t>
      </w:r>
      <w:proofErr w:type="spellStart"/>
      <w:r w:rsidRPr="00A03D6E">
        <w:rPr>
          <w:rFonts w:ascii="Calibri" w:eastAsia="Calibri" w:hAnsi="Calibri" w:cs="Calibri"/>
        </w:rPr>
        <w:t>ANSTO</w:t>
      </w:r>
      <w:proofErr w:type="spellEnd"/>
    </w:p>
    <w:p w:rsidR="0084387E" w:rsidRDefault="008834CA" w:rsidP="004808DC">
      <w:pPr>
        <w:spacing w:after="120" w:line="240" w:lineRule="auto"/>
        <w:rPr>
          <w:rFonts w:ascii="Calibri" w:eastAsia="Calibri" w:hAnsi="Calibri" w:cs="Calibri"/>
          <w:sz w:val="24"/>
        </w:rPr>
      </w:pPr>
      <w:r w:rsidRPr="00A03D6E">
        <w:rPr>
          <w:rFonts w:ascii="Calibri" w:eastAsia="Calibri" w:hAnsi="Calibri" w:cs="Calibri"/>
        </w:rPr>
        <w:t>Professor Andy Pitman, Director, ARC Centre of Excellence for Climate System Science</w:t>
      </w:r>
    </w:p>
    <w:p w:rsidR="008834CA" w:rsidRPr="00515F25" w:rsidRDefault="008834CA" w:rsidP="004808DC">
      <w:pPr>
        <w:spacing w:before="600"/>
        <w:rPr>
          <w:b/>
          <w:sz w:val="28"/>
          <w:szCs w:val="28"/>
        </w:rPr>
      </w:pPr>
      <w:r w:rsidRPr="00515F25">
        <w:rPr>
          <w:b/>
          <w:sz w:val="28"/>
          <w:szCs w:val="28"/>
        </w:rPr>
        <w:t xml:space="preserve">Taskforce </w:t>
      </w:r>
    </w:p>
    <w:p w:rsidR="008834CA" w:rsidRPr="00A03D6E" w:rsidRDefault="008834CA" w:rsidP="00676CA8">
      <w:pPr>
        <w:ind w:right="-330"/>
        <w:rPr>
          <w:rFonts w:ascii="Calibri" w:eastAsia="Calibri" w:hAnsi="Calibri" w:cs="Calibri"/>
        </w:rPr>
      </w:pPr>
      <w:r w:rsidRPr="00A03D6E">
        <w:rPr>
          <w:rFonts w:ascii="Calibri" w:eastAsia="Calibri" w:hAnsi="Calibri" w:cs="Calibri"/>
        </w:rPr>
        <w:t>The Expert Working Group is supported by the National Research Infrastructure Roadmap Taskforce</w:t>
      </w:r>
      <w:r w:rsidR="008C5C0A">
        <w:rPr>
          <w:rFonts w:ascii="Calibri" w:eastAsia="Calibri" w:hAnsi="Calibri" w:cs="Calibri"/>
        </w:rPr>
        <w:t>.</w:t>
      </w:r>
      <w:r>
        <w:rPr>
          <w:rFonts w:ascii="Calibri" w:eastAsia="Calibri" w:hAnsi="Calibri" w:cs="Calibri"/>
        </w:rPr>
        <w:t xml:space="preserve"> </w:t>
      </w:r>
      <w:r w:rsidR="008C5C0A">
        <w:rPr>
          <w:rFonts w:ascii="Calibri" w:eastAsia="Calibri" w:hAnsi="Calibri" w:cs="Calibri"/>
        </w:rPr>
        <w:t>T</w:t>
      </w:r>
      <w:r>
        <w:rPr>
          <w:rFonts w:ascii="Calibri" w:eastAsia="Calibri" w:hAnsi="Calibri" w:cs="Calibri"/>
        </w:rPr>
        <w:t xml:space="preserve">he </w:t>
      </w:r>
      <w:r w:rsidR="005F1B60">
        <w:rPr>
          <w:rFonts w:ascii="Calibri" w:eastAsia="Calibri" w:hAnsi="Calibri" w:cs="Calibri"/>
        </w:rPr>
        <w:t>W</w:t>
      </w:r>
      <w:r>
        <w:rPr>
          <w:rFonts w:ascii="Calibri" w:eastAsia="Calibri" w:hAnsi="Calibri" w:cs="Calibri"/>
        </w:rPr>
        <w:t>hole</w:t>
      </w:r>
      <w:r w:rsidR="005F1B60">
        <w:rPr>
          <w:rFonts w:ascii="Calibri" w:eastAsia="Calibri" w:hAnsi="Calibri" w:cs="Calibri"/>
        </w:rPr>
        <w:t xml:space="preserve"> </w:t>
      </w:r>
      <w:r w:rsidR="00DF7527">
        <w:rPr>
          <w:rFonts w:ascii="Calibri" w:eastAsia="Calibri" w:hAnsi="Calibri" w:cs="Calibri"/>
        </w:rPr>
        <w:t>of</w:t>
      </w:r>
      <w:r w:rsidR="005F1B60">
        <w:rPr>
          <w:rFonts w:ascii="Calibri" w:eastAsia="Calibri" w:hAnsi="Calibri" w:cs="Calibri"/>
        </w:rPr>
        <w:t xml:space="preserve"> </w:t>
      </w:r>
      <w:r w:rsidR="005F1B60">
        <w:rPr>
          <w:rFonts w:cstheme="minorHAnsi"/>
        </w:rPr>
        <w:t>G</w:t>
      </w:r>
      <w:r w:rsidRPr="00676CA8">
        <w:rPr>
          <w:rFonts w:cstheme="minorHAnsi"/>
        </w:rPr>
        <w:t>overnment</w:t>
      </w:r>
      <w:r>
        <w:rPr>
          <w:rFonts w:ascii="Calibri" w:eastAsia="Calibri" w:hAnsi="Calibri" w:cs="Calibri"/>
        </w:rPr>
        <w:t xml:space="preserve"> Taskforce</w:t>
      </w:r>
      <w:r w:rsidRPr="00A03D6E">
        <w:rPr>
          <w:rFonts w:ascii="Calibri" w:eastAsia="Calibri" w:hAnsi="Calibri" w:cs="Calibri"/>
        </w:rPr>
        <w:t xml:space="preserve"> i</w:t>
      </w:r>
      <w:r w:rsidR="008C5C0A">
        <w:rPr>
          <w:rFonts w:ascii="Calibri" w:eastAsia="Calibri" w:hAnsi="Calibri" w:cs="Calibri"/>
        </w:rPr>
        <w:t>s</w:t>
      </w:r>
      <w:r w:rsidRPr="00A03D6E">
        <w:rPr>
          <w:rFonts w:ascii="Calibri" w:eastAsia="Calibri" w:hAnsi="Calibri" w:cs="Calibri"/>
        </w:rPr>
        <w:t xml:space="preserve"> </w:t>
      </w:r>
      <w:r>
        <w:rPr>
          <w:rFonts w:ascii="Calibri" w:eastAsia="Calibri" w:hAnsi="Calibri" w:cs="Calibri"/>
        </w:rPr>
        <w:t xml:space="preserve">based in </w:t>
      </w:r>
      <w:r w:rsidRPr="00A03D6E">
        <w:rPr>
          <w:rFonts w:ascii="Calibri" w:eastAsia="Calibri" w:hAnsi="Calibri" w:cs="Calibri"/>
        </w:rPr>
        <w:t>the Department of Education and Training</w:t>
      </w:r>
      <w:r>
        <w:rPr>
          <w:rFonts w:ascii="Calibri" w:eastAsia="Calibri" w:hAnsi="Calibri" w:cs="Calibri"/>
        </w:rPr>
        <w:t xml:space="preserve"> and includes ex</w:t>
      </w:r>
      <w:r w:rsidR="008C5C0A">
        <w:rPr>
          <w:rFonts w:ascii="Calibri" w:eastAsia="Calibri" w:hAnsi="Calibri" w:cs="Calibri"/>
        </w:rPr>
        <w:t>p</w:t>
      </w:r>
      <w:r>
        <w:rPr>
          <w:rFonts w:ascii="Calibri" w:eastAsia="Calibri" w:hAnsi="Calibri" w:cs="Calibri"/>
        </w:rPr>
        <w:t xml:space="preserve">erts from </w:t>
      </w:r>
      <w:r w:rsidR="00292940">
        <w:rPr>
          <w:rFonts w:ascii="Calibri" w:eastAsia="Calibri" w:hAnsi="Calibri" w:cs="Calibri"/>
        </w:rPr>
        <w:t xml:space="preserve">the Department of Industry, Innovation and Science, </w:t>
      </w:r>
      <w:r>
        <w:rPr>
          <w:rFonts w:ascii="Calibri" w:eastAsia="Calibri" w:hAnsi="Calibri" w:cs="Calibri"/>
        </w:rPr>
        <w:t xml:space="preserve">the Department of </w:t>
      </w:r>
      <w:r w:rsidR="008C5C0A">
        <w:rPr>
          <w:rFonts w:ascii="Calibri" w:eastAsia="Calibri" w:hAnsi="Calibri" w:cs="Calibri"/>
        </w:rPr>
        <w:t xml:space="preserve">the </w:t>
      </w:r>
      <w:r>
        <w:rPr>
          <w:rFonts w:ascii="Calibri" w:eastAsia="Calibri" w:hAnsi="Calibri" w:cs="Calibri"/>
        </w:rPr>
        <w:t>Environment</w:t>
      </w:r>
      <w:r w:rsidR="00D35175">
        <w:rPr>
          <w:rFonts w:ascii="Calibri" w:eastAsia="Calibri" w:hAnsi="Calibri" w:cs="Calibri"/>
        </w:rPr>
        <w:t xml:space="preserve"> and Energy</w:t>
      </w:r>
      <w:r>
        <w:rPr>
          <w:rFonts w:ascii="Calibri" w:eastAsia="Calibri" w:hAnsi="Calibri" w:cs="Calibri"/>
        </w:rPr>
        <w:t xml:space="preserve">, </w:t>
      </w:r>
      <w:r w:rsidR="00292940">
        <w:rPr>
          <w:rFonts w:ascii="Calibri" w:eastAsia="Calibri" w:hAnsi="Calibri" w:cs="Calibri"/>
        </w:rPr>
        <w:t xml:space="preserve">and </w:t>
      </w:r>
      <w:r w:rsidR="007A0888">
        <w:rPr>
          <w:rFonts w:ascii="Calibri" w:eastAsia="Calibri" w:hAnsi="Calibri" w:cs="Calibri"/>
        </w:rPr>
        <w:t xml:space="preserve">the </w:t>
      </w:r>
      <w:r w:rsidR="005723CD">
        <w:rPr>
          <w:rFonts w:ascii="Calibri" w:eastAsia="Calibri" w:hAnsi="Calibri" w:cs="Calibri"/>
        </w:rPr>
        <w:t xml:space="preserve">Department of </w:t>
      </w:r>
      <w:r>
        <w:rPr>
          <w:rFonts w:ascii="Calibri" w:eastAsia="Calibri" w:hAnsi="Calibri" w:cs="Calibri"/>
        </w:rPr>
        <w:t>Health</w:t>
      </w:r>
      <w:r w:rsidRPr="00A03D6E">
        <w:rPr>
          <w:rFonts w:ascii="Calibri" w:eastAsia="Calibri" w:hAnsi="Calibri" w:cs="Calibri"/>
        </w:rPr>
        <w:t>.</w:t>
      </w:r>
    </w:p>
    <w:p w:rsidR="008834CA" w:rsidRDefault="008834CA" w:rsidP="008834CA">
      <w:pPr>
        <w:rPr>
          <w:rStyle w:val="Hyperlink"/>
        </w:rPr>
      </w:pPr>
      <w:r>
        <w:t xml:space="preserve">Further information on the EWG and the Roadmap terms of reference are available at </w:t>
      </w:r>
      <w:hyperlink r:id="rId28" w:tooltip="This link will take you to the 2016 National Research Infrastructure Roadmap web page" w:history="1">
        <w:r w:rsidRPr="00825847">
          <w:rPr>
            <w:rStyle w:val="Hyperlink"/>
          </w:rPr>
          <w:t>https://www.education.gov.au/2016-national-research-infrastructure-roadmap</w:t>
        </w:r>
      </w:hyperlink>
    </w:p>
    <w:p w:rsidR="0084387E" w:rsidRDefault="0084387E" w:rsidP="00676CA8">
      <w:pPr>
        <w:spacing w:after="0" w:line="240" w:lineRule="auto"/>
        <w:rPr>
          <w:b/>
          <w:sz w:val="28"/>
          <w:szCs w:val="28"/>
        </w:rPr>
      </w:pPr>
    </w:p>
    <w:p w:rsidR="00C80235" w:rsidRDefault="00C80235" w:rsidP="00676CA8">
      <w:pPr>
        <w:spacing w:after="0" w:line="240" w:lineRule="auto"/>
        <w:rPr>
          <w:b/>
          <w:sz w:val="28"/>
          <w:szCs w:val="28"/>
        </w:rPr>
      </w:pPr>
    </w:p>
    <w:p w:rsidR="008834CA" w:rsidRPr="0067199D" w:rsidRDefault="008834CA" w:rsidP="00515F25">
      <w:pPr>
        <w:rPr>
          <w:b/>
          <w:sz w:val="28"/>
          <w:szCs w:val="28"/>
        </w:rPr>
      </w:pPr>
      <w:r w:rsidRPr="0067199D">
        <w:rPr>
          <w:b/>
          <w:sz w:val="28"/>
          <w:szCs w:val="28"/>
        </w:rPr>
        <w:t>Capability Experts</w:t>
      </w:r>
    </w:p>
    <w:p w:rsidR="008834CA" w:rsidRPr="0067199D" w:rsidRDefault="009B5F01" w:rsidP="008834CA">
      <w:pPr>
        <w:spacing w:after="120" w:line="240" w:lineRule="auto"/>
        <w:rPr>
          <w:rFonts w:ascii="Calibri" w:eastAsia="Calibri" w:hAnsi="Calibri" w:cs="Calibri"/>
        </w:rPr>
      </w:pPr>
      <w:proofErr w:type="spellStart"/>
      <w:r w:rsidRPr="0067199D">
        <w:rPr>
          <w:rFonts w:ascii="Calibri" w:eastAsia="Calibri" w:hAnsi="Calibri" w:cs="Calibri"/>
        </w:rPr>
        <w:t>Em</w:t>
      </w:r>
      <w:proofErr w:type="spellEnd"/>
      <w:r w:rsidRPr="0067199D">
        <w:rPr>
          <w:rFonts w:ascii="Calibri" w:eastAsia="Calibri" w:hAnsi="Calibri" w:cs="Calibri"/>
        </w:rPr>
        <w:t xml:space="preserve"> </w:t>
      </w:r>
      <w:r w:rsidR="008834CA" w:rsidRPr="0067199D">
        <w:rPr>
          <w:rFonts w:ascii="Calibri" w:eastAsia="Calibri" w:hAnsi="Calibri" w:cs="Calibri"/>
        </w:rPr>
        <w:t>Prof Mary Barton, Emeritus Professor of School of Pharmacy and Medical Sciences</w:t>
      </w:r>
      <w:proofErr w:type="gramStart"/>
      <w:r w:rsidR="008834CA" w:rsidRPr="0067199D">
        <w:rPr>
          <w:rFonts w:ascii="Calibri" w:eastAsia="Calibri" w:hAnsi="Calibri" w:cs="Calibri"/>
        </w:rPr>
        <w:t>,</w:t>
      </w:r>
      <w:proofErr w:type="gramEnd"/>
      <w:r w:rsidR="006F247E">
        <w:rPr>
          <w:rFonts w:ascii="Calibri" w:eastAsia="Calibri" w:hAnsi="Calibri" w:cs="Calibri"/>
        </w:rPr>
        <w:br/>
      </w:r>
      <w:r w:rsidR="008834CA" w:rsidRPr="0067199D">
        <w:rPr>
          <w:rFonts w:ascii="Calibri" w:eastAsia="Calibri" w:hAnsi="Calibri" w:cs="Calibri"/>
        </w:rPr>
        <w:t>University</w:t>
      </w:r>
      <w:r w:rsidR="006F247E">
        <w:rPr>
          <w:rFonts w:ascii="Calibri" w:eastAsia="Calibri" w:hAnsi="Calibri" w:cs="Calibri"/>
        </w:rPr>
        <w:t xml:space="preserve"> </w:t>
      </w:r>
      <w:r w:rsidR="008834CA" w:rsidRPr="0067199D">
        <w:rPr>
          <w:rFonts w:ascii="Calibri" w:eastAsia="Calibri" w:hAnsi="Calibri" w:cs="Calibri"/>
        </w:rPr>
        <w:t>of</w:t>
      </w:r>
      <w:r w:rsidR="00DF7527">
        <w:rPr>
          <w:rFonts w:ascii="Calibri" w:eastAsia="Calibri" w:hAnsi="Calibri" w:cs="Calibri"/>
        </w:rPr>
        <w:t> </w:t>
      </w:r>
      <w:r w:rsidR="008834CA" w:rsidRPr="0067199D">
        <w:rPr>
          <w:rFonts w:ascii="Calibri" w:eastAsia="Calibri" w:hAnsi="Calibri" w:cs="Calibri"/>
        </w:rPr>
        <w:t>South</w:t>
      </w:r>
      <w:r w:rsidR="00DF7527">
        <w:rPr>
          <w:rFonts w:ascii="Calibri" w:eastAsia="Calibri" w:hAnsi="Calibri" w:cs="Calibri"/>
        </w:rPr>
        <w:t> </w:t>
      </w:r>
      <w:r w:rsidR="008834CA" w:rsidRPr="0067199D">
        <w:rPr>
          <w:rFonts w:ascii="Calibri" w:eastAsia="Calibri" w:hAnsi="Calibri" w:cs="Calibri"/>
        </w:rPr>
        <w:t>Australia</w:t>
      </w:r>
    </w:p>
    <w:p w:rsidR="00DF7527" w:rsidRDefault="008834CA" w:rsidP="008834CA">
      <w:pPr>
        <w:spacing w:after="120" w:line="240" w:lineRule="auto"/>
        <w:rPr>
          <w:rFonts w:ascii="Calibri" w:eastAsia="Calibri" w:hAnsi="Calibri" w:cs="Calibri"/>
        </w:rPr>
      </w:pPr>
      <w:r w:rsidRPr="0067199D">
        <w:rPr>
          <w:rFonts w:ascii="Calibri" w:eastAsia="Calibri" w:hAnsi="Calibri" w:cs="Calibri"/>
        </w:rPr>
        <w:t xml:space="preserve">Dr Helen </w:t>
      </w:r>
      <w:proofErr w:type="spellStart"/>
      <w:r w:rsidRPr="0067199D">
        <w:rPr>
          <w:rFonts w:ascii="Calibri" w:eastAsia="Calibri" w:hAnsi="Calibri" w:cs="Calibri"/>
        </w:rPr>
        <w:t>Cleugh</w:t>
      </w:r>
      <w:proofErr w:type="spellEnd"/>
      <w:r w:rsidRPr="0067199D">
        <w:rPr>
          <w:rFonts w:ascii="Calibri" w:eastAsia="Calibri" w:hAnsi="Calibri" w:cs="Calibri"/>
        </w:rPr>
        <w:t>, Science Director, Oceans and Atmosphere Flagship, CSIRO</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Mr Alec Coles OBE, CEO, Western Australian Museum</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Dr Jackie Craig, Chief, Cyber and Electronic Warfare Division, Defence Science and Technology Group</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lastRenderedPageBreak/>
        <w:t>Dr Joanne Daly, Fellow, National Research Collections and Informatics, CSIRO</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Dr Cathy Foley, Chief, Division of Materials Science and Engineering, CSIRO</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A/Prof Peter Gibbs, Laboratory Head, Systems Biology and Personalised Medicine,</w:t>
      </w:r>
      <w:r w:rsidR="00DF7527">
        <w:rPr>
          <w:rFonts w:ascii="Calibri" w:eastAsia="Calibri" w:hAnsi="Calibri" w:cs="Calibri"/>
        </w:rPr>
        <w:t xml:space="preserve"> </w:t>
      </w:r>
      <w:r w:rsidRPr="0067199D">
        <w:rPr>
          <w:rFonts w:ascii="Calibri" w:eastAsia="Calibri" w:hAnsi="Calibri" w:cs="Calibri"/>
        </w:rPr>
        <w:t>Walter</w:t>
      </w:r>
      <w:r w:rsidR="00DF7527">
        <w:rPr>
          <w:rFonts w:ascii="Calibri" w:eastAsia="Calibri" w:hAnsi="Calibri" w:cs="Calibri"/>
        </w:rPr>
        <w:t> </w:t>
      </w:r>
      <w:r w:rsidRPr="0067199D">
        <w:rPr>
          <w:rFonts w:ascii="Calibri" w:eastAsia="Calibri" w:hAnsi="Calibri" w:cs="Calibri"/>
        </w:rPr>
        <w:t>and</w:t>
      </w:r>
      <w:r w:rsidR="00DF7527">
        <w:rPr>
          <w:rFonts w:ascii="Calibri" w:eastAsia="Calibri" w:hAnsi="Calibri" w:cs="Calibri"/>
        </w:rPr>
        <w:t> </w:t>
      </w:r>
      <w:r w:rsidRPr="0067199D">
        <w:rPr>
          <w:rFonts w:ascii="Calibri" w:eastAsia="Calibri" w:hAnsi="Calibri" w:cs="Calibri"/>
        </w:rPr>
        <w:t>Eliza</w:t>
      </w:r>
      <w:r w:rsidR="00DF7527">
        <w:rPr>
          <w:rFonts w:ascii="Calibri" w:eastAsia="Calibri" w:hAnsi="Calibri" w:cs="Calibri"/>
        </w:rPr>
        <w:t> </w:t>
      </w:r>
      <w:r w:rsidRPr="0067199D">
        <w:rPr>
          <w:rFonts w:ascii="Calibri" w:eastAsia="Calibri" w:hAnsi="Calibri" w:cs="Calibri"/>
        </w:rPr>
        <w:t>Hall</w:t>
      </w:r>
      <w:r w:rsidR="00DF7527">
        <w:rPr>
          <w:rFonts w:ascii="Calibri" w:eastAsia="Calibri" w:hAnsi="Calibri" w:cs="Calibri"/>
        </w:rPr>
        <w:t> </w:t>
      </w:r>
      <w:r w:rsidRPr="0067199D">
        <w:rPr>
          <w:rFonts w:ascii="Calibri" w:eastAsia="Calibri" w:hAnsi="Calibri" w:cs="Calibri"/>
        </w:rPr>
        <w:t>Institute</w:t>
      </w:r>
      <w:r w:rsidR="00DF7527">
        <w:rPr>
          <w:rFonts w:ascii="Calibri" w:eastAsia="Calibri" w:hAnsi="Calibri" w:cs="Calibri"/>
        </w:rPr>
        <w:t> </w:t>
      </w:r>
      <w:r w:rsidRPr="0067199D">
        <w:rPr>
          <w:rFonts w:ascii="Calibri" w:eastAsia="Calibri" w:hAnsi="Calibri" w:cs="Calibri"/>
        </w:rPr>
        <w:t>of</w:t>
      </w:r>
      <w:r w:rsidR="00DF7527">
        <w:rPr>
          <w:rFonts w:ascii="Calibri" w:eastAsia="Calibri" w:hAnsi="Calibri" w:cs="Calibri"/>
        </w:rPr>
        <w:t> </w:t>
      </w:r>
      <w:r w:rsidRPr="0067199D">
        <w:rPr>
          <w:rFonts w:ascii="Calibri" w:eastAsia="Calibri" w:hAnsi="Calibri" w:cs="Calibri"/>
        </w:rPr>
        <w:t>Medical</w:t>
      </w:r>
      <w:r w:rsidR="00DF7527">
        <w:rPr>
          <w:rFonts w:ascii="Calibri" w:eastAsia="Calibri" w:hAnsi="Calibri" w:cs="Calibri"/>
        </w:rPr>
        <w:t> </w:t>
      </w:r>
      <w:r w:rsidRPr="0067199D">
        <w:rPr>
          <w:rFonts w:ascii="Calibri" w:eastAsia="Calibri" w:hAnsi="Calibri" w:cs="Calibri"/>
        </w:rPr>
        <w:t>Research</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Prof Peter Gray, Research Leader, Mammalian Cell Lines and Stem Cell Bioprocesses,</w:t>
      </w:r>
      <w:r w:rsidR="006E20A1">
        <w:rPr>
          <w:rFonts w:ascii="Calibri" w:eastAsia="Calibri" w:hAnsi="Calibri" w:cs="Calibri"/>
        </w:rPr>
        <w:t xml:space="preserve"> </w:t>
      </w:r>
      <w:r w:rsidRPr="0067199D">
        <w:rPr>
          <w:rFonts w:ascii="Calibri" w:eastAsia="Calibri" w:hAnsi="Calibri" w:cs="Calibri"/>
        </w:rPr>
        <w:t>University</w:t>
      </w:r>
      <w:r w:rsidR="00DF7527">
        <w:rPr>
          <w:rFonts w:ascii="Calibri" w:eastAsia="Calibri" w:hAnsi="Calibri" w:cs="Calibri"/>
        </w:rPr>
        <w:t> </w:t>
      </w:r>
      <w:r w:rsidRPr="0067199D">
        <w:rPr>
          <w:rFonts w:ascii="Calibri" w:eastAsia="Calibri" w:hAnsi="Calibri" w:cs="Calibri"/>
        </w:rPr>
        <w:t>of</w:t>
      </w:r>
      <w:r w:rsidR="00DF7527">
        <w:rPr>
          <w:rFonts w:ascii="Calibri" w:eastAsia="Calibri" w:hAnsi="Calibri" w:cs="Calibri"/>
        </w:rPr>
        <w:t> </w:t>
      </w:r>
      <w:r w:rsidRPr="0067199D">
        <w:rPr>
          <w:rFonts w:ascii="Calibri" w:eastAsia="Calibri" w:hAnsi="Calibri" w:cs="Calibri"/>
        </w:rPr>
        <w:t>Queensland</w:t>
      </w:r>
    </w:p>
    <w:p w:rsidR="008834CA" w:rsidRPr="00D638CB" w:rsidRDefault="008834CA" w:rsidP="008834CA">
      <w:pPr>
        <w:spacing w:after="120" w:line="240" w:lineRule="auto"/>
        <w:rPr>
          <w:rFonts w:ascii="Calibri" w:eastAsia="Calibri" w:hAnsi="Calibri" w:cs="Calibri"/>
        </w:rPr>
      </w:pPr>
      <w:r w:rsidRPr="00D638CB">
        <w:rPr>
          <w:rFonts w:ascii="Calibri" w:eastAsia="Calibri" w:hAnsi="Calibri" w:cs="Calibri"/>
        </w:rPr>
        <w:t>Mr John Gunn, CEO, Australian Institute of Marine Science</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 xml:space="preserve">Ms </w:t>
      </w:r>
      <w:proofErr w:type="spellStart"/>
      <w:r w:rsidRPr="0067199D">
        <w:rPr>
          <w:rFonts w:ascii="Calibri" w:eastAsia="Calibri" w:hAnsi="Calibri" w:cs="Calibri"/>
        </w:rPr>
        <w:t>Cathrine</w:t>
      </w:r>
      <w:proofErr w:type="spellEnd"/>
      <w:r w:rsidRPr="0067199D">
        <w:rPr>
          <w:rFonts w:ascii="Calibri" w:eastAsia="Calibri" w:hAnsi="Calibri" w:cs="Calibri"/>
        </w:rPr>
        <w:t xml:space="preserve"> </w:t>
      </w:r>
      <w:proofErr w:type="spellStart"/>
      <w:r w:rsidRPr="0067199D">
        <w:rPr>
          <w:rFonts w:ascii="Calibri" w:eastAsia="Calibri" w:hAnsi="Calibri" w:cs="Calibri"/>
        </w:rPr>
        <w:t>Harboe-Ree</w:t>
      </w:r>
      <w:proofErr w:type="spellEnd"/>
      <w:r w:rsidRPr="0067199D">
        <w:rPr>
          <w:rFonts w:ascii="Calibri" w:eastAsia="Calibri" w:hAnsi="Calibri" w:cs="Calibri"/>
        </w:rPr>
        <w:t>, University Librarian, Monash University</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 xml:space="preserve">Prof Mark Hutchinson, Director, Centre for Nanoscale </w:t>
      </w:r>
      <w:proofErr w:type="spellStart"/>
      <w:r w:rsidRPr="0067199D">
        <w:rPr>
          <w:rFonts w:ascii="Calibri" w:eastAsia="Calibri" w:hAnsi="Calibri" w:cs="Calibri"/>
        </w:rPr>
        <w:t>Biophotonics</w:t>
      </w:r>
      <w:proofErr w:type="spellEnd"/>
      <w:r w:rsidRPr="0067199D">
        <w:rPr>
          <w:rFonts w:ascii="Calibri" w:eastAsia="Calibri" w:hAnsi="Calibri" w:cs="Calibri"/>
        </w:rPr>
        <w:t>, University of Adelaide</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Prof Sunil Lakhani, Head, Academic Discipline of Molecular and Cellular Pathology,</w:t>
      </w:r>
      <w:r w:rsidR="006E20A1">
        <w:rPr>
          <w:rFonts w:ascii="Calibri" w:eastAsia="Calibri" w:hAnsi="Calibri" w:cs="Calibri"/>
        </w:rPr>
        <w:t xml:space="preserve"> </w:t>
      </w:r>
      <w:r w:rsidRPr="0067199D">
        <w:rPr>
          <w:rFonts w:ascii="Calibri" w:eastAsia="Calibri" w:hAnsi="Calibri" w:cs="Calibri"/>
        </w:rPr>
        <w:t>University</w:t>
      </w:r>
      <w:r w:rsidR="00DF7527">
        <w:rPr>
          <w:rFonts w:ascii="Calibri" w:eastAsia="Calibri" w:hAnsi="Calibri" w:cs="Calibri"/>
        </w:rPr>
        <w:t> </w:t>
      </w:r>
      <w:r w:rsidRPr="0067199D">
        <w:rPr>
          <w:rFonts w:ascii="Calibri" w:eastAsia="Calibri" w:hAnsi="Calibri" w:cs="Calibri"/>
        </w:rPr>
        <w:t>of</w:t>
      </w:r>
      <w:r w:rsidR="00DF7527">
        <w:rPr>
          <w:rFonts w:ascii="Calibri" w:eastAsia="Calibri" w:hAnsi="Calibri" w:cs="Calibri"/>
        </w:rPr>
        <w:t> </w:t>
      </w:r>
      <w:r w:rsidRPr="0067199D">
        <w:rPr>
          <w:rFonts w:ascii="Calibri" w:eastAsia="Calibri" w:hAnsi="Calibri" w:cs="Calibri"/>
        </w:rPr>
        <w:t>Queensland</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Dr David Mitchell, CEO, Australian Centre for Plant Functional Genomics</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Prof Robyn Owens, Deputy Vice-Chancellor (Research), University of Western Australia</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 xml:space="preserve">Prof Bob </w:t>
      </w:r>
      <w:proofErr w:type="spellStart"/>
      <w:r w:rsidRPr="0067199D">
        <w:rPr>
          <w:rFonts w:ascii="Calibri" w:eastAsia="Calibri" w:hAnsi="Calibri" w:cs="Calibri"/>
        </w:rPr>
        <w:t>Pressey</w:t>
      </w:r>
      <w:proofErr w:type="spellEnd"/>
      <w:r w:rsidRPr="0067199D">
        <w:rPr>
          <w:rFonts w:ascii="Calibri" w:eastAsia="Calibri" w:hAnsi="Calibri" w:cs="Calibri"/>
        </w:rPr>
        <w:t>, Chief Investigator, ARC Centre for Excellence for Coral Reef Studies,</w:t>
      </w:r>
      <w:r w:rsidR="006E20A1">
        <w:rPr>
          <w:rFonts w:ascii="Calibri" w:eastAsia="Calibri" w:hAnsi="Calibri" w:cs="Calibri"/>
        </w:rPr>
        <w:t xml:space="preserve"> </w:t>
      </w:r>
      <w:r w:rsidRPr="0067199D">
        <w:rPr>
          <w:rFonts w:ascii="Calibri" w:eastAsia="Calibri" w:hAnsi="Calibri" w:cs="Calibri"/>
        </w:rPr>
        <w:t>James</w:t>
      </w:r>
      <w:r w:rsidR="00DF7527">
        <w:rPr>
          <w:rFonts w:ascii="Calibri" w:eastAsia="Calibri" w:hAnsi="Calibri" w:cs="Calibri"/>
        </w:rPr>
        <w:t> </w:t>
      </w:r>
      <w:r w:rsidRPr="0067199D">
        <w:rPr>
          <w:rFonts w:ascii="Calibri" w:eastAsia="Calibri" w:hAnsi="Calibri" w:cs="Calibri"/>
        </w:rPr>
        <w:t>Cook</w:t>
      </w:r>
      <w:r w:rsidR="00DF7527">
        <w:rPr>
          <w:rFonts w:ascii="Calibri" w:eastAsia="Calibri" w:hAnsi="Calibri" w:cs="Calibri"/>
        </w:rPr>
        <w:t> </w:t>
      </w:r>
      <w:r w:rsidRPr="0067199D">
        <w:rPr>
          <w:rFonts w:ascii="Calibri" w:eastAsia="Calibri" w:hAnsi="Calibri" w:cs="Calibri"/>
        </w:rPr>
        <w:t>University</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Prof Sally Redman AO, Chief Executive Officer, Sax Institute</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Prof Lynette Russell, Director, Monash Indigenous Centre, Monash University</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Prof Matthew Sanders, Director, Parenting and Family Support Centre, University of Queensland</w:t>
      </w:r>
    </w:p>
    <w:p w:rsidR="008834CA" w:rsidRPr="0067199D" w:rsidRDefault="008834CA" w:rsidP="008834CA">
      <w:pPr>
        <w:spacing w:after="120" w:line="240" w:lineRule="auto"/>
        <w:rPr>
          <w:rFonts w:ascii="Calibri" w:eastAsia="Calibri" w:hAnsi="Calibri" w:cs="Calibri"/>
        </w:rPr>
      </w:pPr>
      <w:r w:rsidRPr="0067199D">
        <w:rPr>
          <w:rFonts w:ascii="Calibri" w:eastAsia="Calibri" w:hAnsi="Calibri" w:cs="Calibri"/>
        </w:rPr>
        <w:t xml:space="preserve">Prof Timothy </w:t>
      </w:r>
      <w:proofErr w:type="spellStart"/>
      <w:r w:rsidRPr="0067199D">
        <w:rPr>
          <w:rFonts w:ascii="Calibri" w:eastAsia="Calibri" w:hAnsi="Calibri" w:cs="Calibri"/>
        </w:rPr>
        <w:t>Senden</w:t>
      </w:r>
      <w:proofErr w:type="spellEnd"/>
      <w:r w:rsidRPr="0067199D">
        <w:rPr>
          <w:rFonts w:ascii="Calibri" w:eastAsia="Calibri" w:hAnsi="Calibri" w:cs="Calibri"/>
        </w:rPr>
        <w:t>, School Director, Research School of Physics and Engineering,</w:t>
      </w:r>
      <w:r w:rsidR="006E20A1">
        <w:rPr>
          <w:rFonts w:ascii="Calibri" w:eastAsia="Calibri" w:hAnsi="Calibri" w:cs="Calibri"/>
        </w:rPr>
        <w:t xml:space="preserve"> </w:t>
      </w:r>
      <w:r w:rsidRPr="0067199D">
        <w:rPr>
          <w:rFonts w:ascii="Calibri" w:eastAsia="Calibri" w:hAnsi="Calibri" w:cs="Calibri"/>
        </w:rPr>
        <w:t>Australian</w:t>
      </w:r>
      <w:r w:rsidR="00DF7527">
        <w:rPr>
          <w:rFonts w:ascii="Calibri" w:eastAsia="Calibri" w:hAnsi="Calibri" w:cs="Calibri"/>
        </w:rPr>
        <w:t> </w:t>
      </w:r>
      <w:r w:rsidRPr="0067199D">
        <w:rPr>
          <w:rFonts w:ascii="Calibri" w:eastAsia="Calibri" w:hAnsi="Calibri" w:cs="Calibri"/>
        </w:rPr>
        <w:t>National</w:t>
      </w:r>
      <w:r w:rsidR="00DF7527">
        <w:rPr>
          <w:rFonts w:ascii="Calibri" w:eastAsia="Calibri" w:hAnsi="Calibri" w:cs="Calibri"/>
        </w:rPr>
        <w:t> </w:t>
      </w:r>
      <w:r w:rsidRPr="0067199D">
        <w:rPr>
          <w:rFonts w:ascii="Calibri" w:eastAsia="Calibri" w:hAnsi="Calibri" w:cs="Calibri"/>
        </w:rPr>
        <w:t>University</w:t>
      </w:r>
    </w:p>
    <w:p w:rsidR="008834CA" w:rsidRDefault="008834CA" w:rsidP="008834CA">
      <w:pPr>
        <w:rPr>
          <w:rFonts w:eastAsia="Calibri"/>
        </w:rPr>
      </w:pPr>
    </w:p>
    <w:p w:rsidR="00DE3C7E" w:rsidRDefault="00DE3C7E">
      <w:pPr>
        <w:rPr>
          <w:rFonts w:eastAsia="Calibri"/>
        </w:rPr>
      </w:pPr>
      <w:r>
        <w:rPr>
          <w:rFonts w:eastAsia="Calibri"/>
        </w:rPr>
        <w:br w:type="page"/>
      </w:r>
    </w:p>
    <w:p w:rsidR="00DE3C7E" w:rsidRDefault="00DE3C7E">
      <w:pPr>
        <w:rPr>
          <w:rFonts w:eastAsia="Calibri"/>
        </w:rPr>
        <w:sectPr w:rsidR="00DE3C7E" w:rsidSect="00E41495">
          <w:headerReference w:type="even" r:id="rId29"/>
          <w:footerReference w:type="default" r:id="rId30"/>
          <w:headerReference w:type="first" r:id="rId31"/>
          <w:pgSz w:w="11906" w:h="16838"/>
          <w:pgMar w:top="1985" w:right="1440" w:bottom="1134" w:left="1440" w:header="708" w:footer="1011" w:gutter="0"/>
          <w:cols w:space="708"/>
          <w:docGrid w:linePitch="360"/>
        </w:sectPr>
      </w:pPr>
    </w:p>
    <w:p w:rsidR="00DE3C7E" w:rsidRDefault="00DE3C7E" w:rsidP="00676CA8">
      <w:pPr>
        <w:pStyle w:val="Heading1"/>
        <w:numPr>
          <w:ilvl w:val="0"/>
          <w:numId w:val="0"/>
        </w:numPr>
        <w:ind w:left="2410" w:hanging="2410"/>
        <w:rPr>
          <w:rFonts w:eastAsia="Calibri"/>
        </w:rPr>
      </w:pPr>
      <w:bookmarkStart w:id="54" w:name="_Toc456449031"/>
      <w:r w:rsidRPr="00676CA8">
        <w:rPr>
          <w:rFonts w:eastAsia="Calibri"/>
        </w:rPr>
        <w:lastRenderedPageBreak/>
        <w:t>Attachment C – Mapping the research infrastructure capability focus areas against the National Science and Research Priorities</w:t>
      </w:r>
      <w:bookmarkEnd w:id="54"/>
    </w:p>
    <w:p w:rsidR="00DE3C7E" w:rsidRPr="00676CA8" w:rsidRDefault="00DE3C7E" w:rsidP="00AC70B4"/>
    <w:tbl>
      <w:tblPr>
        <w:tblStyle w:val="TableGrid"/>
        <w:tblW w:w="5334" w:type="pct"/>
        <w:tblInd w:w="-318" w:type="dxa"/>
        <w:tblLayout w:type="fixed"/>
        <w:tblLook w:val="04A0" w:firstRow="1" w:lastRow="0" w:firstColumn="1" w:lastColumn="0" w:noHBand="0" w:noVBand="1"/>
        <w:tblCaption w:val="Table mapping research infrastructure capability focus against National Science &amp; Research Priorities"/>
      </w:tblPr>
      <w:tblGrid>
        <w:gridCol w:w="572"/>
        <w:gridCol w:w="2690"/>
        <w:gridCol w:w="1322"/>
        <w:gridCol w:w="1323"/>
        <w:gridCol w:w="1323"/>
        <w:gridCol w:w="1323"/>
        <w:gridCol w:w="1323"/>
        <w:gridCol w:w="1323"/>
        <w:gridCol w:w="1323"/>
        <w:gridCol w:w="1323"/>
        <w:gridCol w:w="1323"/>
      </w:tblGrid>
      <w:tr w:rsidR="00DE3C7E" w:rsidRPr="0000777B" w:rsidTr="00655981">
        <w:tc>
          <w:tcPr>
            <w:tcW w:w="189" w:type="pct"/>
            <w:vMerge w:val="restart"/>
            <w:tcBorders>
              <w:right w:val="nil"/>
            </w:tcBorders>
            <w:shd w:val="clear" w:color="auto" w:fill="000000" w:themeFill="text1"/>
            <w:textDirection w:val="btLr"/>
          </w:tcPr>
          <w:p w:rsidR="00DE3C7E" w:rsidRPr="000940FA" w:rsidRDefault="00DE3C7E" w:rsidP="00655981">
            <w:pPr>
              <w:ind w:left="113" w:right="113"/>
              <w:rPr>
                <w:b/>
                <w:sz w:val="24"/>
                <w:szCs w:val="24"/>
              </w:rPr>
            </w:pPr>
            <w:r w:rsidRPr="000940FA">
              <w:rPr>
                <w:b/>
                <w:sz w:val="24"/>
                <w:szCs w:val="24"/>
              </w:rPr>
              <w:t>National Research Infrast</w:t>
            </w:r>
            <w:r>
              <w:rPr>
                <w:b/>
                <w:sz w:val="24"/>
                <w:szCs w:val="24"/>
              </w:rPr>
              <w:t xml:space="preserve">ructure </w:t>
            </w:r>
            <w:r w:rsidRPr="000940FA">
              <w:rPr>
                <w:b/>
                <w:sz w:val="24"/>
                <w:szCs w:val="24"/>
              </w:rPr>
              <w:t>Capabil</w:t>
            </w:r>
            <w:r>
              <w:rPr>
                <w:b/>
                <w:sz w:val="24"/>
                <w:szCs w:val="24"/>
              </w:rPr>
              <w:t>ities</w:t>
            </w:r>
          </w:p>
        </w:tc>
        <w:tc>
          <w:tcPr>
            <w:tcW w:w="887" w:type="pct"/>
            <w:vMerge w:val="restart"/>
            <w:tcBorders>
              <w:left w:val="nil"/>
              <w:right w:val="nil"/>
            </w:tcBorders>
            <w:shd w:val="clear" w:color="auto" w:fill="000000" w:themeFill="text1"/>
            <w:vAlign w:val="center"/>
          </w:tcPr>
          <w:p w:rsidR="00DE3C7E" w:rsidRPr="002E1112" w:rsidRDefault="00DE3C7E" w:rsidP="00655981">
            <w:pPr>
              <w:jc w:val="center"/>
              <w:rPr>
                <w:b/>
                <w:sz w:val="24"/>
                <w:szCs w:val="20"/>
              </w:rPr>
            </w:pPr>
            <w:r>
              <w:rPr>
                <w:b/>
                <w:sz w:val="24"/>
                <w:szCs w:val="20"/>
              </w:rPr>
              <w:t>Focus Areas</w:t>
            </w:r>
          </w:p>
        </w:tc>
        <w:tc>
          <w:tcPr>
            <w:tcW w:w="3923" w:type="pct"/>
            <w:gridSpan w:val="9"/>
            <w:tcBorders>
              <w:left w:val="nil"/>
            </w:tcBorders>
            <w:shd w:val="clear" w:color="auto" w:fill="000000" w:themeFill="text1"/>
          </w:tcPr>
          <w:p w:rsidR="00DE3C7E" w:rsidRPr="00747CEB" w:rsidRDefault="00DE3C7E" w:rsidP="00655981">
            <w:pPr>
              <w:spacing w:before="120"/>
              <w:jc w:val="center"/>
              <w:rPr>
                <w:b/>
                <w:sz w:val="20"/>
                <w:szCs w:val="20"/>
              </w:rPr>
            </w:pPr>
            <w:r w:rsidRPr="00DA2B15">
              <w:rPr>
                <w:rFonts w:eastAsiaTheme="minorHAnsi"/>
                <w:b/>
                <w:sz w:val="24"/>
                <w:szCs w:val="20"/>
              </w:rPr>
              <w:t>National Science and Research Priorities</w:t>
            </w:r>
          </w:p>
        </w:tc>
      </w:tr>
      <w:tr w:rsidR="00DE3C7E" w:rsidRPr="0000777B" w:rsidTr="00DE3C7E">
        <w:tc>
          <w:tcPr>
            <w:tcW w:w="189" w:type="pct"/>
            <w:vMerge/>
            <w:tcBorders>
              <w:right w:val="nil"/>
            </w:tcBorders>
            <w:shd w:val="clear" w:color="auto" w:fill="000000" w:themeFill="text1"/>
          </w:tcPr>
          <w:p w:rsidR="00DE3C7E" w:rsidRPr="002E1112" w:rsidRDefault="00DE3C7E" w:rsidP="00655981">
            <w:pPr>
              <w:rPr>
                <w:sz w:val="24"/>
                <w:szCs w:val="20"/>
              </w:rPr>
            </w:pPr>
          </w:p>
        </w:tc>
        <w:tc>
          <w:tcPr>
            <w:tcW w:w="887" w:type="pct"/>
            <w:vMerge/>
            <w:tcBorders>
              <w:left w:val="nil"/>
            </w:tcBorders>
            <w:shd w:val="clear" w:color="auto" w:fill="000000" w:themeFill="text1"/>
          </w:tcPr>
          <w:p w:rsidR="00DE3C7E" w:rsidRPr="002E1112" w:rsidRDefault="00DE3C7E" w:rsidP="00655981">
            <w:pPr>
              <w:rPr>
                <w:sz w:val="24"/>
                <w:szCs w:val="20"/>
              </w:rPr>
            </w:pPr>
          </w:p>
        </w:tc>
        <w:tc>
          <w:tcPr>
            <w:tcW w:w="436" w:type="pct"/>
            <w:shd w:val="clear" w:color="auto" w:fill="EBD6B1" w:themeFill="accent5" w:themeFillTint="66"/>
            <w:vAlign w:val="bottom"/>
          </w:tcPr>
          <w:p w:rsidR="00DE3C7E" w:rsidRPr="00BB2D1E" w:rsidRDefault="00DE3C7E" w:rsidP="00655981">
            <w:pPr>
              <w:spacing w:before="120"/>
              <w:jc w:val="center"/>
              <w:rPr>
                <w:b/>
                <w:sz w:val="20"/>
                <w:szCs w:val="24"/>
              </w:rPr>
            </w:pPr>
            <w:r w:rsidRPr="00BB2D1E">
              <w:rPr>
                <w:b/>
                <w:sz w:val="20"/>
                <w:szCs w:val="24"/>
              </w:rPr>
              <w:t>Food</w:t>
            </w:r>
          </w:p>
        </w:tc>
        <w:tc>
          <w:tcPr>
            <w:tcW w:w="436" w:type="pct"/>
            <w:shd w:val="clear" w:color="auto" w:fill="EBD6B1" w:themeFill="accent5" w:themeFillTint="66"/>
            <w:vAlign w:val="bottom"/>
          </w:tcPr>
          <w:p w:rsidR="00DE3C7E" w:rsidRPr="00BB2D1E" w:rsidRDefault="00DE3C7E" w:rsidP="00655981">
            <w:pPr>
              <w:spacing w:before="120"/>
              <w:jc w:val="center"/>
              <w:rPr>
                <w:b/>
                <w:sz w:val="20"/>
                <w:szCs w:val="24"/>
              </w:rPr>
            </w:pPr>
            <w:r w:rsidRPr="00BB2D1E">
              <w:rPr>
                <w:b/>
                <w:sz w:val="20"/>
                <w:szCs w:val="24"/>
              </w:rPr>
              <w:t>Soil and</w:t>
            </w:r>
            <w:r w:rsidRPr="00BB2D1E">
              <w:rPr>
                <w:b/>
                <w:sz w:val="20"/>
                <w:szCs w:val="24"/>
              </w:rPr>
              <w:br/>
              <w:t>Water</w:t>
            </w:r>
          </w:p>
        </w:tc>
        <w:tc>
          <w:tcPr>
            <w:tcW w:w="436" w:type="pct"/>
            <w:shd w:val="clear" w:color="auto" w:fill="EBD6B1" w:themeFill="accent5" w:themeFillTint="66"/>
            <w:vAlign w:val="bottom"/>
          </w:tcPr>
          <w:p w:rsidR="00DE3C7E" w:rsidRPr="00BB2D1E" w:rsidRDefault="00DE3C7E" w:rsidP="00655981">
            <w:pPr>
              <w:spacing w:before="120"/>
              <w:ind w:left="-106" w:right="-108"/>
              <w:jc w:val="center"/>
              <w:rPr>
                <w:b/>
                <w:sz w:val="20"/>
                <w:szCs w:val="24"/>
              </w:rPr>
            </w:pPr>
            <w:r w:rsidRPr="00BB2D1E">
              <w:rPr>
                <w:b/>
                <w:sz w:val="20"/>
                <w:szCs w:val="24"/>
              </w:rPr>
              <w:t>Transport</w:t>
            </w:r>
          </w:p>
        </w:tc>
        <w:tc>
          <w:tcPr>
            <w:tcW w:w="436" w:type="pct"/>
            <w:shd w:val="clear" w:color="auto" w:fill="EBD6B1" w:themeFill="accent5" w:themeFillTint="66"/>
            <w:vAlign w:val="bottom"/>
          </w:tcPr>
          <w:p w:rsidR="00DE3C7E" w:rsidRPr="00BB2D1E" w:rsidRDefault="00DE3C7E" w:rsidP="00655981">
            <w:pPr>
              <w:spacing w:before="120"/>
              <w:jc w:val="center"/>
              <w:rPr>
                <w:b/>
                <w:sz w:val="20"/>
                <w:szCs w:val="24"/>
              </w:rPr>
            </w:pPr>
            <w:r w:rsidRPr="00BB2D1E">
              <w:rPr>
                <w:b/>
                <w:sz w:val="20"/>
                <w:szCs w:val="24"/>
              </w:rPr>
              <w:t>Cyber</w:t>
            </w:r>
            <w:r w:rsidRPr="00BB2D1E">
              <w:rPr>
                <w:b/>
                <w:sz w:val="20"/>
                <w:szCs w:val="24"/>
              </w:rPr>
              <w:br/>
              <w:t>Security</w:t>
            </w:r>
          </w:p>
        </w:tc>
        <w:tc>
          <w:tcPr>
            <w:tcW w:w="436" w:type="pct"/>
            <w:shd w:val="clear" w:color="auto" w:fill="EBD6B1" w:themeFill="accent5" w:themeFillTint="66"/>
            <w:vAlign w:val="bottom"/>
          </w:tcPr>
          <w:p w:rsidR="00DE3C7E" w:rsidRPr="00BB2D1E" w:rsidRDefault="00DE3C7E" w:rsidP="00655981">
            <w:pPr>
              <w:spacing w:before="120"/>
              <w:jc w:val="center"/>
              <w:rPr>
                <w:b/>
                <w:sz w:val="20"/>
                <w:szCs w:val="24"/>
              </w:rPr>
            </w:pPr>
            <w:r w:rsidRPr="00BB2D1E">
              <w:rPr>
                <w:b/>
                <w:sz w:val="20"/>
                <w:szCs w:val="24"/>
              </w:rPr>
              <w:t>Energy</w:t>
            </w:r>
          </w:p>
        </w:tc>
        <w:tc>
          <w:tcPr>
            <w:tcW w:w="436" w:type="pct"/>
            <w:shd w:val="clear" w:color="auto" w:fill="EBD6B1" w:themeFill="accent5" w:themeFillTint="66"/>
            <w:vAlign w:val="bottom"/>
          </w:tcPr>
          <w:p w:rsidR="00DE3C7E" w:rsidRPr="00BB2D1E" w:rsidRDefault="00DE3C7E" w:rsidP="00655981">
            <w:pPr>
              <w:spacing w:before="120"/>
              <w:ind w:left="-188" w:right="-104"/>
              <w:jc w:val="center"/>
              <w:rPr>
                <w:b/>
                <w:sz w:val="20"/>
                <w:szCs w:val="24"/>
              </w:rPr>
            </w:pPr>
            <w:r w:rsidRPr="00BB2D1E">
              <w:rPr>
                <w:b/>
                <w:sz w:val="20"/>
                <w:szCs w:val="24"/>
              </w:rPr>
              <w:t>Resources</w:t>
            </w:r>
          </w:p>
        </w:tc>
        <w:tc>
          <w:tcPr>
            <w:tcW w:w="436" w:type="pct"/>
            <w:shd w:val="clear" w:color="auto" w:fill="EBD6B1" w:themeFill="accent5" w:themeFillTint="66"/>
            <w:vAlign w:val="bottom"/>
          </w:tcPr>
          <w:p w:rsidR="00DE3C7E" w:rsidRPr="00BB2D1E" w:rsidRDefault="00DE3C7E" w:rsidP="00655981">
            <w:pPr>
              <w:spacing w:before="120"/>
              <w:ind w:left="-155" w:right="-108"/>
              <w:jc w:val="center"/>
              <w:rPr>
                <w:b/>
                <w:sz w:val="20"/>
                <w:szCs w:val="24"/>
              </w:rPr>
            </w:pPr>
            <w:r w:rsidRPr="00BB2D1E">
              <w:rPr>
                <w:b/>
                <w:sz w:val="20"/>
                <w:szCs w:val="24"/>
              </w:rPr>
              <w:t>Advanced</w:t>
            </w:r>
            <w:r w:rsidRPr="00BB2D1E">
              <w:rPr>
                <w:b/>
                <w:sz w:val="20"/>
                <w:szCs w:val="24"/>
              </w:rPr>
              <w:br/>
              <w:t>Manufacturing</w:t>
            </w:r>
          </w:p>
        </w:tc>
        <w:tc>
          <w:tcPr>
            <w:tcW w:w="436" w:type="pct"/>
            <w:shd w:val="clear" w:color="auto" w:fill="EBD6B1" w:themeFill="accent5" w:themeFillTint="66"/>
            <w:vAlign w:val="bottom"/>
          </w:tcPr>
          <w:p w:rsidR="00DE3C7E" w:rsidRPr="00BB2D1E" w:rsidRDefault="00DE3C7E" w:rsidP="00655981">
            <w:pPr>
              <w:spacing w:before="120"/>
              <w:ind w:left="-109" w:right="-107"/>
              <w:jc w:val="center"/>
              <w:rPr>
                <w:b/>
                <w:sz w:val="20"/>
                <w:szCs w:val="24"/>
              </w:rPr>
            </w:pPr>
            <w:r w:rsidRPr="00BB2D1E">
              <w:rPr>
                <w:b/>
                <w:sz w:val="20"/>
                <w:szCs w:val="24"/>
              </w:rPr>
              <w:t>Environmental</w:t>
            </w:r>
            <w:r w:rsidRPr="00BB2D1E">
              <w:rPr>
                <w:b/>
                <w:sz w:val="20"/>
                <w:szCs w:val="24"/>
              </w:rPr>
              <w:br/>
              <w:t>Change</w:t>
            </w:r>
          </w:p>
        </w:tc>
        <w:tc>
          <w:tcPr>
            <w:tcW w:w="436" w:type="pct"/>
            <w:shd w:val="clear" w:color="auto" w:fill="EBD6B1" w:themeFill="accent5" w:themeFillTint="66"/>
            <w:vAlign w:val="bottom"/>
          </w:tcPr>
          <w:p w:rsidR="00DE3C7E" w:rsidRPr="00BB2D1E" w:rsidRDefault="00DE3C7E" w:rsidP="00655981">
            <w:pPr>
              <w:spacing w:before="120"/>
              <w:jc w:val="center"/>
              <w:rPr>
                <w:b/>
                <w:sz w:val="20"/>
                <w:szCs w:val="24"/>
              </w:rPr>
            </w:pPr>
            <w:r w:rsidRPr="00BB2D1E">
              <w:rPr>
                <w:b/>
                <w:sz w:val="20"/>
                <w:szCs w:val="24"/>
              </w:rPr>
              <w:t>Health</w:t>
            </w:r>
          </w:p>
        </w:tc>
      </w:tr>
      <w:tr w:rsidR="00DE3C7E" w:rsidRPr="0000777B" w:rsidTr="00676CA8">
        <w:tc>
          <w:tcPr>
            <w:tcW w:w="189" w:type="pct"/>
            <w:vMerge/>
            <w:shd w:val="clear" w:color="auto" w:fill="A75534" w:themeFill="accent6"/>
          </w:tcPr>
          <w:p w:rsidR="00DE3C7E" w:rsidRPr="002E1112" w:rsidRDefault="00DE3C7E" w:rsidP="00655981">
            <w:pPr>
              <w:spacing w:before="120"/>
              <w:rPr>
                <w:b/>
                <w:sz w:val="24"/>
                <w:szCs w:val="20"/>
              </w:rPr>
            </w:pPr>
          </w:p>
        </w:tc>
        <w:tc>
          <w:tcPr>
            <w:tcW w:w="887" w:type="pct"/>
            <w:shd w:val="clear" w:color="auto" w:fill="FFC000"/>
            <w:vAlign w:val="center"/>
          </w:tcPr>
          <w:p w:rsidR="00DE3C7E" w:rsidRPr="002E1112" w:rsidRDefault="00DE3C7E" w:rsidP="00655981">
            <w:pPr>
              <w:spacing w:before="120"/>
              <w:rPr>
                <w:b/>
                <w:sz w:val="24"/>
                <w:szCs w:val="20"/>
              </w:rPr>
            </w:pPr>
            <w:r w:rsidRPr="002E1112">
              <w:rPr>
                <w:b/>
                <w:sz w:val="24"/>
                <w:szCs w:val="20"/>
              </w:rPr>
              <w:t>Health and Medical Science</w:t>
            </w:r>
          </w:p>
        </w:tc>
        <w:tc>
          <w:tcPr>
            <w:tcW w:w="436" w:type="pct"/>
            <w:tcBorders>
              <w:bottom w:val="single" w:sz="4" w:space="0" w:color="auto"/>
            </w:tcBorders>
            <w:shd w:val="clear" w:color="auto" w:fill="auto"/>
            <w:vAlign w:val="center"/>
          </w:tcPr>
          <w:p w:rsidR="00DE3C7E" w:rsidRPr="00747CEB" w:rsidRDefault="00DE3C7E" w:rsidP="00655981">
            <w:pPr>
              <w:spacing w:before="120" w:after="120"/>
              <w:jc w:val="center"/>
              <w:rPr>
                <w:b/>
                <w:sz w:val="20"/>
                <w:szCs w:val="20"/>
              </w:rPr>
            </w:pPr>
          </w:p>
        </w:tc>
        <w:tc>
          <w:tcPr>
            <w:tcW w:w="436" w:type="pct"/>
            <w:tcBorders>
              <w:bottom w:val="single" w:sz="4" w:space="0" w:color="auto"/>
            </w:tcBorders>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autoSpaceDE w:val="0"/>
              <w:autoSpaceDN w:val="0"/>
              <w:adjustRightInd w:val="0"/>
              <w:spacing w:before="120" w:after="120"/>
              <w:jc w:val="center"/>
              <w:rPr>
                <w:b/>
                <w:sz w:val="20"/>
                <w:szCs w:val="20"/>
              </w:rPr>
            </w:pPr>
            <w:r w:rsidRPr="00747CEB">
              <w:rPr>
                <w:rFonts w:ascii="Wingdings" w:hAnsi="Wingdings" w:cs="Wingdings"/>
                <w:b/>
                <w:sz w:val="20"/>
                <w:szCs w:val="20"/>
              </w:rPr>
              <w:t></w:t>
            </w:r>
          </w:p>
        </w:tc>
      </w:tr>
      <w:tr w:rsidR="00DE3C7E" w:rsidRPr="0000777B" w:rsidTr="00676CA8">
        <w:tc>
          <w:tcPr>
            <w:tcW w:w="189" w:type="pct"/>
            <w:vMerge/>
            <w:shd w:val="clear" w:color="auto" w:fill="A75534" w:themeFill="accent6"/>
          </w:tcPr>
          <w:p w:rsidR="00DE3C7E" w:rsidRPr="002E1112" w:rsidRDefault="00DE3C7E" w:rsidP="00655981">
            <w:pPr>
              <w:spacing w:before="120"/>
              <w:rPr>
                <w:b/>
                <w:sz w:val="24"/>
                <w:szCs w:val="20"/>
              </w:rPr>
            </w:pPr>
          </w:p>
        </w:tc>
        <w:tc>
          <w:tcPr>
            <w:tcW w:w="887" w:type="pct"/>
            <w:tcBorders>
              <w:right w:val="single" w:sz="4" w:space="0" w:color="auto"/>
            </w:tcBorders>
            <w:shd w:val="clear" w:color="auto" w:fill="FFC000"/>
            <w:vAlign w:val="center"/>
          </w:tcPr>
          <w:p w:rsidR="00DE3C7E" w:rsidRPr="002E1112" w:rsidRDefault="00DE3C7E" w:rsidP="00655981">
            <w:pPr>
              <w:spacing w:before="120"/>
              <w:rPr>
                <w:b/>
                <w:sz w:val="24"/>
                <w:szCs w:val="20"/>
              </w:rPr>
            </w:pPr>
            <w:r w:rsidRPr="002E1112">
              <w:rPr>
                <w:b/>
                <w:sz w:val="24"/>
                <w:szCs w:val="20"/>
              </w:rPr>
              <w:t>Environment and Natural Resource Management</w:t>
            </w:r>
          </w:p>
        </w:tc>
        <w:tc>
          <w:tcPr>
            <w:tcW w:w="436" w:type="pct"/>
            <w:tcBorders>
              <w:left w:val="single" w:sz="4" w:space="0" w:color="auto"/>
              <w:bottom w:val="single" w:sz="4" w:space="0" w:color="auto"/>
              <w:right w:val="single" w:sz="4" w:space="0" w:color="auto"/>
            </w:tcBorders>
            <w:shd w:val="clear" w:color="auto" w:fill="auto"/>
            <w:vAlign w:val="center"/>
          </w:tcPr>
          <w:p w:rsidR="00DE3C7E" w:rsidRPr="00747CEB" w:rsidRDefault="00DE3C7E" w:rsidP="00655981">
            <w:pPr>
              <w:autoSpaceDE w:val="0"/>
              <w:autoSpaceDN w:val="0"/>
              <w:adjustRightInd w:val="0"/>
              <w:spacing w:before="120" w:after="120"/>
              <w:jc w:val="center"/>
              <w:rPr>
                <w:b/>
                <w:sz w:val="20"/>
                <w:szCs w:val="20"/>
              </w:rPr>
            </w:pPr>
            <w:r w:rsidRPr="00747CEB">
              <w:rPr>
                <w:rFonts w:ascii="Wingdings" w:hAnsi="Wingdings" w:cs="Wingdings"/>
                <w:b/>
                <w:sz w:val="20"/>
                <w:szCs w:val="20"/>
              </w:rPr>
              <w:t></w:t>
            </w:r>
          </w:p>
        </w:tc>
        <w:tc>
          <w:tcPr>
            <w:tcW w:w="436" w:type="pct"/>
            <w:tcBorders>
              <w:left w:val="single" w:sz="4" w:space="0" w:color="auto"/>
              <w:right w:val="single" w:sz="4" w:space="0" w:color="auto"/>
            </w:tcBorders>
            <w:shd w:val="clear" w:color="auto" w:fill="auto"/>
            <w:vAlign w:val="center"/>
          </w:tcPr>
          <w:p w:rsidR="00DE3C7E" w:rsidRPr="00747CEB" w:rsidRDefault="00DE3C7E" w:rsidP="00655981">
            <w:pPr>
              <w:autoSpaceDE w:val="0"/>
              <w:autoSpaceDN w:val="0"/>
              <w:adjustRightInd w:val="0"/>
              <w:spacing w:before="120" w:after="120"/>
              <w:jc w:val="center"/>
              <w:rPr>
                <w:b/>
                <w:sz w:val="20"/>
                <w:szCs w:val="20"/>
              </w:rPr>
            </w:pPr>
            <w:r w:rsidRPr="00747CEB">
              <w:rPr>
                <w:rFonts w:ascii="Wingdings" w:hAnsi="Wingdings" w:cs="Wingdings"/>
                <w:b/>
                <w:sz w:val="20"/>
                <w:szCs w:val="20"/>
              </w:rPr>
              <w:t></w:t>
            </w:r>
          </w:p>
        </w:tc>
        <w:tc>
          <w:tcPr>
            <w:tcW w:w="436" w:type="pct"/>
            <w:tcBorders>
              <w:left w:val="single" w:sz="4" w:space="0" w:color="auto"/>
            </w:tcBorders>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autoSpaceDE w:val="0"/>
              <w:autoSpaceDN w:val="0"/>
              <w:adjustRightInd w:val="0"/>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autoSpaceDE w:val="0"/>
              <w:autoSpaceDN w:val="0"/>
              <w:adjustRightInd w:val="0"/>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p>
        </w:tc>
      </w:tr>
      <w:tr w:rsidR="00DE3C7E" w:rsidRPr="0000777B" w:rsidTr="00676CA8">
        <w:tc>
          <w:tcPr>
            <w:tcW w:w="189" w:type="pct"/>
            <w:vMerge/>
            <w:shd w:val="clear" w:color="auto" w:fill="A75534" w:themeFill="accent6"/>
          </w:tcPr>
          <w:p w:rsidR="00DE3C7E" w:rsidRPr="002E1112" w:rsidRDefault="00DE3C7E" w:rsidP="00655981">
            <w:pPr>
              <w:spacing w:before="120"/>
              <w:rPr>
                <w:b/>
                <w:sz w:val="24"/>
                <w:szCs w:val="20"/>
              </w:rPr>
            </w:pPr>
          </w:p>
        </w:tc>
        <w:tc>
          <w:tcPr>
            <w:tcW w:w="887" w:type="pct"/>
            <w:shd w:val="clear" w:color="auto" w:fill="FFC000"/>
            <w:vAlign w:val="center"/>
          </w:tcPr>
          <w:p w:rsidR="00DE3C7E" w:rsidRPr="002E1112" w:rsidRDefault="00DE3C7E" w:rsidP="00655981">
            <w:pPr>
              <w:spacing w:before="120"/>
              <w:rPr>
                <w:b/>
                <w:sz w:val="24"/>
                <w:szCs w:val="20"/>
              </w:rPr>
            </w:pPr>
            <w:r w:rsidRPr="002E1112">
              <w:rPr>
                <w:b/>
                <w:sz w:val="24"/>
                <w:szCs w:val="20"/>
              </w:rPr>
              <w:t>Advanced Physics, Chemistry, Mathematics and Materials</w:t>
            </w:r>
          </w:p>
        </w:tc>
        <w:tc>
          <w:tcPr>
            <w:tcW w:w="436" w:type="pct"/>
            <w:tcBorders>
              <w:top w:val="single" w:sz="4" w:space="0" w:color="auto"/>
            </w:tcBorders>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autoSpaceDE w:val="0"/>
              <w:autoSpaceDN w:val="0"/>
              <w:adjustRightInd w:val="0"/>
              <w:spacing w:before="120" w:after="120"/>
              <w:jc w:val="center"/>
              <w:rPr>
                <w:rFonts w:ascii="MS Shell Dlg 2" w:hAnsi="MS Shell Dlg 2" w:cs="MS Shell Dlg 2"/>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autoSpaceDE w:val="0"/>
              <w:autoSpaceDN w:val="0"/>
              <w:adjustRightInd w:val="0"/>
              <w:spacing w:before="120" w:after="120"/>
              <w:jc w:val="center"/>
              <w:rPr>
                <w:rFonts w:ascii="MS Shell Dlg 2" w:hAnsi="MS Shell Dlg 2" w:cs="MS Shell Dlg 2"/>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r>
      <w:tr w:rsidR="00DE3C7E" w:rsidRPr="0000777B" w:rsidTr="00676CA8">
        <w:tc>
          <w:tcPr>
            <w:tcW w:w="189" w:type="pct"/>
            <w:vMerge/>
            <w:shd w:val="clear" w:color="auto" w:fill="A75534" w:themeFill="accent6"/>
          </w:tcPr>
          <w:p w:rsidR="00DE3C7E" w:rsidRPr="002E1112" w:rsidRDefault="00DE3C7E" w:rsidP="00655981">
            <w:pPr>
              <w:spacing w:before="120"/>
              <w:rPr>
                <w:b/>
                <w:sz w:val="24"/>
                <w:szCs w:val="20"/>
              </w:rPr>
            </w:pPr>
          </w:p>
        </w:tc>
        <w:tc>
          <w:tcPr>
            <w:tcW w:w="887" w:type="pct"/>
            <w:shd w:val="clear" w:color="auto" w:fill="FFC000"/>
            <w:vAlign w:val="center"/>
          </w:tcPr>
          <w:p w:rsidR="00DE3C7E" w:rsidRPr="002E1112" w:rsidRDefault="00DE3C7E" w:rsidP="00655981">
            <w:pPr>
              <w:spacing w:before="120"/>
              <w:rPr>
                <w:b/>
                <w:sz w:val="24"/>
                <w:szCs w:val="20"/>
              </w:rPr>
            </w:pPr>
            <w:r w:rsidRPr="002E1112">
              <w:rPr>
                <w:b/>
                <w:sz w:val="24"/>
                <w:szCs w:val="20"/>
              </w:rPr>
              <w:t>Understanding Cultures and Communities</w:t>
            </w: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autoSpaceDE w:val="0"/>
              <w:autoSpaceDN w:val="0"/>
              <w:adjustRightInd w:val="0"/>
              <w:spacing w:before="120" w:after="120"/>
              <w:jc w:val="center"/>
              <w:rPr>
                <w:rFonts w:ascii="MS Shell Dlg 2" w:hAnsi="MS Shell Dlg 2" w:cs="MS Shell Dlg 2"/>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r>
      <w:tr w:rsidR="00DE3C7E" w:rsidRPr="0000777B" w:rsidTr="00676CA8">
        <w:tc>
          <w:tcPr>
            <w:tcW w:w="189" w:type="pct"/>
            <w:vMerge/>
            <w:shd w:val="clear" w:color="auto" w:fill="A75534" w:themeFill="accent6"/>
          </w:tcPr>
          <w:p w:rsidR="00DE3C7E" w:rsidRPr="002E1112" w:rsidRDefault="00DE3C7E" w:rsidP="00655981">
            <w:pPr>
              <w:spacing w:before="120"/>
              <w:rPr>
                <w:b/>
                <w:sz w:val="24"/>
                <w:szCs w:val="20"/>
              </w:rPr>
            </w:pPr>
          </w:p>
        </w:tc>
        <w:tc>
          <w:tcPr>
            <w:tcW w:w="887" w:type="pct"/>
            <w:shd w:val="clear" w:color="auto" w:fill="FFC000"/>
            <w:vAlign w:val="center"/>
          </w:tcPr>
          <w:p w:rsidR="00DE3C7E" w:rsidRPr="002E1112" w:rsidRDefault="00DE3C7E" w:rsidP="00655981">
            <w:pPr>
              <w:spacing w:before="120"/>
              <w:rPr>
                <w:b/>
                <w:sz w:val="24"/>
                <w:szCs w:val="20"/>
              </w:rPr>
            </w:pPr>
            <w:r w:rsidRPr="002E1112">
              <w:rPr>
                <w:b/>
                <w:sz w:val="24"/>
                <w:szCs w:val="20"/>
              </w:rPr>
              <w:t>National Security</w:t>
            </w: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autoSpaceDE w:val="0"/>
              <w:autoSpaceDN w:val="0"/>
              <w:adjustRightInd w:val="0"/>
              <w:spacing w:before="120" w:after="120"/>
              <w:jc w:val="center"/>
              <w:rPr>
                <w:rFonts w:ascii="MS Shell Dlg 2" w:hAnsi="MS Shell Dlg 2" w:cs="MS Shell Dlg 2"/>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c>
          <w:tcPr>
            <w:tcW w:w="436" w:type="pct"/>
            <w:shd w:val="clear" w:color="auto" w:fill="auto"/>
            <w:vAlign w:val="center"/>
          </w:tcPr>
          <w:p w:rsidR="00DE3C7E" w:rsidRPr="00747CEB" w:rsidRDefault="00DE3C7E" w:rsidP="00655981">
            <w:pPr>
              <w:spacing w:before="120" w:after="120"/>
              <w:jc w:val="center"/>
              <w:rPr>
                <w:b/>
                <w:sz w:val="20"/>
                <w:szCs w:val="20"/>
              </w:rPr>
            </w:pPr>
          </w:p>
        </w:tc>
      </w:tr>
      <w:tr w:rsidR="00DE3C7E" w:rsidRPr="0000777B" w:rsidTr="00676CA8">
        <w:tc>
          <w:tcPr>
            <w:tcW w:w="189" w:type="pct"/>
            <w:vMerge/>
            <w:shd w:val="clear" w:color="auto" w:fill="A75534" w:themeFill="accent6"/>
          </w:tcPr>
          <w:p w:rsidR="00DE3C7E" w:rsidRPr="002E1112" w:rsidRDefault="00DE3C7E" w:rsidP="00655981">
            <w:pPr>
              <w:spacing w:before="120"/>
              <w:rPr>
                <w:b/>
                <w:sz w:val="24"/>
                <w:szCs w:val="20"/>
              </w:rPr>
            </w:pPr>
          </w:p>
        </w:tc>
        <w:tc>
          <w:tcPr>
            <w:tcW w:w="887" w:type="pct"/>
            <w:shd w:val="clear" w:color="auto" w:fill="FFC000"/>
            <w:vAlign w:val="center"/>
          </w:tcPr>
          <w:p w:rsidR="00DE3C7E" w:rsidRPr="002E1112" w:rsidRDefault="00DE3C7E" w:rsidP="00655981">
            <w:pPr>
              <w:spacing w:before="120"/>
              <w:rPr>
                <w:b/>
                <w:sz w:val="24"/>
                <w:szCs w:val="20"/>
              </w:rPr>
            </w:pPr>
            <w:r w:rsidRPr="002E1112">
              <w:rPr>
                <w:b/>
                <w:sz w:val="24"/>
                <w:szCs w:val="20"/>
              </w:rPr>
              <w:t>Underpinning Research Infrastructure Needs</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r>
      <w:tr w:rsidR="00DE3C7E" w:rsidRPr="0000777B" w:rsidTr="00676CA8">
        <w:tc>
          <w:tcPr>
            <w:tcW w:w="189" w:type="pct"/>
            <w:vMerge/>
            <w:shd w:val="clear" w:color="auto" w:fill="A75534" w:themeFill="accent6"/>
          </w:tcPr>
          <w:p w:rsidR="00DE3C7E" w:rsidRPr="002E1112" w:rsidRDefault="00DE3C7E" w:rsidP="00655981">
            <w:pPr>
              <w:spacing w:before="120"/>
              <w:rPr>
                <w:b/>
                <w:sz w:val="24"/>
                <w:szCs w:val="20"/>
              </w:rPr>
            </w:pPr>
          </w:p>
        </w:tc>
        <w:tc>
          <w:tcPr>
            <w:tcW w:w="887" w:type="pct"/>
            <w:shd w:val="clear" w:color="auto" w:fill="FFC000"/>
            <w:vAlign w:val="center"/>
          </w:tcPr>
          <w:p w:rsidR="00DE3C7E" w:rsidRPr="002E1112" w:rsidRDefault="00DE3C7E" w:rsidP="00655981">
            <w:pPr>
              <w:spacing w:before="120"/>
              <w:rPr>
                <w:b/>
                <w:sz w:val="24"/>
                <w:szCs w:val="20"/>
              </w:rPr>
            </w:pPr>
            <w:r w:rsidRPr="002E1112">
              <w:rPr>
                <w:b/>
                <w:sz w:val="24"/>
                <w:szCs w:val="20"/>
              </w:rPr>
              <w:t>Data for Research and Discoverability</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c>
          <w:tcPr>
            <w:tcW w:w="436" w:type="pct"/>
            <w:shd w:val="clear" w:color="auto" w:fill="auto"/>
            <w:vAlign w:val="center"/>
          </w:tcPr>
          <w:p w:rsidR="00DE3C7E" w:rsidRPr="00747CEB" w:rsidRDefault="00DE3C7E" w:rsidP="00655981">
            <w:pPr>
              <w:spacing w:before="120" w:after="120"/>
              <w:jc w:val="center"/>
              <w:rPr>
                <w:b/>
                <w:sz w:val="20"/>
                <w:szCs w:val="20"/>
              </w:rPr>
            </w:pPr>
            <w:r w:rsidRPr="00747CEB">
              <w:rPr>
                <w:rFonts w:ascii="Wingdings" w:hAnsi="Wingdings" w:cs="Wingdings"/>
                <w:b/>
                <w:sz w:val="20"/>
                <w:szCs w:val="20"/>
              </w:rPr>
              <w:t></w:t>
            </w:r>
          </w:p>
        </w:tc>
      </w:tr>
    </w:tbl>
    <w:p w:rsidR="00DE3C7E" w:rsidRDefault="00DE3C7E" w:rsidP="00DE3C7E">
      <w:pPr>
        <w:jc w:val="center"/>
        <w:rPr>
          <w:rFonts w:eastAsiaTheme="minorHAnsi"/>
          <w:b/>
          <w:sz w:val="32"/>
        </w:rPr>
      </w:pPr>
    </w:p>
    <w:p w:rsidR="00DE7B22" w:rsidRDefault="00DE7B22" w:rsidP="00DE3C7E">
      <w:pPr>
        <w:jc w:val="center"/>
        <w:rPr>
          <w:rFonts w:eastAsiaTheme="minorHAnsi"/>
          <w:b/>
          <w:sz w:val="32"/>
        </w:rPr>
      </w:pPr>
    </w:p>
    <w:p w:rsidR="00DE7B22" w:rsidRDefault="00DE7B22" w:rsidP="00DE3C7E">
      <w:pPr>
        <w:jc w:val="center"/>
        <w:rPr>
          <w:rFonts w:eastAsiaTheme="minorHAnsi"/>
          <w:b/>
          <w:sz w:val="32"/>
        </w:rPr>
        <w:sectPr w:rsidR="00DE7B22" w:rsidSect="00655981">
          <w:footerReference w:type="default" r:id="rId32"/>
          <w:pgSz w:w="16838" w:h="11906" w:orient="landscape" w:code="9"/>
          <w:pgMar w:top="1418" w:right="1418" w:bottom="1134" w:left="1418" w:header="567" w:footer="567" w:gutter="0"/>
          <w:cols w:space="720"/>
          <w:docGrid w:linePitch="299"/>
        </w:sectPr>
      </w:pPr>
    </w:p>
    <w:p w:rsidR="00DE7B22" w:rsidRDefault="00DE7B22" w:rsidP="00DE3C7E">
      <w:pPr>
        <w:jc w:val="center"/>
        <w:rPr>
          <w:rFonts w:eastAsiaTheme="minorHAnsi"/>
          <w:b/>
          <w:sz w:val="32"/>
        </w:rPr>
      </w:pPr>
    </w:p>
    <w:p w:rsidR="00B8025F" w:rsidRPr="00620F1A" w:rsidRDefault="00DE7B22">
      <w:pPr>
        <w:rPr>
          <w:rFonts w:eastAsia="Calibri"/>
        </w:rPr>
      </w:pPr>
      <w:r w:rsidRPr="005354A0">
        <w:rPr>
          <w:rFonts w:cstheme="minorHAnsi"/>
          <w:noProof/>
          <w:lang w:eastAsia="en-AU"/>
        </w:rPr>
        <w:drawing>
          <wp:anchor distT="0" distB="0" distL="114300" distR="114300" simplePos="0" relativeHeight="251661312" behindDoc="1" locked="0" layoutInCell="1" allowOverlap="1" wp14:anchorId="4A34B134" wp14:editId="627EE24B">
            <wp:simplePos x="0" y="0"/>
            <wp:positionH relativeFrom="column">
              <wp:posOffset>-886460</wp:posOffset>
            </wp:positionH>
            <wp:positionV relativeFrom="paragraph">
              <wp:posOffset>4126230</wp:posOffset>
            </wp:positionV>
            <wp:extent cx="7656830" cy="5791835"/>
            <wp:effectExtent l="0" t="0" r="1270" b="0"/>
            <wp:wrapNone/>
            <wp:docPr id="7" name="Picture 7" title="2016 Roadmap br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IR_WordTemplate_Cover.jpg"/>
                    <pic:cNvPicPr/>
                  </pic:nvPicPr>
                  <pic:blipFill>
                    <a:blip r:embed="rId10">
                      <a:extLst>
                        <a:ext uri="{28A0092B-C50C-407E-A947-70E740481C1C}">
                          <a14:useLocalDpi xmlns:a14="http://schemas.microsoft.com/office/drawing/2010/main" val="0"/>
                        </a:ext>
                      </a:extLst>
                    </a:blip>
                    <a:stretch>
                      <a:fillRect/>
                    </a:stretch>
                  </pic:blipFill>
                  <pic:spPr>
                    <a:xfrm>
                      <a:off x="0" y="0"/>
                      <a:ext cx="7656830" cy="5791835"/>
                    </a:xfrm>
                    <a:prstGeom prst="rect">
                      <a:avLst/>
                    </a:prstGeom>
                  </pic:spPr>
                </pic:pic>
              </a:graphicData>
            </a:graphic>
            <wp14:sizeRelH relativeFrom="page">
              <wp14:pctWidth>0</wp14:pctWidth>
            </wp14:sizeRelH>
            <wp14:sizeRelV relativeFrom="page">
              <wp14:pctHeight>0</wp14:pctHeight>
            </wp14:sizeRelV>
          </wp:anchor>
        </w:drawing>
      </w:r>
    </w:p>
    <w:sectPr w:rsidR="00B8025F" w:rsidRPr="00620F1A" w:rsidSect="00676CA8">
      <w:headerReference w:type="default" r:id="rId33"/>
      <w:pgSz w:w="11906" w:h="16838" w:code="9"/>
      <w:pgMar w:top="1418" w:right="1134"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4F9" w:rsidRDefault="003724F9" w:rsidP="00130923">
      <w:pPr>
        <w:spacing w:after="0" w:line="240" w:lineRule="auto"/>
      </w:pPr>
      <w:r>
        <w:separator/>
      </w:r>
    </w:p>
  </w:endnote>
  <w:endnote w:type="continuationSeparator" w:id="0">
    <w:p w:rsidR="003724F9" w:rsidRDefault="003724F9" w:rsidP="00130923">
      <w:pPr>
        <w:spacing w:after="0" w:line="240" w:lineRule="auto"/>
      </w:pPr>
      <w:r>
        <w:continuationSeparator/>
      </w:r>
    </w:p>
  </w:endnote>
  <w:endnote w:type="continuationNotice" w:id="1">
    <w:p w:rsidR="003724F9" w:rsidRDefault="00372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rsidP="003242B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rsidP="00E41483">
    <w:pPr>
      <w:pStyle w:val="Footer"/>
      <w:tabs>
        <w:tab w:val="clear" w:pos="9026"/>
        <w:tab w:val="right" w:pos="8647"/>
      </w:tabs>
      <w:ind w:right="-613" w:firstLine="720"/>
      <w:jc w:val="right"/>
    </w:pPr>
    <w:r>
      <w:rPr>
        <w:noProof/>
        <w:lang w:eastAsia="en-AU"/>
      </w:rPr>
      <w:drawing>
        <wp:anchor distT="0" distB="0" distL="114300" distR="114300" simplePos="0" relativeHeight="251658240" behindDoc="1" locked="0" layoutInCell="1" allowOverlap="1" wp14:anchorId="4D60EC5F" wp14:editId="1A58C9A9">
          <wp:simplePos x="0" y="0"/>
          <wp:positionH relativeFrom="column">
            <wp:posOffset>921879</wp:posOffset>
          </wp:positionH>
          <wp:positionV relativeFrom="paragraph">
            <wp:posOffset>-431800</wp:posOffset>
          </wp:positionV>
          <wp:extent cx="5723255" cy="1242060"/>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sign Team\Work in Progress\Rob P\ED14-0122 HE NCRIS NEW Branding\NCRIS Word Templates\Links\NCRIS Footer_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12420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8173397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7D48">
          <w:rPr>
            <w:noProof/>
          </w:rPr>
          <w:t>4</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186450"/>
      <w:docPartObj>
        <w:docPartGallery w:val="Page Numbers (Bottom of Page)"/>
        <w:docPartUnique/>
      </w:docPartObj>
    </w:sdtPr>
    <w:sdtEndPr>
      <w:rPr>
        <w:noProof/>
      </w:rPr>
    </w:sdtEndPr>
    <w:sdtContent>
      <w:p w:rsidR="003724F9" w:rsidRDefault="003724F9" w:rsidP="00E56D83">
        <w:pPr>
          <w:pStyle w:val="Footer"/>
          <w:ind w:right="-612"/>
          <w:jc w:val="right"/>
        </w:pPr>
        <w:r>
          <w:rPr>
            <w:noProof/>
            <w:lang w:eastAsia="en-AU"/>
          </w:rPr>
          <w:drawing>
            <wp:anchor distT="0" distB="0" distL="114300" distR="114300" simplePos="0" relativeHeight="251676672" behindDoc="1" locked="0" layoutInCell="1" allowOverlap="1" wp14:anchorId="412F9078" wp14:editId="58C63099">
              <wp:simplePos x="0" y="0"/>
              <wp:positionH relativeFrom="column">
                <wp:posOffset>914210</wp:posOffset>
              </wp:positionH>
              <wp:positionV relativeFrom="paragraph">
                <wp:posOffset>-253365</wp:posOffset>
              </wp:positionV>
              <wp:extent cx="5723255" cy="124206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sign Team\Work in Progress\Rob P\ED14-0122 HE NCRIS NEW Branding\NCRIS Word Templates\Links\NCRIS Footer_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12420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57D48">
          <w:rPr>
            <w:noProof/>
          </w:rPr>
          <w:t>55</w:t>
        </w:r>
        <w:r>
          <w:rPr>
            <w:noProof/>
          </w:rPr>
          <w:fldChar w:fldCharType="end"/>
        </w:r>
      </w:p>
    </w:sdtContent>
  </w:sdt>
  <w:p w:rsidR="003724F9" w:rsidRDefault="003724F9" w:rsidP="003242B9">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968557"/>
      <w:docPartObj>
        <w:docPartGallery w:val="Page Numbers (Bottom of Page)"/>
        <w:docPartUnique/>
      </w:docPartObj>
    </w:sdtPr>
    <w:sdtEndPr>
      <w:rPr>
        <w:noProof/>
      </w:rPr>
    </w:sdtEndPr>
    <w:sdtContent>
      <w:p w:rsidR="003724F9" w:rsidRDefault="003724F9" w:rsidP="00E56D83">
        <w:pPr>
          <w:pStyle w:val="Footer"/>
          <w:ind w:right="-612"/>
          <w:jc w:val="right"/>
        </w:pPr>
        <w:r>
          <w:rPr>
            <w:noProof/>
            <w:lang w:eastAsia="en-AU"/>
          </w:rPr>
          <w:drawing>
            <wp:anchor distT="0" distB="0" distL="114300" distR="114300" simplePos="0" relativeHeight="251678720" behindDoc="1" locked="0" layoutInCell="1" allowOverlap="1" wp14:anchorId="1AD785BD" wp14:editId="59325CFB">
              <wp:simplePos x="0" y="0"/>
              <wp:positionH relativeFrom="column">
                <wp:posOffset>4104640</wp:posOffset>
              </wp:positionH>
              <wp:positionV relativeFrom="paragraph">
                <wp:posOffset>-520065</wp:posOffset>
              </wp:positionV>
              <wp:extent cx="5723255" cy="1242060"/>
              <wp:effectExtent l="0" t="0" r="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sign Team\Work in Progress\Rob P\ED14-0122 HE NCRIS NEW Branding\NCRIS Word Templates\Links\NCRIS Footer_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12420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57D48">
          <w:rPr>
            <w:noProof/>
          </w:rPr>
          <w:t>57</w:t>
        </w:r>
        <w:r>
          <w:rPr>
            <w:noProof/>
          </w:rPr>
          <w:fldChar w:fldCharType="end"/>
        </w:r>
      </w:p>
    </w:sdtContent>
  </w:sdt>
  <w:p w:rsidR="003724F9" w:rsidRDefault="003724F9" w:rsidP="003242B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4F9" w:rsidRDefault="003724F9" w:rsidP="00130923">
      <w:pPr>
        <w:spacing w:after="0" w:line="240" w:lineRule="auto"/>
      </w:pPr>
      <w:r>
        <w:separator/>
      </w:r>
    </w:p>
  </w:footnote>
  <w:footnote w:type="continuationSeparator" w:id="0">
    <w:p w:rsidR="003724F9" w:rsidRDefault="003724F9" w:rsidP="00130923">
      <w:pPr>
        <w:spacing w:after="0" w:line="240" w:lineRule="auto"/>
      </w:pPr>
      <w:r>
        <w:continuationSeparator/>
      </w:r>
    </w:p>
  </w:footnote>
  <w:footnote w:type="continuationNotice" w:id="1">
    <w:p w:rsidR="003724F9" w:rsidRDefault="003724F9">
      <w:pPr>
        <w:spacing w:after="0" w:line="240" w:lineRule="auto"/>
      </w:pPr>
    </w:p>
  </w:footnote>
  <w:footnote w:id="2">
    <w:p w:rsidR="003724F9" w:rsidRPr="007F2FC5" w:rsidRDefault="003724F9" w:rsidP="00073232">
      <w:pPr>
        <w:pStyle w:val="FootnoteText"/>
        <w:rPr>
          <w:sz w:val="18"/>
          <w:szCs w:val="18"/>
        </w:rPr>
      </w:pPr>
      <w:r>
        <w:rPr>
          <w:rStyle w:val="FootnoteReference"/>
        </w:rPr>
        <w:footnoteRef/>
      </w:r>
      <w:r>
        <w:t xml:space="preserve"> </w:t>
      </w:r>
      <w:r w:rsidRPr="007F2FC5">
        <w:rPr>
          <w:sz w:val="18"/>
          <w:szCs w:val="18"/>
        </w:rPr>
        <w:t xml:space="preserve">Information on the EWG is available at Attachment </w:t>
      </w:r>
      <w:r>
        <w:rPr>
          <w:sz w:val="18"/>
          <w:szCs w:val="18"/>
        </w:rPr>
        <w:t>B</w:t>
      </w:r>
      <w:r w:rsidRPr="007F2FC5">
        <w:rPr>
          <w:sz w:val="18"/>
          <w:szCs w:val="18"/>
        </w:rPr>
        <w:t>.</w:t>
      </w:r>
    </w:p>
  </w:footnote>
  <w:footnote w:id="3">
    <w:p w:rsidR="003724F9" w:rsidRPr="007F2FC5" w:rsidRDefault="003724F9" w:rsidP="00332BD1">
      <w:pPr>
        <w:pStyle w:val="FootnoteText"/>
        <w:rPr>
          <w:sz w:val="18"/>
          <w:szCs w:val="18"/>
        </w:rPr>
      </w:pPr>
      <w:r>
        <w:rPr>
          <w:rStyle w:val="FootnoteReference"/>
        </w:rPr>
        <w:footnoteRef/>
      </w:r>
      <w:r>
        <w:t xml:space="preserve"> </w:t>
      </w:r>
      <w:r w:rsidRPr="007F2FC5">
        <w:rPr>
          <w:sz w:val="18"/>
          <w:szCs w:val="18"/>
        </w:rPr>
        <w:t>Previous roadmaps:</w:t>
      </w:r>
    </w:p>
    <w:p w:rsidR="003724F9" w:rsidRPr="007F2FC5" w:rsidRDefault="003724F9" w:rsidP="00726F0F">
      <w:pPr>
        <w:pStyle w:val="FootnoteText"/>
        <w:numPr>
          <w:ilvl w:val="0"/>
          <w:numId w:val="26"/>
        </w:numPr>
        <w:rPr>
          <w:sz w:val="18"/>
          <w:szCs w:val="18"/>
        </w:rPr>
      </w:pPr>
      <w:r w:rsidRPr="007F2FC5">
        <w:rPr>
          <w:sz w:val="18"/>
          <w:szCs w:val="18"/>
        </w:rPr>
        <w:t>2006 National Collaborative Research Infrastructure Strategy (NCRIS) Strategic Roadmap</w:t>
      </w:r>
      <w:r>
        <w:rPr>
          <w:sz w:val="18"/>
          <w:szCs w:val="18"/>
        </w:rPr>
        <w:t>;</w:t>
      </w:r>
      <w:r w:rsidRPr="007F2FC5">
        <w:rPr>
          <w:sz w:val="18"/>
          <w:szCs w:val="18"/>
        </w:rPr>
        <w:t xml:space="preserve"> </w:t>
      </w:r>
    </w:p>
    <w:p w:rsidR="003724F9" w:rsidRPr="007F2FC5" w:rsidRDefault="003724F9" w:rsidP="00726F0F">
      <w:pPr>
        <w:pStyle w:val="FootnoteText"/>
        <w:numPr>
          <w:ilvl w:val="0"/>
          <w:numId w:val="26"/>
        </w:numPr>
        <w:rPr>
          <w:sz w:val="18"/>
          <w:szCs w:val="18"/>
        </w:rPr>
      </w:pPr>
      <w:r w:rsidRPr="007F2FC5">
        <w:rPr>
          <w:sz w:val="18"/>
          <w:szCs w:val="18"/>
        </w:rPr>
        <w:t>2008 Strategic Roadmap for Australian Research Infrastructure</w:t>
      </w:r>
      <w:r>
        <w:rPr>
          <w:sz w:val="18"/>
          <w:szCs w:val="18"/>
        </w:rPr>
        <w:t>;</w:t>
      </w:r>
      <w:r w:rsidRPr="007F2FC5">
        <w:rPr>
          <w:sz w:val="18"/>
          <w:szCs w:val="18"/>
        </w:rPr>
        <w:t xml:space="preserve"> and </w:t>
      </w:r>
    </w:p>
    <w:p w:rsidR="003724F9" w:rsidRDefault="003724F9" w:rsidP="00726F0F">
      <w:pPr>
        <w:pStyle w:val="FootnoteText"/>
        <w:numPr>
          <w:ilvl w:val="0"/>
          <w:numId w:val="26"/>
        </w:numPr>
      </w:pPr>
      <w:r w:rsidRPr="007F2FC5">
        <w:rPr>
          <w:sz w:val="18"/>
          <w:szCs w:val="18"/>
        </w:rPr>
        <w:t>2011 Strategic Roadmap for Australian Research Infrastructure.</w:t>
      </w:r>
    </w:p>
  </w:footnote>
  <w:footnote w:id="4">
    <w:p w:rsidR="003724F9" w:rsidRDefault="003724F9" w:rsidP="000E3F53">
      <w:pPr>
        <w:pStyle w:val="FootnoteText"/>
      </w:pPr>
      <w:r>
        <w:rPr>
          <w:rStyle w:val="FootnoteReference"/>
        </w:rPr>
        <w:footnoteRef/>
      </w:r>
      <w:r w:rsidRPr="007F2FC5">
        <w:rPr>
          <w:sz w:val="18"/>
          <w:szCs w:val="18"/>
        </w:rPr>
        <w:t xml:space="preserve"> </w:t>
      </w:r>
      <w:hyperlink r:id="rId1" w:tooltip="This link takes you to the page for the 2014 Review of the NCRIS Projects' efficiency" w:history="1">
        <w:r w:rsidRPr="007F2FC5">
          <w:rPr>
            <w:rStyle w:val="Hyperlink"/>
            <w:sz w:val="18"/>
            <w:szCs w:val="18"/>
          </w:rPr>
          <w:t>http://www.education.gov.au/ncris-projects-efficiency-review</w:t>
        </w:r>
      </w:hyperlink>
    </w:p>
  </w:footnote>
  <w:footnote w:id="5">
    <w:p w:rsidR="003724F9" w:rsidRDefault="003724F9" w:rsidP="00DE2695">
      <w:pPr>
        <w:pStyle w:val="FootnoteText"/>
        <w:ind w:left="142" w:hanging="142"/>
      </w:pPr>
      <w:r>
        <w:rPr>
          <w:rStyle w:val="FootnoteReference"/>
        </w:rPr>
        <w:footnoteRef/>
      </w:r>
      <w:r>
        <w:t xml:space="preserve"> </w:t>
      </w:r>
      <w:r w:rsidRPr="00DE2695">
        <w:rPr>
          <w:sz w:val="18"/>
          <w:szCs w:val="18"/>
        </w:rPr>
        <w:t xml:space="preserve">Information on the National Research Infrastructure </w:t>
      </w:r>
      <w:r>
        <w:rPr>
          <w:sz w:val="18"/>
          <w:szCs w:val="18"/>
        </w:rPr>
        <w:t>c</w:t>
      </w:r>
      <w:r w:rsidRPr="00DE2695">
        <w:rPr>
          <w:sz w:val="18"/>
          <w:szCs w:val="18"/>
        </w:rPr>
        <w:t xml:space="preserve">apability </w:t>
      </w:r>
      <w:r>
        <w:rPr>
          <w:sz w:val="18"/>
          <w:szCs w:val="18"/>
        </w:rPr>
        <w:t>e</w:t>
      </w:r>
      <w:r w:rsidRPr="00DE2695">
        <w:rPr>
          <w:sz w:val="18"/>
          <w:szCs w:val="18"/>
        </w:rPr>
        <w:t xml:space="preserve">xperts is available at </w:t>
      </w:r>
      <w:hyperlink r:id="rId2" w:tooltip="This link will take you to the 2016 Research Infrastructure Roadmap web page" w:history="1">
        <w:r w:rsidRPr="006A72F3">
          <w:rPr>
            <w:rStyle w:val="Hyperlink"/>
            <w:sz w:val="18"/>
            <w:szCs w:val="18"/>
          </w:rPr>
          <w:t>https://www.education.gov.au/2016-national-research-infrastructure-roadmap</w:t>
        </w:r>
      </w:hyperlink>
      <w:r>
        <w:rPr>
          <w:sz w:val="18"/>
          <w:szCs w:val="18"/>
        </w:rPr>
        <w:t xml:space="preserve"> </w:t>
      </w:r>
    </w:p>
  </w:footnote>
  <w:footnote w:id="6">
    <w:p w:rsidR="003724F9" w:rsidRDefault="003724F9">
      <w:pPr>
        <w:pStyle w:val="FootnoteText"/>
      </w:pPr>
      <w:r>
        <w:rPr>
          <w:rStyle w:val="FootnoteReference"/>
        </w:rPr>
        <w:footnoteRef/>
      </w:r>
      <w:r>
        <w:t xml:space="preserve"> </w:t>
      </w:r>
      <w:r w:rsidRPr="00AD2D49">
        <w:rPr>
          <w:sz w:val="18"/>
          <w:szCs w:val="18"/>
        </w:rPr>
        <w:t>Mapping the research infrastructure capability focus areas against the National Science and Research Priorities was undertaken as part of the development of this Issues Paper and can be found at Attachment C.</w:t>
      </w:r>
    </w:p>
  </w:footnote>
  <w:footnote w:id="7">
    <w:p w:rsidR="003724F9" w:rsidRDefault="003724F9" w:rsidP="00691EA6">
      <w:pPr>
        <w:pStyle w:val="FootnoteText"/>
        <w:ind w:left="142" w:hanging="142"/>
      </w:pPr>
      <w:r>
        <w:rPr>
          <w:rStyle w:val="FootnoteReference"/>
        </w:rPr>
        <w:footnoteRef/>
      </w:r>
      <w:r>
        <w:t xml:space="preserve"> </w:t>
      </w:r>
      <w:proofErr w:type="gramStart"/>
      <w:r w:rsidRPr="00E05CE6">
        <w:rPr>
          <w:sz w:val="18"/>
          <w:szCs w:val="18"/>
        </w:rPr>
        <w:t>Such as in astronomy, synchrotron science and Australia’s associate membership to the European Molecular Biology Laboratory (</w:t>
      </w:r>
      <w:proofErr w:type="spellStart"/>
      <w:r w:rsidRPr="00E05CE6">
        <w:rPr>
          <w:sz w:val="18"/>
          <w:szCs w:val="18"/>
        </w:rPr>
        <w:t>EMBL</w:t>
      </w:r>
      <w:proofErr w:type="spellEnd"/>
      <w:r w:rsidRPr="00E05CE6">
        <w:rPr>
          <w:sz w:val="18"/>
          <w:szCs w:val="18"/>
        </w:rPr>
        <w:t>).</w:t>
      </w:r>
      <w:proofErr w:type="gramEnd"/>
    </w:p>
  </w:footnote>
  <w:footnote w:id="8">
    <w:p w:rsidR="003724F9" w:rsidRDefault="003724F9">
      <w:pPr>
        <w:pStyle w:val="FootnoteText"/>
      </w:pPr>
      <w:r>
        <w:rPr>
          <w:rStyle w:val="FootnoteReference"/>
        </w:rPr>
        <w:footnoteRef/>
      </w:r>
      <w:r>
        <w:t xml:space="preserve"> </w:t>
      </w:r>
      <w:proofErr w:type="gramStart"/>
      <w:r w:rsidRPr="004E7816">
        <w:rPr>
          <w:sz w:val="18"/>
          <w:szCs w:val="18"/>
        </w:rPr>
        <w:t>Specifically, the individual techniques and disciplines undertaken under the broad capability of characterisation.</w:t>
      </w:r>
      <w:proofErr w:type="gramEnd"/>
    </w:p>
  </w:footnote>
  <w:footnote w:id="9">
    <w:p w:rsidR="003724F9" w:rsidRDefault="003724F9" w:rsidP="00B56A4F">
      <w:pPr>
        <w:pStyle w:val="FootnoteText"/>
      </w:pPr>
      <w:r>
        <w:rPr>
          <w:rStyle w:val="FootnoteReference"/>
        </w:rPr>
        <w:footnoteRef/>
      </w:r>
      <w:r>
        <w:t xml:space="preserve"> </w:t>
      </w:r>
      <w:r w:rsidRPr="00B131CE">
        <w:rPr>
          <w:sz w:val="16"/>
          <w:szCs w:val="16"/>
        </w:rPr>
        <w:t>http://www.codiakbio.com/</w:t>
      </w:r>
    </w:p>
  </w:footnote>
  <w:footnote w:id="10">
    <w:p w:rsidR="003724F9" w:rsidRDefault="003724F9" w:rsidP="00CB541A">
      <w:pPr>
        <w:pStyle w:val="FootnoteText"/>
      </w:pPr>
      <w:r>
        <w:rPr>
          <w:rStyle w:val="FootnoteReference"/>
        </w:rPr>
        <w:footnoteRef/>
      </w:r>
      <w:r>
        <w:t xml:space="preserve"> </w:t>
      </w:r>
      <w:hyperlink r:id="rId3" w:tooltip="This link will take you to the Sax Institute's Secure Unified Research Environment web page" w:history="1">
        <w:r w:rsidRPr="004E7816">
          <w:rPr>
            <w:sz w:val="18"/>
            <w:szCs w:val="18"/>
          </w:rPr>
          <w:t>http://www.saxinstitute.org.au/our-work/sure/</w:t>
        </w:r>
      </w:hyperlink>
    </w:p>
  </w:footnote>
  <w:footnote w:id="11">
    <w:p w:rsidR="003724F9" w:rsidRPr="007F2FC5" w:rsidRDefault="003724F9" w:rsidP="00CB541A">
      <w:pPr>
        <w:pStyle w:val="FootnoteText"/>
        <w:rPr>
          <w:sz w:val="18"/>
          <w:szCs w:val="18"/>
        </w:rPr>
      </w:pPr>
      <w:r>
        <w:rPr>
          <w:rStyle w:val="FootnoteReference"/>
        </w:rPr>
        <w:footnoteRef/>
      </w:r>
      <w:r>
        <w:t xml:space="preserve"> </w:t>
      </w:r>
      <w:hyperlink r:id="rId4" w:tooltip="This link will take you to the UK Biobank web page" w:history="1">
        <w:r w:rsidRPr="007F2FC5">
          <w:rPr>
            <w:sz w:val="18"/>
            <w:szCs w:val="18"/>
          </w:rPr>
          <w:t>http://www.ukbiobank.ac.uk/about-biobank-uk/</w:t>
        </w:r>
      </w:hyperlink>
    </w:p>
  </w:footnote>
  <w:footnote w:id="12">
    <w:p w:rsidR="003724F9" w:rsidRPr="004E7816" w:rsidRDefault="003724F9" w:rsidP="00F13F02">
      <w:pPr>
        <w:pStyle w:val="FootnoteText"/>
        <w:rPr>
          <w:b/>
          <w:i/>
        </w:rPr>
      </w:pPr>
      <w:r>
        <w:rPr>
          <w:rStyle w:val="FootnoteReference"/>
        </w:rPr>
        <w:footnoteRef/>
      </w:r>
      <w:r>
        <w:t xml:space="preserve"> </w:t>
      </w:r>
      <w:r w:rsidRPr="004E7816">
        <w:rPr>
          <w:i/>
          <w:sz w:val="18"/>
          <w:szCs w:val="18"/>
        </w:rPr>
        <w:t xml:space="preserve">Contemplating the future: Acting now on long term monitoring to answer </w:t>
      </w:r>
      <w:proofErr w:type="spellStart"/>
      <w:r w:rsidRPr="004E7816">
        <w:rPr>
          <w:i/>
          <w:sz w:val="18"/>
          <w:szCs w:val="18"/>
        </w:rPr>
        <w:t>2050’s</w:t>
      </w:r>
      <w:proofErr w:type="spellEnd"/>
      <w:r w:rsidRPr="004E7816">
        <w:rPr>
          <w:i/>
          <w:sz w:val="18"/>
          <w:szCs w:val="18"/>
        </w:rPr>
        <w:t xml:space="preserve"> questions. </w:t>
      </w:r>
      <w:r w:rsidRPr="004E7816">
        <w:rPr>
          <w:sz w:val="18"/>
          <w:szCs w:val="18"/>
        </w:rPr>
        <w:t xml:space="preserve">D B </w:t>
      </w:r>
      <w:proofErr w:type="spellStart"/>
      <w:r w:rsidRPr="004E7816">
        <w:rPr>
          <w:sz w:val="18"/>
          <w:szCs w:val="18"/>
        </w:rPr>
        <w:t>Lindenmayer</w:t>
      </w:r>
      <w:proofErr w:type="spellEnd"/>
      <w:r w:rsidRPr="004E7816">
        <w:rPr>
          <w:sz w:val="18"/>
          <w:szCs w:val="18"/>
        </w:rPr>
        <w:t xml:space="preserve"> et al Austral Ecology</w:t>
      </w:r>
      <w:r w:rsidRPr="004E7816">
        <w:rPr>
          <w:i/>
          <w:sz w:val="18"/>
          <w:szCs w:val="18"/>
        </w:rPr>
        <w:t xml:space="preserve"> (2015) </w:t>
      </w:r>
      <w:r w:rsidRPr="004E7816">
        <w:rPr>
          <w:sz w:val="18"/>
          <w:szCs w:val="18"/>
        </w:rPr>
        <w:t>40:213-224</w:t>
      </w:r>
    </w:p>
  </w:footnote>
  <w:footnote w:id="13">
    <w:p w:rsidR="003724F9" w:rsidRDefault="003724F9" w:rsidP="00CB541A">
      <w:pPr>
        <w:pStyle w:val="FootnoteText"/>
      </w:pPr>
      <w:r>
        <w:rPr>
          <w:rStyle w:val="FootnoteReference"/>
        </w:rPr>
        <w:footnoteRef/>
      </w:r>
      <w:r>
        <w:t xml:space="preserve"> </w:t>
      </w:r>
      <w:proofErr w:type="gramStart"/>
      <w:r w:rsidRPr="004E7816">
        <w:rPr>
          <w:i/>
          <w:sz w:val="18"/>
          <w:szCs w:val="18"/>
        </w:rPr>
        <w:t>The heart of the nation’s water</w:t>
      </w:r>
      <w:r w:rsidRPr="004E7816">
        <w:rPr>
          <w:sz w:val="18"/>
          <w:szCs w:val="18"/>
        </w:rPr>
        <w:t>.</w:t>
      </w:r>
      <w:proofErr w:type="gramEnd"/>
      <w:r w:rsidRPr="004E7816">
        <w:rPr>
          <w:sz w:val="18"/>
          <w:szCs w:val="18"/>
        </w:rPr>
        <w:t xml:space="preserve"> N Andrew quoting Prof Craig Simmons and Dr Rick Evans. Focus, Australian academy of the technological sciences and engineering (</w:t>
      </w:r>
      <w:proofErr w:type="spellStart"/>
      <w:r w:rsidRPr="004E7816">
        <w:rPr>
          <w:sz w:val="18"/>
          <w:szCs w:val="18"/>
        </w:rPr>
        <w:t>ATSE</w:t>
      </w:r>
      <w:proofErr w:type="spellEnd"/>
      <w:r w:rsidRPr="004E7816">
        <w:rPr>
          <w:sz w:val="18"/>
          <w:szCs w:val="18"/>
        </w:rPr>
        <w:t>) Number 189, 2015</w:t>
      </w:r>
    </w:p>
  </w:footnote>
  <w:footnote w:id="14">
    <w:p w:rsidR="003724F9" w:rsidRDefault="003724F9" w:rsidP="007328B2">
      <w:r>
        <w:rPr>
          <w:rStyle w:val="FootnoteReference"/>
        </w:rPr>
        <w:footnoteRef/>
      </w:r>
      <w:r>
        <w:t xml:space="preserve"> </w:t>
      </w:r>
      <w:r w:rsidRPr="004923A4">
        <w:rPr>
          <w:i/>
          <w:iCs/>
          <w:sz w:val="18"/>
          <w:szCs w:val="18"/>
        </w:rPr>
        <w:t>https://docs.education.gov.au/system/files/doc/other/the_australian_research_data_infrastructure_strategy.pdf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rsidP="00396A8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rsidP="00560CA0">
    <w:pPr>
      <w:pStyle w:val="Header"/>
      <w:jc w:val="right"/>
    </w:pPr>
    <w:r>
      <w:t>National Research Infrastructure Capability Issues Paper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E57D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3.95pt;height:112.25pt;rotation:315;z-index:-251642880;mso-position-horizontal:center;mso-position-horizontal-relative:margin;mso-position-vertical:center;mso-position-vertical-relative:margin" o:allowincell="f" fillcolor="silver" stroked="f">
          <v:fill opacity=".5"/>
          <v:textpath style="font-family:&quot;Calibri&quot;;font-size:1pt" string="Not for circulation"/>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E57D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23.95pt;height:112.25pt;rotation:315;z-index:-251643904;mso-position-horizontal:center;mso-position-horizontal-relative:margin;mso-position-vertical:center;mso-position-vertical-relative:margin" o:allowincell="f" fillcolor="silver" stroked="f">
          <v:fill opacity=".5"/>
          <v:textpath style="font-family:&quot;Calibri&quot;;font-size:1pt" string="Not for circulatio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9" w:rsidRDefault="003724F9" w:rsidP="00560C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AEF"/>
    <w:multiLevelType w:val="hybridMultilevel"/>
    <w:tmpl w:val="60866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306E13"/>
    <w:multiLevelType w:val="hybridMultilevel"/>
    <w:tmpl w:val="33DAA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73048"/>
    <w:multiLevelType w:val="hybridMultilevel"/>
    <w:tmpl w:val="02AE3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837040"/>
    <w:multiLevelType w:val="multilevel"/>
    <w:tmpl w:val="7CA40244"/>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7FA2F4B"/>
    <w:multiLevelType w:val="hybridMultilevel"/>
    <w:tmpl w:val="3E825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8654E25"/>
    <w:multiLevelType w:val="hybridMultilevel"/>
    <w:tmpl w:val="48E299DC"/>
    <w:lvl w:ilvl="0" w:tplc="0C090001">
      <w:start w:val="1"/>
      <w:numFmt w:val="bullet"/>
      <w:lvlText w:val=""/>
      <w:lvlJc w:val="left"/>
      <w:pPr>
        <w:ind w:left="720" w:hanging="360"/>
      </w:pPr>
      <w:rPr>
        <w:rFonts w:ascii="Symbol" w:hAnsi="Symbol" w:hint="default"/>
      </w:rPr>
    </w:lvl>
    <w:lvl w:ilvl="1" w:tplc="0C09000F">
      <w:start w:val="1"/>
      <w:numFmt w:val="bullet"/>
      <w:lvlText w:val=""/>
      <w:lvlJc w:val="left"/>
      <w:pPr>
        <w:ind w:left="1440" w:hanging="360"/>
      </w:pPr>
      <w:rPr>
        <w:rFonts w:ascii="Symbol" w:hAnsi="Symbol" w:cs="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67682F"/>
    <w:multiLevelType w:val="hybridMultilevel"/>
    <w:tmpl w:val="54141D42"/>
    <w:lvl w:ilvl="0" w:tplc="8BACBA8E">
      <w:start w:val="10"/>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124548E"/>
    <w:multiLevelType w:val="hybridMultilevel"/>
    <w:tmpl w:val="1A98B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nsid w:val="17A8459E"/>
    <w:multiLevelType w:val="hybridMultilevel"/>
    <w:tmpl w:val="FBCE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BD629C"/>
    <w:multiLevelType w:val="hybridMultilevel"/>
    <w:tmpl w:val="97CC1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A1B3CFD"/>
    <w:multiLevelType w:val="hybridMultilevel"/>
    <w:tmpl w:val="5D001C9C"/>
    <w:lvl w:ilvl="0" w:tplc="29CCEF30">
      <w:start w:val="5"/>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0079B1"/>
    <w:multiLevelType w:val="hybridMultilevel"/>
    <w:tmpl w:val="A5147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44E6B96"/>
    <w:multiLevelType w:val="hybridMultilevel"/>
    <w:tmpl w:val="70166E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9EA2ABA"/>
    <w:multiLevelType w:val="hybridMultilevel"/>
    <w:tmpl w:val="94DAF034"/>
    <w:lvl w:ilvl="0" w:tplc="0C090001">
      <w:start w:val="1"/>
      <w:numFmt w:val="bullet"/>
      <w:lvlText w:val=""/>
      <w:lvlJc w:val="left"/>
      <w:pPr>
        <w:tabs>
          <w:tab w:val="num" w:pos="1080"/>
        </w:tabs>
        <w:ind w:left="1080" w:hanging="360"/>
      </w:pPr>
      <w:rPr>
        <w:rFonts w:ascii="Symbol" w:hAnsi="Symbol" w:hint="default"/>
      </w:rPr>
    </w:lvl>
    <w:lvl w:ilvl="1" w:tplc="0682FC10">
      <w:start w:val="1"/>
      <w:numFmt w:val="lowerLetter"/>
      <w:lvlText w:val="%2)"/>
      <w:lvlJc w:val="left"/>
      <w:pPr>
        <w:tabs>
          <w:tab w:val="num" w:pos="1800"/>
        </w:tabs>
        <w:ind w:left="1800" w:hanging="360"/>
      </w:pPr>
    </w:lvl>
    <w:lvl w:ilvl="2" w:tplc="805A9F2A" w:tentative="1">
      <w:start w:val="1"/>
      <w:numFmt w:val="decimal"/>
      <w:lvlText w:val="%3."/>
      <w:lvlJc w:val="left"/>
      <w:pPr>
        <w:tabs>
          <w:tab w:val="num" w:pos="2520"/>
        </w:tabs>
        <w:ind w:left="2520" w:hanging="360"/>
      </w:pPr>
    </w:lvl>
    <w:lvl w:ilvl="3" w:tplc="742C18EC" w:tentative="1">
      <w:start w:val="1"/>
      <w:numFmt w:val="decimal"/>
      <w:lvlText w:val="%4."/>
      <w:lvlJc w:val="left"/>
      <w:pPr>
        <w:tabs>
          <w:tab w:val="num" w:pos="3240"/>
        </w:tabs>
        <w:ind w:left="3240" w:hanging="360"/>
      </w:pPr>
    </w:lvl>
    <w:lvl w:ilvl="4" w:tplc="73F27D74" w:tentative="1">
      <w:start w:val="1"/>
      <w:numFmt w:val="decimal"/>
      <w:lvlText w:val="%5."/>
      <w:lvlJc w:val="left"/>
      <w:pPr>
        <w:tabs>
          <w:tab w:val="num" w:pos="3960"/>
        </w:tabs>
        <w:ind w:left="3960" w:hanging="360"/>
      </w:pPr>
    </w:lvl>
    <w:lvl w:ilvl="5" w:tplc="30ACB900" w:tentative="1">
      <w:start w:val="1"/>
      <w:numFmt w:val="decimal"/>
      <w:lvlText w:val="%6."/>
      <w:lvlJc w:val="left"/>
      <w:pPr>
        <w:tabs>
          <w:tab w:val="num" w:pos="4680"/>
        </w:tabs>
        <w:ind w:left="4680" w:hanging="360"/>
      </w:pPr>
    </w:lvl>
    <w:lvl w:ilvl="6" w:tplc="A4BC3814" w:tentative="1">
      <w:start w:val="1"/>
      <w:numFmt w:val="decimal"/>
      <w:lvlText w:val="%7."/>
      <w:lvlJc w:val="left"/>
      <w:pPr>
        <w:tabs>
          <w:tab w:val="num" w:pos="5400"/>
        </w:tabs>
        <w:ind w:left="5400" w:hanging="360"/>
      </w:pPr>
    </w:lvl>
    <w:lvl w:ilvl="7" w:tplc="BAD891C0" w:tentative="1">
      <w:start w:val="1"/>
      <w:numFmt w:val="decimal"/>
      <w:lvlText w:val="%8."/>
      <w:lvlJc w:val="left"/>
      <w:pPr>
        <w:tabs>
          <w:tab w:val="num" w:pos="6120"/>
        </w:tabs>
        <w:ind w:left="6120" w:hanging="360"/>
      </w:pPr>
    </w:lvl>
    <w:lvl w:ilvl="8" w:tplc="FA02E350" w:tentative="1">
      <w:start w:val="1"/>
      <w:numFmt w:val="decimal"/>
      <w:lvlText w:val="%9."/>
      <w:lvlJc w:val="left"/>
      <w:pPr>
        <w:tabs>
          <w:tab w:val="num" w:pos="6840"/>
        </w:tabs>
        <w:ind w:left="6840" w:hanging="360"/>
      </w:pPr>
    </w:lvl>
  </w:abstractNum>
  <w:abstractNum w:abstractNumId="16">
    <w:nsid w:val="2D430D6D"/>
    <w:multiLevelType w:val="hybridMultilevel"/>
    <w:tmpl w:val="666CB2BE"/>
    <w:lvl w:ilvl="0" w:tplc="9E98DC16">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5211F0"/>
    <w:multiLevelType w:val="hybridMultilevel"/>
    <w:tmpl w:val="F0C2EF00"/>
    <w:lvl w:ilvl="0" w:tplc="8BACBA8E">
      <w:start w:val="10"/>
      <w:numFmt w:val="upperRoman"/>
      <w:lvlText w:val="%1."/>
      <w:lvlJc w:val="left"/>
      <w:pPr>
        <w:ind w:left="1440" w:hanging="720"/>
      </w:pPr>
      <w:rPr>
        <w:rFonts w:hint="default"/>
      </w:rPr>
    </w:lvl>
    <w:lvl w:ilvl="1" w:tplc="5C28CF40">
      <w:start w:val="1"/>
      <w:numFmt w:val="lowerRoman"/>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23725EE"/>
    <w:multiLevelType w:val="hybridMultilevel"/>
    <w:tmpl w:val="B2EEC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7868E0"/>
    <w:multiLevelType w:val="hybridMultilevel"/>
    <w:tmpl w:val="708C3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5234437"/>
    <w:multiLevelType w:val="hybridMultilevel"/>
    <w:tmpl w:val="520C2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8746B06"/>
    <w:multiLevelType w:val="hybridMultilevel"/>
    <w:tmpl w:val="4A200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38CC3B4E"/>
    <w:multiLevelType w:val="hybridMultilevel"/>
    <w:tmpl w:val="3530D2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5E2125"/>
    <w:multiLevelType w:val="hybridMultilevel"/>
    <w:tmpl w:val="5CBE7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8828A7"/>
    <w:multiLevelType w:val="hybridMultilevel"/>
    <w:tmpl w:val="7ADA8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06115DB"/>
    <w:multiLevelType w:val="hybridMultilevel"/>
    <w:tmpl w:val="264A621A"/>
    <w:lvl w:ilvl="0" w:tplc="30EC41BC">
      <w:start w:val="10"/>
      <w:numFmt w:val="upperRoman"/>
      <w:lvlText w:val="%1."/>
      <w:lvlJc w:val="left"/>
      <w:pPr>
        <w:ind w:left="1434" w:hanging="72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6">
    <w:nsid w:val="41231F9E"/>
    <w:multiLevelType w:val="hybridMultilevel"/>
    <w:tmpl w:val="714E5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52277B5"/>
    <w:multiLevelType w:val="hybridMultilevel"/>
    <w:tmpl w:val="08945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8DC5E5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CB577B6"/>
    <w:multiLevelType w:val="hybridMultilevel"/>
    <w:tmpl w:val="94C4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2C04AF2"/>
    <w:multiLevelType w:val="hybridMultilevel"/>
    <w:tmpl w:val="BB8EC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5DA482A"/>
    <w:multiLevelType w:val="hybridMultilevel"/>
    <w:tmpl w:val="54141D42"/>
    <w:lvl w:ilvl="0" w:tplc="8BACBA8E">
      <w:start w:val="10"/>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58E80665"/>
    <w:multiLevelType w:val="hybridMultilevel"/>
    <w:tmpl w:val="54141D42"/>
    <w:lvl w:ilvl="0" w:tplc="8BACBA8E">
      <w:start w:val="10"/>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59E8557C"/>
    <w:multiLevelType w:val="hybridMultilevel"/>
    <w:tmpl w:val="54141D42"/>
    <w:lvl w:ilvl="0" w:tplc="8BACBA8E">
      <w:start w:val="10"/>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25D5400"/>
    <w:multiLevelType w:val="hybridMultilevel"/>
    <w:tmpl w:val="86AE227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5565DE0"/>
    <w:multiLevelType w:val="hybridMultilevel"/>
    <w:tmpl w:val="84181E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21A1D65"/>
    <w:multiLevelType w:val="hybridMultilevel"/>
    <w:tmpl w:val="B094B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428004E"/>
    <w:multiLevelType w:val="hybridMultilevel"/>
    <w:tmpl w:val="E132E7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4360270"/>
    <w:multiLevelType w:val="hybridMultilevel"/>
    <w:tmpl w:val="409627E0"/>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62292D"/>
    <w:multiLevelType w:val="hybridMultilevel"/>
    <w:tmpl w:val="54141D42"/>
    <w:lvl w:ilvl="0" w:tplc="8BACBA8E">
      <w:start w:val="10"/>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95B69FD"/>
    <w:multiLevelType w:val="hybridMultilevel"/>
    <w:tmpl w:val="9858D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9BD07A4"/>
    <w:multiLevelType w:val="hybridMultilevel"/>
    <w:tmpl w:val="9894D048"/>
    <w:lvl w:ilvl="0" w:tplc="0B5AF6C6">
      <w:numFmt w:val="bullet"/>
      <w:lvlText w:val="-"/>
      <w:lvlJc w:val="left"/>
      <w:pPr>
        <w:ind w:left="720" w:hanging="360"/>
      </w:pPr>
      <w:rPr>
        <w:rFonts w:ascii="Calibri" w:eastAsiaTheme="minorEastAsia"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A4E66A5"/>
    <w:multiLevelType w:val="hybridMultilevel"/>
    <w:tmpl w:val="3FFCF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3"/>
  </w:num>
  <w:num w:numId="6">
    <w:abstractNumId w:val="36"/>
  </w:num>
  <w:num w:numId="7">
    <w:abstractNumId w:val="22"/>
  </w:num>
  <w:num w:numId="8">
    <w:abstractNumId w:val="4"/>
  </w:num>
  <w:num w:numId="9">
    <w:abstractNumId w:val="26"/>
  </w:num>
  <w:num w:numId="10">
    <w:abstractNumId w:val="19"/>
  </w:num>
  <w:num w:numId="11">
    <w:abstractNumId w:val="24"/>
  </w:num>
  <w:num w:numId="12">
    <w:abstractNumId w:val="10"/>
  </w:num>
  <w:num w:numId="13">
    <w:abstractNumId w:val="5"/>
  </w:num>
  <w:num w:numId="14">
    <w:abstractNumId w:val="41"/>
  </w:num>
  <w:num w:numId="15">
    <w:abstractNumId w:val="0"/>
  </w:num>
  <w:num w:numId="16">
    <w:abstractNumId w:val="38"/>
  </w:num>
  <w:num w:numId="17">
    <w:abstractNumId w:val="29"/>
  </w:num>
  <w:num w:numId="18">
    <w:abstractNumId w:val="9"/>
  </w:num>
  <w:num w:numId="19">
    <w:abstractNumId w:val="16"/>
  </w:num>
  <w:num w:numId="20">
    <w:abstractNumId w:val="34"/>
  </w:num>
  <w:num w:numId="21">
    <w:abstractNumId w:val="17"/>
  </w:num>
  <w:num w:numId="22">
    <w:abstractNumId w:val="2"/>
  </w:num>
  <w:num w:numId="23">
    <w:abstractNumId w:val="32"/>
  </w:num>
  <w:num w:numId="24">
    <w:abstractNumId w:val="33"/>
  </w:num>
  <w:num w:numId="25">
    <w:abstractNumId w:val="25"/>
  </w:num>
  <w:num w:numId="26">
    <w:abstractNumId w:val="1"/>
  </w:num>
  <w:num w:numId="27">
    <w:abstractNumId w:val="28"/>
  </w:num>
  <w:num w:numId="28">
    <w:abstractNumId w:val="3"/>
  </w:num>
  <w:num w:numId="29">
    <w:abstractNumId w:val="12"/>
  </w:num>
  <w:num w:numId="30">
    <w:abstractNumId w:val="31"/>
  </w:num>
  <w:num w:numId="31">
    <w:abstractNumId w:val="15"/>
  </w:num>
  <w:num w:numId="32">
    <w:abstractNumId w:val="14"/>
  </w:num>
  <w:num w:numId="33">
    <w:abstractNumId w:val="8"/>
  </w:num>
  <w:num w:numId="34">
    <w:abstractNumId w:val="6"/>
  </w:num>
  <w:num w:numId="35">
    <w:abstractNumId w:val="40"/>
  </w:num>
  <w:num w:numId="36">
    <w:abstractNumId w:val="35"/>
  </w:num>
  <w:num w:numId="37">
    <w:abstractNumId w:val="39"/>
  </w:num>
  <w:num w:numId="38">
    <w:abstractNumId w:val="3"/>
  </w:num>
  <w:num w:numId="39">
    <w:abstractNumId w:val="3"/>
  </w:num>
  <w:num w:numId="40">
    <w:abstractNumId w:val="3"/>
  </w:num>
  <w:num w:numId="41">
    <w:abstractNumId w:val="18"/>
  </w:num>
  <w:num w:numId="42">
    <w:abstractNumId w:val="7"/>
  </w:num>
  <w:num w:numId="43">
    <w:abstractNumId w:val="3"/>
  </w:num>
  <w:num w:numId="44">
    <w:abstractNumId w:val="3"/>
  </w:num>
  <w:num w:numId="45">
    <w:abstractNumId w:val="21"/>
  </w:num>
  <w:num w:numId="46">
    <w:abstractNumId w:val="43"/>
  </w:num>
  <w:num w:numId="47">
    <w:abstractNumId w:val="3"/>
  </w:num>
  <w:num w:numId="48">
    <w:abstractNumId w:val="3"/>
  </w:num>
  <w:num w:numId="49">
    <w:abstractNumId w:val="20"/>
  </w:num>
  <w:num w:numId="50">
    <w:abstractNumId w:val="42"/>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 w:numId="82">
    <w:abstractNumId w:val="3"/>
  </w:num>
  <w:num w:numId="83">
    <w:abstractNumId w:val="3"/>
  </w:num>
  <w:num w:numId="84">
    <w:abstractNumId w:val="3"/>
  </w:num>
  <w:num w:numId="85">
    <w:abstractNumId w:val="11"/>
  </w:num>
  <w:num w:numId="86">
    <w:abstractNumId w:val="37"/>
  </w:num>
  <w:num w:numId="87">
    <w:abstractNumId w:val="3"/>
  </w:num>
  <w:num w:numId="88">
    <w:abstractNumId w:val="3"/>
  </w:num>
  <w:num w:numId="89">
    <w:abstractNumId w:val="3"/>
  </w:num>
  <w:num w:numId="90">
    <w:abstractNumId w:val="3"/>
  </w:num>
  <w:num w:numId="91">
    <w:abstractNumId w:val="3"/>
  </w:num>
  <w:num w:numId="92">
    <w:abstractNumId w:val="3"/>
  </w:num>
  <w:num w:numId="93">
    <w:abstractNumId w:val="3"/>
  </w:num>
  <w:num w:numId="94">
    <w:abstractNumId w:val="3"/>
  </w:num>
  <w:num w:numId="95">
    <w:abstractNumId w:val="3"/>
  </w:num>
  <w:num w:numId="96">
    <w:abstractNumId w:val="3"/>
  </w:num>
  <w:num w:numId="97">
    <w:abstractNumId w:val="3"/>
  </w:num>
  <w:num w:numId="98">
    <w:abstractNumId w:val="3"/>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 Finkel">
    <w15:presenceInfo w15:providerId="None" w15:userId="Alan Fin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627fab2-5a6b-4357-8b18-7ffca0a56476"/>
    <w:docVar w:name="_AMO_XmlVersion" w:val="Empty"/>
  </w:docVars>
  <w:rsids>
    <w:rsidRoot w:val="00C10C19"/>
    <w:rsid w:val="00002721"/>
    <w:rsid w:val="00003877"/>
    <w:rsid w:val="00006FE4"/>
    <w:rsid w:val="00007422"/>
    <w:rsid w:val="00012476"/>
    <w:rsid w:val="000126C7"/>
    <w:rsid w:val="00013D94"/>
    <w:rsid w:val="00013E6B"/>
    <w:rsid w:val="00016845"/>
    <w:rsid w:val="000224CF"/>
    <w:rsid w:val="00024E24"/>
    <w:rsid w:val="00034EAA"/>
    <w:rsid w:val="00040065"/>
    <w:rsid w:val="00042268"/>
    <w:rsid w:val="0004492A"/>
    <w:rsid w:val="0005055C"/>
    <w:rsid w:val="00055559"/>
    <w:rsid w:val="00060E13"/>
    <w:rsid w:val="0006339E"/>
    <w:rsid w:val="00063BF5"/>
    <w:rsid w:val="00073232"/>
    <w:rsid w:val="00073AA4"/>
    <w:rsid w:val="00077210"/>
    <w:rsid w:val="00082502"/>
    <w:rsid w:val="00082657"/>
    <w:rsid w:val="00084751"/>
    <w:rsid w:val="00084EBB"/>
    <w:rsid w:val="000852FB"/>
    <w:rsid w:val="00085AE4"/>
    <w:rsid w:val="000861A6"/>
    <w:rsid w:val="00090375"/>
    <w:rsid w:val="0009306F"/>
    <w:rsid w:val="00094B90"/>
    <w:rsid w:val="000976FD"/>
    <w:rsid w:val="000A0EB5"/>
    <w:rsid w:val="000A4D8C"/>
    <w:rsid w:val="000A5D7C"/>
    <w:rsid w:val="000A7053"/>
    <w:rsid w:val="000C412B"/>
    <w:rsid w:val="000C5439"/>
    <w:rsid w:val="000D6791"/>
    <w:rsid w:val="000E1268"/>
    <w:rsid w:val="000E3F53"/>
    <w:rsid w:val="000E7E7B"/>
    <w:rsid w:val="000F01EF"/>
    <w:rsid w:val="000F3BA2"/>
    <w:rsid w:val="000F464C"/>
    <w:rsid w:val="0010601A"/>
    <w:rsid w:val="00106223"/>
    <w:rsid w:val="00110F16"/>
    <w:rsid w:val="001175BF"/>
    <w:rsid w:val="001210C7"/>
    <w:rsid w:val="00124A7E"/>
    <w:rsid w:val="00130923"/>
    <w:rsid w:val="0013697C"/>
    <w:rsid w:val="001414F3"/>
    <w:rsid w:val="00143FCD"/>
    <w:rsid w:val="0015090D"/>
    <w:rsid w:val="00156029"/>
    <w:rsid w:val="0015628A"/>
    <w:rsid w:val="00166585"/>
    <w:rsid w:val="0018517A"/>
    <w:rsid w:val="00197E4D"/>
    <w:rsid w:val="001A0CD8"/>
    <w:rsid w:val="001A18CA"/>
    <w:rsid w:val="001A341E"/>
    <w:rsid w:val="001A458A"/>
    <w:rsid w:val="001B6467"/>
    <w:rsid w:val="001D0120"/>
    <w:rsid w:val="001D7AE5"/>
    <w:rsid w:val="001F4138"/>
    <w:rsid w:val="00216D09"/>
    <w:rsid w:val="002234FF"/>
    <w:rsid w:val="00223EB1"/>
    <w:rsid w:val="002250B1"/>
    <w:rsid w:val="00236917"/>
    <w:rsid w:val="00243D6B"/>
    <w:rsid w:val="00244819"/>
    <w:rsid w:val="00246DDA"/>
    <w:rsid w:val="00250BCC"/>
    <w:rsid w:val="00256E43"/>
    <w:rsid w:val="00262DF9"/>
    <w:rsid w:val="00266F0C"/>
    <w:rsid w:val="00275FE5"/>
    <w:rsid w:val="0027608E"/>
    <w:rsid w:val="00276E4D"/>
    <w:rsid w:val="00282548"/>
    <w:rsid w:val="002837D2"/>
    <w:rsid w:val="00283CF2"/>
    <w:rsid w:val="00285317"/>
    <w:rsid w:val="00285CFF"/>
    <w:rsid w:val="002868B9"/>
    <w:rsid w:val="002921DB"/>
    <w:rsid w:val="00292940"/>
    <w:rsid w:val="00292CFC"/>
    <w:rsid w:val="002A0184"/>
    <w:rsid w:val="002A0AAB"/>
    <w:rsid w:val="002A0AE6"/>
    <w:rsid w:val="002B06E6"/>
    <w:rsid w:val="002B12C2"/>
    <w:rsid w:val="002B3C4D"/>
    <w:rsid w:val="002B72C6"/>
    <w:rsid w:val="002B72FE"/>
    <w:rsid w:val="002C6135"/>
    <w:rsid w:val="002D0EB8"/>
    <w:rsid w:val="002D271F"/>
    <w:rsid w:val="002D581E"/>
    <w:rsid w:val="002D6386"/>
    <w:rsid w:val="002E291E"/>
    <w:rsid w:val="002E464E"/>
    <w:rsid w:val="002E473C"/>
    <w:rsid w:val="002E48AD"/>
    <w:rsid w:val="002F3C52"/>
    <w:rsid w:val="002F789A"/>
    <w:rsid w:val="00303C62"/>
    <w:rsid w:val="0030417E"/>
    <w:rsid w:val="00304E67"/>
    <w:rsid w:val="00305B35"/>
    <w:rsid w:val="00305F65"/>
    <w:rsid w:val="00311F17"/>
    <w:rsid w:val="00314156"/>
    <w:rsid w:val="003166C5"/>
    <w:rsid w:val="003242B9"/>
    <w:rsid w:val="00325DE9"/>
    <w:rsid w:val="0032797F"/>
    <w:rsid w:val="00332BD1"/>
    <w:rsid w:val="003415CB"/>
    <w:rsid w:val="00344ADA"/>
    <w:rsid w:val="00344CFD"/>
    <w:rsid w:val="003451D1"/>
    <w:rsid w:val="0035003A"/>
    <w:rsid w:val="00352B82"/>
    <w:rsid w:val="003548AF"/>
    <w:rsid w:val="0036023F"/>
    <w:rsid w:val="003608CF"/>
    <w:rsid w:val="0036450F"/>
    <w:rsid w:val="00366410"/>
    <w:rsid w:val="00367033"/>
    <w:rsid w:val="00367A71"/>
    <w:rsid w:val="00371DFD"/>
    <w:rsid w:val="003724F9"/>
    <w:rsid w:val="0037250A"/>
    <w:rsid w:val="00374017"/>
    <w:rsid w:val="00382533"/>
    <w:rsid w:val="0038255D"/>
    <w:rsid w:val="00382DD6"/>
    <w:rsid w:val="00383727"/>
    <w:rsid w:val="00384161"/>
    <w:rsid w:val="00386822"/>
    <w:rsid w:val="003907A2"/>
    <w:rsid w:val="00395539"/>
    <w:rsid w:val="003956C1"/>
    <w:rsid w:val="00396A87"/>
    <w:rsid w:val="00396FDD"/>
    <w:rsid w:val="003A1B99"/>
    <w:rsid w:val="003A29AD"/>
    <w:rsid w:val="003A4B0A"/>
    <w:rsid w:val="003A66F3"/>
    <w:rsid w:val="003B4A5A"/>
    <w:rsid w:val="003B540D"/>
    <w:rsid w:val="003B6A88"/>
    <w:rsid w:val="003B7636"/>
    <w:rsid w:val="003C6AFB"/>
    <w:rsid w:val="003D36FF"/>
    <w:rsid w:val="003D4F47"/>
    <w:rsid w:val="003D651E"/>
    <w:rsid w:val="003D67FC"/>
    <w:rsid w:val="003D6D9D"/>
    <w:rsid w:val="003E270F"/>
    <w:rsid w:val="003E3BBB"/>
    <w:rsid w:val="003F0F61"/>
    <w:rsid w:val="003F3617"/>
    <w:rsid w:val="003F5193"/>
    <w:rsid w:val="00405D33"/>
    <w:rsid w:val="00406E5A"/>
    <w:rsid w:val="004106E9"/>
    <w:rsid w:val="00411BDA"/>
    <w:rsid w:val="00421609"/>
    <w:rsid w:val="00426508"/>
    <w:rsid w:val="00427EBC"/>
    <w:rsid w:val="004300DF"/>
    <w:rsid w:val="00436A36"/>
    <w:rsid w:val="0044199B"/>
    <w:rsid w:val="004544A3"/>
    <w:rsid w:val="00455B34"/>
    <w:rsid w:val="00461C3B"/>
    <w:rsid w:val="004715B8"/>
    <w:rsid w:val="00473E4D"/>
    <w:rsid w:val="004754CD"/>
    <w:rsid w:val="004808DC"/>
    <w:rsid w:val="00486755"/>
    <w:rsid w:val="004874D2"/>
    <w:rsid w:val="0048762C"/>
    <w:rsid w:val="00490707"/>
    <w:rsid w:val="00491022"/>
    <w:rsid w:val="004923A4"/>
    <w:rsid w:val="004924B7"/>
    <w:rsid w:val="00497930"/>
    <w:rsid w:val="004A2722"/>
    <w:rsid w:val="004A53A0"/>
    <w:rsid w:val="004A659D"/>
    <w:rsid w:val="004B0077"/>
    <w:rsid w:val="004B256F"/>
    <w:rsid w:val="004B465F"/>
    <w:rsid w:val="004C4A14"/>
    <w:rsid w:val="004C4F5B"/>
    <w:rsid w:val="004D0132"/>
    <w:rsid w:val="004E1273"/>
    <w:rsid w:val="004E1A94"/>
    <w:rsid w:val="004E7816"/>
    <w:rsid w:val="004F2B82"/>
    <w:rsid w:val="004F5622"/>
    <w:rsid w:val="004F6594"/>
    <w:rsid w:val="00500157"/>
    <w:rsid w:val="00502D08"/>
    <w:rsid w:val="0050342B"/>
    <w:rsid w:val="00503EAE"/>
    <w:rsid w:val="00511183"/>
    <w:rsid w:val="005113B6"/>
    <w:rsid w:val="0051190F"/>
    <w:rsid w:val="005125C3"/>
    <w:rsid w:val="005127D6"/>
    <w:rsid w:val="005158DA"/>
    <w:rsid w:val="00515F25"/>
    <w:rsid w:val="00523F4A"/>
    <w:rsid w:val="00531817"/>
    <w:rsid w:val="00532E20"/>
    <w:rsid w:val="0053475C"/>
    <w:rsid w:val="005354A0"/>
    <w:rsid w:val="00536172"/>
    <w:rsid w:val="0054030D"/>
    <w:rsid w:val="0054172A"/>
    <w:rsid w:val="0054611D"/>
    <w:rsid w:val="00550406"/>
    <w:rsid w:val="00550D88"/>
    <w:rsid w:val="0055224C"/>
    <w:rsid w:val="00556985"/>
    <w:rsid w:val="00557C90"/>
    <w:rsid w:val="00560CA0"/>
    <w:rsid w:val="005624F3"/>
    <w:rsid w:val="0056431A"/>
    <w:rsid w:val="00565E5E"/>
    <w:rsid w:val="005723CD"/>
    <w:rsid w:val="005811EF"/>
    <w:rsid w:val="00581738"/>
    <w:rsid w:val="005824B7"/>
    <w:rsid w:val="00582C0F"/>
    <w:rsid w:val="00593FD5"/>
    <w:rsid w:val="005A586A"/>
    <w:rsid w:val="005B00FA"/>
    <w:rsid w:val="005B0878"/>
    <w:rsid w:val="005B292E"/>
    <w:rsid w:val="005B53A3"/>
    <w:rsid w:val="005C01F4"/>
    <w:rsid w:val="005C15C0"/>
    <w:rsid w:val="005D135F"/>
    <w:rsid w:val="005D3CBD"/>
    <w:rsid w:val="005D6F90"/>
    <w:rsid w:val="005E5D80"/>
    <w:rsid w:val="005E5FE1"/>
    <w:rsid w:val="005E662F"/>
    <w:rsid w:val="005E6F02"/>
    <w:rsid w:val="005F1B60"/>
    <w:rsid w:val="005F4BC3"/>
    <w:rsid w:val="005F647C"/>
    <w:rsid w:val="005F7C4B"/>
    <w:rsid w:val="005F7DAC"/>
    <w:rsid w:val="006004D4"/>
    <w:rsid w:val="0060262F"/>
    <w:rsid w:val="006028C5"/>
    <w:rsid w:val="00602B3B"/>
    <w:rsid w:val="00603AE6"/>
    <w:rsid w:val="00610654"/>
    <w:rsid w:val="0061137A"/>
    <w:rsid w:val="00613BC2"/>
    <w:rsid w:val="00615DED"/>
    <w:rsid w:val="00620F1A"/>
    <w:rsid w:val="006215F1"/>
    <w:rsid w:val="00621BDE"/>
    <w:rsid w:val="0062298D"/>
    <w:rsid w:val="00622F24"/>
    <w:rsid w:val="006318B9"/>
    <w:rsid w:val="00636003"/>
    <w:rsid w:val="00644454"/>
    <w:rsid w:val="00646719"/>
    <w:rsid w:val="0064723C"/>
    <w:rsid w:val="0065419F"/>
    <w:rsid w:val="00655981"/>
    <w:rsid w:val="00661811"/>
    <w:rsid w:val="0067026C"/>
    <w:rsid w:val="00671FDB"/>
    <w:rsid w:val="00676CA8"/>
    <w:rsid w:val="00691EA6"/>
    <w:rsid w:val="00697BBB"/>
    <w:rsid w:val="006A38DB"/>
    <w:rsid w:val="006A44AF"/>
    <w:rsid w:val="006B02F9"/>
    <w:rsid w:val="006B0407"/>
    <w:rsid w:val="006B2221"/>
    <w:rsid w:val="006B32A4"/>
    <w:rsid w:val="006B6018"/>
    <w:rsid w:val="006C05DA"/>
    <w:rsid w:val="006C0D5F"/>
    <w:rsid w:val="006C7917"/>
    <w:rsid w:val="006D7E4A"/>
    <w:rsid w:val="006E20A1"/>
    <w:rsid w:val="006E2D49"/>
    <w:rsid w:val="006F247E"/>
    <w:rsid w:val="006F6152"/>
    <w:rsid w:val="00704D82"/>
    <w:rsid w:val="00705F06"/>
    <w:rsid w:val="00706279"/>
    <w:rsid w:val="007139C8"/>
    <w:rsid w:val="0071663C"/>
    <w:rsid w:val="0071709C"/>
    <w:rsid w:val="007235FE"/>
    <w:rsid w:val="007236BD"/>
    <w:rsid w:val="00726F0F"/>
    <w:rsid w:val="007277D7"/>
    <w:rsid w:val="007300C1"/>
    <w:rsid w:val="00731AC5"/>
    <w:rsid w:val="007328B2"/>
    <w:rsid w:val="00736B90"/>
    <w:rsid w:val="007372AF"/>
    <w:rsid w:val="00744746"/>
    <w:rsid w:val="007468FC"/>
    <w:rsid w:val="007542A0"/>
    <w:rsid w:val="00760156"/>
    <w:rsid w:val="00763E08"/>
    <w:rsid w:val="00765FB0"/>
    <w:rsid w:val="00771F9F"/>
    <w:rsid w:val="00772FAA"/>
    <w:rsid w:val="0077449E"/>
    <w:rsid w:val="0077530B"/>
    <w:rsid w:val="00787E61"/>
    <w:rsid w:val="00790123"/>
    <w:rsid w:val="00792CA3"/>
    <w:rsid w:val="007938EB"/>
    <w:rsid w:val="00794BA1"/>
    <w:rsid w:val="007A0888"/>
    <w:rsid w:val="007A2D1D"/>
    <w:rsid w:val="007A5270"/>
    <w:rsid w:val="007A5BED"/>
    <w:rsid w:val="007A741A"/>
    <w:rsid w:val="007B2FDD"/>
    <w:rsid w:val="007B536F"/>
    <w:rsid w:val="007B5925"/>
    <w:rsid w:val="007B5A7F"/>
    <w:rsid w:val="007C2E86"/>
    <w:rsid w:val="007C680B"/>
    <w:rsid w:val="007D58FB"/>
    <w:rsid w:val="007E246D"/>
    <w:rsid w:val="007E2BFA"/>
    <w:rsid w:val="007E478D"/>
    <w:rsid w:val="007E5C12"/>
    <w:rsid w:val="007F2E9A"/>
    <w:rsid w:val="007F2FC5"/>
    <w:rsid w:val="007F53A1"/>
    <w:rsid w:val="007F57BB"/>
    <w:rsid w:val="00803534"/>
    <w:rsid w:val="008126AD"/>
    <w:rsid w:val="008149AB"/>
    <w:rsid w:val="00816437"/>
    <w:rsid w:val="0082087E"/>
    <w:rsid w:val="00824065"/>
    <w:rsid w:val="0083078E"/>
    <w:rsid w:val="00831AE3"/>
    <w:rsid w:val="0083468A"/>
    <w:rsid w:val="0083540F"/>
    <w:rsid w:val="00837014"/>
    <w:rsid w:val="0084295C"/>
    <w:rsid w:val="00842D43"/>
    <w:rsid w:val="0084387E"/>
    <w:rsid w:val="00847DF6"/>
    <w:rsid w:val="00850BBB"/>
    <w:rsid w:val="00850BC0"/>
    <w:rsid w:val="00851020"/>
    <w:rsid w:val="00854203"/>
    <w:rsid w:val="00855727"/>
    <w:rsid w:val="008557A8"/>
    <w:rsid w:val="00856D1C"/>
    <w:rsid w:val="0087283A"/>
    <w:rsid w:val="00872898"/>
    <w:rsid w:val="008742AB"/>
    <w:rsid w:val="00875EBA"/>
    <w:rsid w:val="00876AC0"/>
    <w:rsid w:val="00877342"/>
    <w:rsid w:val="008834CA"/>
    <w:rsid w:val="008839B6"/>
    <w:rsid w:val="00883ADE"/>
    <w:rsid w:val="008863CD"/>
    <w:rsid w:val="00887B1E"/>
    <w:rsid w:val="008900F0"/>
    <w:rsid w:val="008971C5"/>
    <w:rsid w:val="00897B37"/>
    <w:rsid w:val="008A1A34"/>
    <w:rsid w:val="008A4A45"/>
    <w:rsid w:val="008A6437"/>
    <w:rsid w:val="008B6894"/>
    <w:rsid w:val="008C5C0A"/>
    <w:rsid w:val="008C5EA8"/>
    <w:rsid w:val="008C6387"/>
    <w:rsid w:val="008C7FDD"/>
    <w:rsid w:val="008E24B2"/>
    <w:rsid w:val="008F32C3"/>
    <w:rsid w:val="008F48DD"/>
    <w:rsid w:val="008F6B5C"/>
    <w:rsid w:val="008F7B72"/>
    <w:rsid w:val="00903408"/>
    <w:rsid w:val="009044AA"/>
    <w:rsid w:val="009116EA"/>
    <w:rsid w:val="00912E2E"/>
    <w:rsid w:val="0091434F"/>
    <w:rsid w:val="00917EE3"/>
    <w:rsid w:val="00924234"/>
    <w:rsid w:val="0093004F"/>
    <w:rsid w:val="00933671"/>
    <w:rsid w:val="00933A32"/>
    <w:rsid w:val="009350FE"/>
    <w:rsid w:val="00935670"/>
    <w:rsid w:val="009434E2"/>
    <w:rsid w:val="00943E2D"/>
    <w:rsid w:val="00950804"/>
    <w:rsid w:val="009510E3"/>
    <w:rsid w:val="00955F15"/>
    <w:rsid w:val="00961E48"/>
    <w:rsid w:val="00964B9B"/>
    <w:rsid w:val="009716A3"/>
    <w:rsid w:val="00972BF7"/>
    <w:rsid w:val="00972DD5"/>
    <w:rsid w:val="00983042"/>
    <w:rsid w:val="00984879"/>
    <w:rsid w:val="00984C38"/>
    <w:rsid w:val="00985632"/>
    <w:rsid w:val="00991B63"/>
    <w:rsid w:val="00995032"/>
    <w:rsid w:val="009A2460"/>
    <w:rsid w:val="009B2428"/>
    <w:rsid w:val="009B395E"/>
    <w:rsid w:val="009B5CB7"/>
    <w:rsid w:val="009B5F01"/>
    <w:rsid w:val="009B7F54"/>
    <w:rsid w:val="009C0535"/>
    <w:rsid w:val="009C127A"/>
    <w:rsid w:val="009C2D8A"/>
    <w:rsid w:val="009C2F5B"/>
    <w:rsid w:val="009C3019"/>
    <w:rsid w:val="009D20E5"/>
    <w:rsid w:val="009D5B72"/>
    <w:rsid w:val="009E2040"/>
    <w:rsid w:val="009F0570"/>
    <w:rsid w:val="009F4A8E"/>
    <w:rsid w:val="00A00416"/>
    <w:rsid w:val="00A0169A"/>
    <w:rsid w:val="00A03BE8"/>
    <w:rsid w:val="00A03D6E"/>
    <w:rsid w:val="00A12D55"/>
    <w:rsid w:val="00A1700C"/>
    <w:rsid w:val="00A22AE3"/>
    <w:rsid w:val="00A23F6D"/>
    <w:rsid w:val="00A255E5"/>
    <w:rsid w:val="00A25E0A"/>
    <w:rsid w:val="00A27AE7"/>
    <w:rsid w:val="00A3044C"/>
    <w:rsid w:val="00A31242"/>
    <w:rsid w:val="00A4307D"/>
    <w:rsid w:val="00A448BB"/>
    <w:rsid w:val="00A52530"/>
    <w:rsid w:val="00A52706"/>
    <w:rsid w:val="00A5375B"/>
    <w:rsid w:val="00A548AC"/>
    <w:rsid w:val="00A551BF"/>
    <w:rsid w:val="00A556AD"/>
    <w:rsid w:val="00A6338F"/>
    <w:rsid w:val="00A63AA7"/>
    <w:rsid w:val="00A6508C"/>
    <w:rsid w:val="00A70524"/>
    <w:rsid w:val="00A71AAC"/>
    <w:rsid w:val="00A71BC2"/>
    <w:rsid w:val="00A73406"/>
    <w:rsid w:val="00A73CD8"/>
    <w:rsid w:val="00A81F15"/>
    <w:rsid w:val="00A84F1F"/>
    <w:rsid w:val="00A86A04"/>
    <w:rsid w:val="00A94A63"/>
    <w:rsid w:val="00AA0B02"/>
    <w:rsid w:val="00AA40B5"/>
    <w:rsid w:val="00AA747E"/>
    <w:rsid w:val="00AB654A"/>
    <w:rsid w:val="00AC45DD"/>
    <w:rsid w:val="00AC49FF"/>
    <w:rsid w:val="00AC65DA"/>
    <w:rsid w:val="00AC70B4"/>
    <w:rsid w:val="00AD161B"/>
    <w:rsid w:val="00AD1F77"/>
    <w:rsid w:val="00AD2D49"/>
    <w:rsid w:val="00AE6101"/>
    <w:rsid w:val="00AE6146"/>
    <w:rsid w:val="00AF21E5"/>
    <w:rsid w:val="00AF5015"/>
    <w:rsid w:val="00AF5CD2"/>
    <w:rsid w:val="00B038F6"/>
    <w:rsid w:val="00B043CB"/>
    <w:rsid w:val="00B06978"/>
    <w:rsid w:val="00B10268"/>
    <w:rsid w:val="00B102F1"/>
    <w:rsid w:val="00B1136F"/>
    <w:rsid w:val="00B1376B"/>
    <w:rsid w:val="00B20C14"/>
    <w:rsid w:val="00B222C0"/>
    <w:rsid w:val="00B2722A"/>
    <w:rsid w:val="00B337CA"/>
    <w:rsid w:val="00B370AD"/>
    <w:rsid w:val="00B401F8"/>
    <w:rsid w:val="00B51FA8"/>
    <w:rsid w:val="00B526B8"/>
    <w:rsid w:val="00B534A7"/>
    <w:rsid w:val="00B5506A"/>
    <w:rsid w:val="00B56A4F"/>
    <w:rsid w:val="00B618BA"/>
    <w:rsid w:val="00B7163A"/>
    <w:rsid w:val="00B72224"/>
    <w:rsid w:val="00B766AF"/>
    <w:rsid w:val="00B8025F"/>
    <w:rsid w:val="00B80905"/>
    <w:rsid w:val="00B81A7B"/>
    <w:rsid w:val="00B8339A"/>
    <w:rsid w:val="00B977DB"/>
    <w:rsid w:val="00B97E3B"/>
    <w:rsid w:val="00BA282D"/>
    <w:rsid w:val="00BA416A"/>
    <w:rsid w:val="00BA5937"/>
    <w:rsid w:val="00BB1C6D"/>
    <w:rsid w:val="00BB281B"/>
    <w:rsid w:val="00BB453C"/>
    <w:rsid w:val="00BB6260"/>
    <w:rsid w:val="00BB6EFE"/>
    <w:rsid w:val="00BC0D29"/>
    <w:rsid w:val="00BC22DA"/>
    <w:rsid w:val="00BC3C0E"/>
    <w:rsid w:val="00BE410B"/>
    <w:rsid w:val="00BE4995"/>
    <w:rsid w:val="00BF2FCB"/>
    <w:rsid w:val="00BF5CC7"/>
    <w:rsid w:val="00C00191"/>
    <w:rsid w:val="00C01D64"/>
    <w:rsid w:val="00C029C2"/>
    <w:rsid w:val="00C029D6"/>
    <w:rsid w:val="00C0574E"/>
    <w:rsid w:val="00C05E74"/>
    <w:rsid w:val="00C07ACD"/>
    <w:rsid w:val="00C07ADB"/>
    <w:rsid w:val="00C10C19"/>
    <w:rsid w:val="00C1215A"/>
    <w:rsid w:val="00C143B8"/>
    <w:rsid w:val="00C15254"/>
    <w:rsid w:val="00C162BD"/>
    <w:rsid w:val="00C17437"/>
    <w:rsid w:val="00C17D02"/>
    <w:rsid w:val="00C2190C"/>
    <w:rsid w:val="00C265C9"/>
    <w:rsid w:val="00C30A85"/>
    <w:rsid w:val="00C3507C"/>
    <w:rsid w:val="00C36643"/>
    <w:rsid w:val="00C36C38"/>
    <w:rsid w:val="00C46E8B"/>
    <w:rsid w:val="00C50607"/>
    <w:rsid w:val="00C55769"/>
    <w:rsid w:val="00C5649C"/>
    <w:rsid w:val="00C56837"/>
    <w:rsid w:val="00C71FB7"/>
    <w:rsid w:val="00C75486"/>
    <w:rsid w:val="00C76475"/>
    <w:rsid w:val="00C80235"/>
    <w:rsid w:val="00C8202C"/>
    <w:rsid w:val="00C8474D"/>
    <w:rsid w:val="00C85A4C"/>
    <w:rsid w:val="00C9053C"/>
    <w:rsid w:val="00C92A5B"/>
    <w:rsid w:val="00C944F2"/>
    <w:rsid w:val="00C967D9"/>
    <w:rsid w:val="00CA3065"/>
    <w:rsid w:val="00CA46EC"/>
    <w:rsid w:val="00CA78F0"/>
    <w:rsid w:val="00CB11B2"/>
    <w:rsid w:val="00CB541A"/>
    <w:rsid w:val="00CB6B41"/>
    <w:rsid w:val="00CC3954"/>
    <w:rsid w:val="00CC459E"/>
    <w:rsid w:val="00CC656C"/>
    <w:rsid w:val="00CD0C12"/>
    <w:rsid w:val="00CD27ED"/>
    <w:rsid w:val="00CD2B72"/>
    <w:rsid w:val="00CD521B"/>
    <w:rsid w:val="00CD5E2F"/>
    <w:rsid w:val="00CE433F"/>
    <w:rsid w:val="00CF2D75"/>
    <w:rsid w:val="00CF4E0C"/>
    <w:rsid w:val="00CF5657"/>
    <w:rsid w:val="00CF79A1"/>
    <w:rsid w:val="00D034CE"/>
    <w:rsid w:val="00D04046"/>
    <w:rsid w:val="00D04C9C"/>
    <w:rsid w:val="00D05B29"/>
    <w:rsid w:val="00D1394D"/>
    <w:rsid w:val="00D14B77"/>
    <w:rsid w:val="00D155A5"/>
    <w:rsid w:val="00D21DF8"/>
    <w:rsid w:val="00D244FD"/>
    <w:rsid w:val="00D26D3E"/>
    <w:rsid w:val="00D27163"/>
    <w:rsid w:val="00D3164C"/>
    <w:rsid w:val="00D33FB1"/>
    <w:rsid w:val="00D34A3E"/>
    <w:rsid w:val="00D35175"/>
    <w:rsid w:val="00D35AAF"/>
    <w:rsid w:val="00D47740"/>
    <w:rsid w:val="00D53FD0"/>
    <w:rsid w:val="00D54415"/>
    <w:rsid w:val="00D57E2F"/>
    <w:rsid w:val="00D701DB"/>
    <w:rsid w:val="00D7185A"/>
    <w:rsid w:val="00D71C91"/>
    <w:rsid w:val="00D74990"/>
    <w:rsid w:val="00D77CC3"/>
    <w:rsid w:val="00D81182"/>
    <w:rsid w:val="00D812B9"/>
    <w:rsid w:val="00D81470"/>
    <w:rsid w:val="00D81D7B"/>
    <w:rsid w:val="00D83966"/>
    <w:rsid w:val="00D85829"/>
    <w:rsid w:val="00D85F34"/>
    <w:rsid w:val="00D87CC5"/>
    <w:rsid w:val="00D903FD"/>
    <w:rsid w:val="00D94BC5"/>
    <w:rsid w:val="00D96735"/>
    <w:rsid w:val="00D96C08"/>
    <w:rsid w:val="00D97BF6"/>
    <w:rsid w:val="00DB29C4"/>
    <w:rsid w:val="00DB4A05"/>
    <w:rsid w:val="00DB4FF4"/>
    <w:rsid w:val="00DB68B7"/>
    <w:rsid w:val="00DB7654"/>
    <w:rsid w:val="00DB7C05"/>
    <w:rsid w:val="00DC2C45"/>
    <w:rsid w:val="00DC3052"/>
    <w:rsid w:val="00DC68C7"/>
    <w:rsid w:val="00DD4435"/>
    <w:rsid w:val="00DE25B1"/>
    <w:rsid w:val="00DE2695"/>
    <w:rsid w:val="00DE3C7E"/>
    <w:rsid w:val="00DE7ABA"/>
    <w:rsid w:val="00DE7B22"/>
    <w:rsid w:val="00DF14F9"/>
    <w:rsid w:val="00DF2B20"/>
    <w:rsid w:val="00DF38C8"/>
    <w:rsid w:val="00DF46C4"/>
    <w:rsid w:val="00DF4A81"/>
    <w:rsid w:val="00DF7527"/>
    <w:rsid w:val="00E004A8"/>
    <w:rsid w:val="00E03572"/>
    <w:rsid w:val="00E038F8"/>
    <w:rsid w:val="00E04024"/>
    <w:rsid w:val="00E05C4E"/>
    <w:rsid w:val="00E05CE6"/>
    <w:rsid w:val="00E06E82"/>
    <w:rsid w:val="00E10F72"/>
    <w:rsid w:val="00E11170"/>
    <w:rsid w:val="00E11E06"/>
    <w:rsid w:val="00E177C4"/>
    <w:rsid w:val="00E21B02"/>
    <w:rsid w:val="00E23114"/>
    <w:rsid w:val="00E23B8A"/>
    <w:rsid w:val="00E30E2F"/>
    <w:rsid w:val="00E30E3E"/>
    <w:rsid w:val="00E31468"/>
    <w:rsid w:val="00E37343"/>
    <w:rsid w:val="00E41483"/>
    <w:rsid w:val="00E41495"/>
    <w:rsid w:val="00E519FC"/>
    <w:rsid w:val="00E56D83"/>
    <w:rsid w:val="00E57D48"/>
    <w:rsid w:val="00E601E5"/>
    <w:rsid w:val="00E61B07"/>
    <w:rsid w:val="00E70C42"/>
    <w:rsid w:val="00E71867"/>
    <w:rsid w:val="00E72B29"/>
    <w:rsid w:val="00E84BCB"/>
    <w:rsid w:val="00E84E85"/>
    <w:rsid w:val="00E90DA3"/>
    <w:rsid w:val="00E93250"/>
    <w:rsid w:val="00E93F53"/>
    <w:rsid w:val="00E944C0"/>
    <w:rsid w:val="00E97B2E"/>
    <w:rsid w:val="00EA12AB"/>
    <w:rsid w:val="00EA1CDC"/>
    <w:rsid w:val="00EA3421"/>
    <w:rsid w:val="00EA35E6"/>
    <w:rsid w:val="00EB40FB"/>
    <w:rsid w:val="00EC3D5A"/>
    <w:rsid w:val="00EC6BD6"/>
    <w:rsid w:val="00EC78E7"/>
    <w:rsid w:val="00ED43D2"/>
    <w:rsid w:val="00EE1095"/>
    <w:rsid w:val="00EE1D95"/>
    <w:rsid w:val="00EE1FDA"/>
    <w:rsid w:val="00EE3B8C"/>
    <w:rsid w:val="00EF017E"/>
    <w:rsid w:val="00EF1F15"/>
    <w:rsid w:val="00EF26A0"/>
    <w:rsid w:val="00EF4A38"/>
    <w:rsid w:val="00EF4C0D"/>
    <w:rsid w:val="00EF7601"/>
    <w:rsid w:val="00F041EE"/>
    <w:rsid w:val="00F11B8F"/>
    <w:rsid w:val="00F13833"/>
    <w:rsid w:val="00F13F02"/>
    <w:rsid w:val="00F1540B"/>
    <w:rsid w:val="00F16A84"/>
    <w:rsid w:val="00F16ED2"/>
    <w:rsid w:val="00F17CF1"/>
    <w:rsid w:val="00F207FD"/>
    <w:rsid w:val="00F2358D"/>
    <w:rsid w:val="00F317C0"/>
    <w:rsid w:val="00F33AD0"/>
    <w:rsid w:val="00F35514"/>
    <w:rsid w:val="00F36403"/>
    <w:rsid w:val="00F379DE"/>
    <w:rsid w:val="00F4150D"/>
    <w:rsid w:val="00F4385A"/>
    <w:rsid w:val="00F514ED"/>
    <w:rsid w:val="00F523AC"/>
    <w:rsid w:val="00F572E8"/>
    <w:rsid w:val="00F66949"/>
    <w:rsid w:val="00F74011"/>
    <w:rsid w:val="00F772C4"/>
    <w:rsid w:val="00F843C9"/>
    <w:rsid w:val="00F87FDB"/>
    <w:rsid w:val="00F901A8"/>
    <w:rsid w:val="00FA4B99"/>
    <w:rsid w:val="00FA7E12"/>
    <w:rsid w:val="00FB10CB"/>
    <w:rsid w:val="00FB1C09"/>
    <w:rsid w:val="00FB403A"/>
    <w:rsid w:val="00FB470E"/>
    <w:rsid w:val="00FB7031"/>
    <w:rsid w:val="00FC5952"/>
    <w:rsid w:val="00FD10FB"/>
    <w:rsid w:val="00FD4B23"/>
    <w:rsid w:val="00FD4F8A"/>
    <w:rsid w:val="00FE0926"/>
    <w:rsid w:val="00FF7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7E"/>
  </w:style>
  <w:style w:type="paragraph" w:styleId="Heading1">
    <w:name w:val="heading 1"/>
    <w:basedOn w:val="Normal"/>
    <w:next w:val="Normal"/>
    <w:link w:val="Heading1Char"/>
    <w:uiPriority w:val="9"/>
    <w:qFormat/>
    <w:rsid w:val="003166C5"/>
    <w:pPr>
      <w:numPr>
        <w:numId w:val="28"/>
      </w:num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numPr>
        <w:ilvl w:val="1"/>
        <w:numId w:val="28"/>
      </w:num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numPr>
        <w:ilvl w:val="2"/>
        <w:numId w:val="28"/>
      </w:num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numPr>
        <w:ilvl w:val="3"/>
        <w:numId w:val="28"/>
      </w:num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numPr>
        <w:ilvl w:val="4"/>
        <w:numId w:val="28"/>
      </w:num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numPr>
        <w:ilvl w:val="5"/>
        <w:numId w:val="28"/>
      </w:num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numPr>
        <w:ilvl w:val="6"/>
        <w:numId w:val="2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numPr>
        <w:ilvl w:val="7"/>
        <w:numId w:val="2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numPr>
        <w:ilvl w:val="8"/>
        <w:numId w:val="2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3166C5"/>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List Paragraph1,List Paragraph11,Recommendation,bullet point list,Bullet point,List Paragraph111,List Paragraph2,Indented bullet,0Bullet,1 heading,Dot point 1.5 line spacing,List Paragraph - bullets,NFP GP Bulleted Lis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35003A"/>
    <w:pPr>
      <w:tabs>
        <w:tab w:val="left" w:pos="709"/>
        <w:tab w:val="right" w:leader="dot" w:pos="9016"/>
      </w:tabs>
      <w:spacing w:after="100"/>
      <w:ind w:left="1418" w:hanging="1418"/>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styleId="FootnoteText">
    <w:name w:val="footnote text"/>
    <w:basedOn w:val="Normal"/>
    <w:link w:val="FootnoteTextChar"/>
    <w:uiPriority w:val="99"/>
    <w:semiHidden/>
    <w:unhideWhenUsed/>
    <w:rsid w:val="00B8025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8025F"/>
    <w:rPr>
      <w:rFonts w:eastAsiaTheme="minorHAnsi"/>
      <w:sz w:val="20"/>
      <w:szCs w:val="20"/>
    </w:rPr>
  </w:style>
  <w:style w:type="character" w:styleId="FootnoteReference">
    <w:name w:val="footnote reference"/>
    <w:basedOn w:val="DefaultParagraphFont"/>
    <w:uiPriority w:val="99"/>
    <w:semiHidden/>
    <w:unhideWhenUsed/>
    <w:rsid w:val="00B8025F"/>
    <w:rPr>
      <w:vertAlign w:val="superscript"/>
    </w:rPr>
  </w:style>
  <w:style w:type="character" w:customStyle="1" w:styleId="ListParagraphChar">
    <w:name w:val="List Paragraph Char"/>
    <w:aliases w:val="L Char,List Paragraph1 Char,List Paragraph11 Char,Recommendation Char,bullet point list Char,Bullet point Char,List Paragraph111 Char,List Paragraph2 Char,Indented bullet Char,0Bullet Char,1 heading Char,List Paragraph - bullets Char"/>
    <w:basedOn w:val="DefaultParagraphFont"/>
    <w:link w:val="ListParagraph"/>
    <w:uiPriority w:val="34"/>
    <w:locked/>
    <w:rsid w:val="00B8025F"/>
  </w:style>
  <w:style w:type="paragraph" w:styleId="NormalWeb">
    <w:name w:val="Normal (Web)"/>
    <w:basedOn w:val="Normal"/>
    <w:uiPriority w:val="99"/>
    <w:unhideWhenUsed/>
    <w:rsid w:val="00B8025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tterBody">
    <w:name w:val="Letter Body"/>
    <w:basedOn w:val="Normal"/>
    <w:qFormat/>
    <w:rsid w:val="00B8025F"/>
    <w:pPr>
      <w:spacing w:after="120" w:line="240" w:lineRule="auto"/>
    </w:pPr>
    <w:rPr>
      <w:rFonts w:eastAsiaTheme="minorHAnsi"/>
    </w:rPr>
  </w:style>
  <w:style w:type="character" w:styleId="CommentReference">
    <w:name w:val="annotation reference"/>
    <w:basedOn w:val="DefaultParagraphFont"/>
    <w:uiPriority w:val="99"/>
    <w:semiHidden/>
    <w:unhideWhenUsed/>
    <w:rsid w:val="007F2E9A"/>
    <w:rPr>
      <w:sz w:val="16"/>
      <w:szCs w:val="16"/>
    </w:rPr>
  </w:style>
  <w:style w:type="paragraph" w:styleId="CommentText">
    <w:name w:val="annotation text"/>
    <w:basedOn w:val="Normal"/>
    <w:link w:val="CommentTextChar"/>
    <w:uiPriority w:val="99"/>
    <w:semiHidden/>
    <w:unhideWhenUsed/>
    <w:rsid w:val="007F2E9A"/>
    <w:pPr>
      <w:spacing w:line="240" w:lineRule="auto"/>
    </w:pPr>
    <w:rPr>
      <w:sz w:val="20"/>
      <w:szCs w:val="20"/>
    </w:rPr>
  </w:style>
  <w:style w:type="character" w:customStyle="1" w:styleId="CommentTextChar">
    <w:name w:val="Comment Text Char"/>
    <w:basedOn w:val="DefaultParagraphFont"/>
    <w:link w:val="CommentText"/>
    <w:uiPriority w:val="99"/>
    <w:semiHidden/>
    <w:rsid w:val="007F2E9A"/>
    <w:rPr>
      <w:sz w:val="20"/>
      <w:szCs w:val="20"/>
    </w:rPr>
  </w:style>
  <w:style w:type="paragraph" w:styleId="CommentSubject">
    <w:name w:val="annotation subject"/>
    <w:basedOn w:val="CommentText"/>
    <w:next w:val="CommentText"/>
    <w:link w:val="CommentSubjectChar"/>
    <w:uiPriority w:val="99"/>
    <w:semiHidden/>
    <w:unhideWhenUsed/>
    <w:rsid w:val="007F2E9A"/>
    <w:rPr>
      <w:b/>
      <w:bCs/>
    </w:rPr>
  </w:style>
  <w:style w:type="character" w:customStyle="1" w:styleId="CommentSubjectChar">
    <w:name w:val="Comment Subject Char"/>
    <w:basedOn w:val="CommentTextChar"/>
    <w:link w:val="CommentSubject"/>
    <w:uiPriority w:val="99"/>
    <w:semiHidden/>
    <w:rsid w:val="007F2E9A"/>
    <w:rPr>
      <w:b/>
      <w:bCs/>
      <w:sz w:val="20"/>
      <w:szCs w:val="20"/>
    </w:rPr>
  </w:style>
  <w:style w:type="character" w:customStyle="1" w:styleId="lexicon-term">
    <w:name w:val="lexicon-term"/>
    <w:basedOn w:val="DefaultParagraphFont"/>
    <w:rsid w:val="00837014"/>
    <w:rPr>
      <w:strike w:val="0"/>
      <w:dstrike w:val="0"/>
      <w:u w:val="none"/>
      <w:effect w:val="none"/>
    </w:rPr>
  </w:style>
  <w:style w:type="paragraph" w:styleId="Revision">
    <w:name w:val="Revision"/>
    <w:hidden/>
    <w:uiPriority w:val="99"/>
    <w:semiHidden/>
    <w:rsid w:val="00AD1F77"/>
    <w:pPr>
      <w:spacing w:after="0" w:line="240" w:lineRule="auto"/>
    </w:pPr>
  </w:style>
  <w:style w:type="character" w:customStyle="1" w:styleId="st1">
    <w:name w:val="st1"/>
    <w:basedOn w:val="DefaultParagraphFont"/>
    <w:rsid w:val="008B6894"/>
  </w:style>
  <w:style w:type="paragraph" w:styleId="EndnoteText">
    <w:name w:val="endnote text"/>
    <w:basedOn w:val="Normal"/>
    <w:link w:val="EndnoteTextChar"/>
    <w:uiPriority w:val="99"/>
    <w:semiHidden/>
    <w:unhideWhenUsed/>
    <w:rsid w:val="009716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6A3"/>
    <w:rPr>
      <w:sz w:val="20"/>
      <w:szCs w:val="20"/>
    </w:rPr>
  </w:style>
  <w:style w:type="character" w:styleId="EndnoteReference">
    <w:name w:val="endnote reference"/>
    <w:basedOn w:val="DefaultParagraphFont"/>
    <w:uiPriority w:val="99"/>
    <w:semiHidden/>
    <w:unhideWhenUsed/>
    <w:rsid w:val="009716A3"/>
    <w:rPr>
      <w:vertAlign w:val="superscript"/>
    </w:rPr>
  </w:style>
  <w:style w:type="character" w:styleId="FollowedHyperlink">
    <w:name w:val="FollowedHyperlink"/>
    <w:basedOn w:val="DefaultParagraphFont"/>
    <w:uiPriority w:val="99"/>
    <w:semiHidden/>
    <w:unhideWhenUsed/>
    <w:rsid w:val="00F87FDB"/>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7E"/>
  </w:style>
  <w:style w:type="paragraph" w:styleId="Heading1">
    <w:name w:val="heading 1"/>
    <w:basedOn w:val="Normal"/>
    <w:next w:val="Normal"/>
    <w:link w:val="Heading1Char"/>
    <w:uiPriority w:val="9"/>
    <w:qFormat/>
    <w:rsid w:val="003166C5"/>
    <w:pPr>
      <w:numPr>
        <w:numId w:val="28"/>
      </w:num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numPr>
        <w:ilvl w:val="1"/>
        <w:numId w:val="28"/>
      </w:num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numPr>
        <w:ilvl w:val="2"/>
        <w:numId w:val="28"/>
      </w:num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numPr>
        <w:ilvl w:val="3"/>
        <w:numId w:val="28"/>
      </w:num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numPr>
        <w:ilvl w:val="4"/>
        <w:numId w:val="28"/>
      </w:num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numPr>
        <w:ilvl w:val="5"/>
        <w:numId w:val="28"/>
      </w:num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numPr>
        <w:ilvl w:val="6"/>
        <w:numId w:val="2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numPr>
        <w:ilvl w:val="7"/>
        <w:numId w:val="2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numPr>
        <w:ilvl w:val="8"/>
        <w:numId w:val="2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3166C5"/>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List Paragraph1,List Paragraph11,Recommendation,bullet point list,Bullet point,List Paragraph111,List Paragraph2,Indented bullet,0Bullet,1 heading,Dot point 1.5 line spacing,List Paragraph - bullets,NFP GP Bulleted Lis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35003A"/>
    <w:pPr>
      <w:tabs>
        <w:tab w:val="left" w:pos="709"/>
        <w:tab w:val="right" w:leader="dot" w:pos="9016"/>
      </w:tabs>
      <w:spacing w:after="100"/>
      <w:ind w:left="1418" w:hanging="1418"/>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styleId="FootnoteText">
    <w:name w:val="footnote text"/>
    <w:basedOn w:val="Normal"/>
    <w:link w:val="FootnoteTextChar"/>
    <w:uiPriority w:val="99"/>
    <w:semiHidden/>
    <w:unhideWhenUsed/>
    <w:rsid w:val="00B8025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8025F"/>
    <w:rPr>
      <w:rFonts w:eastAsiaTheme="minorHAnsi"/>
      <w:sz w:val="20"/>
      <w:szCs w:val="20"/>
    </w:rPr>
  </w:style>
  <w:style w:type="character" w:styleId="FootnoteReference">
    <w:name w:val="footnote reference"/>
    <w:basedOn w:val="DefaultParagraphFont"/>
    <w:uiPriority w:val="99"/>
    <w:semiHidden/>
    <w:unhideWhenUsed/>
    <w:rsid w:val="00B8025F"/>
    <w:rPr>
      <w:vertAlign w:val="superscript"/>
    </w:rPr>
  </w:style>
  <w:style w:type="character" w:customStyle="1" w:styleId="ListParagraphChar">
    <w:name w:val="List Paragraph Char"/>
    <w:aliases w:val="L Char,List Paragraph1 Char,List Paragraph11 Char,Recommendation Char,bullet point list Char,Bullet point Char,List Paragraph111 Char,List Paragraph2 Char,Indented bullet Char,0Bullet Char,1 heading Char,List Paragraph - bullets Char"/>
    <w:basedOn w:val="DefaultParagraphFont"/>
    <w:link w:val="ListParagraph"/>
    <w:uiPriority w:val="34"/>
    <w:locked/>
    <w:rsid w:val="00B8025F"/>
  </w:style>
  <w:style w:type="paragraph" w:styleId="NormalWeb">
    <w:name w:val="Normal (Web)"/>
    <w:basedOn w:val="Normal"/>
    <w:uiPriority w:val="99"/>
    <w:unhideWhenUsed/>
    <w:rsid w:val="00B8025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tterBody">
    <w:name w:val="Letter Body"/>
    <w:basedOn w:val="Normal"/>
    <w:qFormat/>
    <w:rsid w:val="00B8025F"/>
    <w:pPr>
      <w:spacing w:after="120" w:line="240" w:lineRule="auto"/>
    </w:pPr>
    <w:rPr>
      <w:rFonts w:eastAsiaTheme="minorHAnsi"/>
    </w:rPr>
  </w:style>
  <w:style w:type="character" w:styleId="CommentReference">
    <w:name w:val="annotation reference"/>
    <w:basedOn w:val="DefaultParagraphFont"/>
    <w:uiPriority w:val="99"/>
    <w:semiHidden/>
    <w:unhideWhenUsed/>
    <w:rsid w:val="007F2E9A"/>
    <w:rPr>
      <w:sz w:val="16"/>
      <w:szCs w:val="16"/>
    </w:rPr>
  </w:style>
  <w:style w:type="paragraph" w:styleId="CommentText">
    <w:name w:val="annotation text"/>
    <w:basedOn w:val="Normal"/>
    <w:link w:val="CommentTextChar"/>
    <w:uiPriority w:val="99"/>
    <w:semiHidden/>
    <w:unhideWhenUsed/>
    <w:rsid w:val="007F2E9A"/>
    <w:pPr>
      <w:spacing w:line="240" w:lineRule="auto"/>
    </w:pPr>
    <w:rPr>
      <w:sz w:val="20"/>
      <w:szCs w:val="20"/>
    </w:rPr>
  </w:style>
  <w:style w:type="character" w:customStyle="1" w:styleId="CommentTextChar">
    <w:name w:val="Comment Text Char"/>
    <w:basedOn w:val="DefaultParagraphFont"/>
    <w:link w:val="CommentText"/>
    <w:uiPriority w:val="99"/>
    <w:semiHidden/>
    <w:rsid w:val="007F2E9A"/>
    <w:rPr>
      <w:sz w:val="20"/>
      <w:szCs w:val="20"/>
    </w:rPr>
  </w:style>
  <w:style w:type="paragraph" w:styleId="CommentSubject">
    <w:name w:val="annotation subject"/>
    <w:basedOn w:val="CommentText"/>
    <w:next w:val="CommentText"/>
    <w:link w:val="CommentSubjectChar"/>
    <w:uiPriority w:val="99"/>
    <w:semiHidden/>
    <w:unhideWhenUsed/>
    <w:rsid w:val="007F2E9A"/>
    <w:rPr>
      <w:b/>
      <w:bCs/>
    </w:rPr>
  </w:style>
  <w:style w:type="character" w:customStyle="1" w:styleId="CommentSubjectChar">
    <w:name w:val="Comment Subject Char"/>
    <w:basedOn w:val="CommentTextChar"/>
    <w:link w:val="CommentSubject"/>
    <w:uiPriority w:val="99"/>
    <w:semiHidden/>
    <w:rsid w:val="007F2E9A"/>
    <w:rPr>
      <w:b/>
      <w:bCs/>
      <w:sz w:val="20"/>
      <w:szCs w:val="20"/>
    </w:rPr>
  </w:style>
  <w:style w:type="character" w:customStyle="1" w:styleId="lexicon-term">
    <w:name w:val="lexicon-term"/>
    <w:basedOn w:val="DefaultParagraphFont"/>
    <w:rsid w:val="00837014"/>
    <w:rPr>
      <w:strike w:val="0"/>
      <w:dstrike w:val="0"/>
      <w:u w:val="none"/>
      <w:effect w:val="none"/>
    </w:rPr>
  </w:style>
  <w:style w:type="paragraph" w:styleId="Revision">
    <w:name w:val="Revision"/>
    <w:hidden/>
    <w:uiPriority w:val="99"/>
    <w:semiHidden/>
    <w:rsid w:val="00AD1F77"/>
    <w:pPr>
      <w:spacing w:after="0" w:line="240" w:lineRule="auto"/>
    </w:pPr>
  </w:style>
  <w:style w:type="character" w:customStyle="1" w:styleId="st1">
    <w:name w:val="st1"/>
    <w:basedOn w:val="DefaultParagraphFont"/>
    <w:rsid w:val="008B6894"/>
  </w:style>
  <w:style w:type="paragraph" w:styleId="EndnoteText">
    <w:name w:val="endnote text"/>
    <w:basedOn w:val="Normal"/>
    <w:link w:val="EndnoteTextChar"/>
    <w:uiPriority w:val="99"/>
    <w:semiHidden/>
    <w:unhideWhenUsed/>
    <w:rsid w:val="009716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6A3"/>
    <w:rPr>
      <w:sz w:val="20"/>
      <w:szCs w:val="20"/>
    </w:rPr>
  </w:style>
  <w:style w:type="character" w:styleId="EndnoteReference">
    <w:name w:val="endnote reference"/>
    <w:basedOn w:val="DefaultParagraphFont"/>
    <w:uiPriority w:val="99"/>
    <w:semiHidden/>
    <w:unhideWhenUsed/>
    <w:rsid w:val="009716A3"/>
    <w:rPr>
      <w:vertAlign w:val="superscript"/>
    </w:rPr>
  </w:style>
  <w:style w:type="character" w:styleId="FollowedHyperlink">
    <w:name w:val="FollowedHyperlink"/>
    <w:basedOn w:val="DefaultParagraphFont"/>
    <w:uiPriority w:val="99"/>
    <w:semiHidden/>
    <w:unhideWhenUsed/>
    <w:rsid w:val="00F87FD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2152">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21128880">
      <w:bodyDiv w:val="1"/>
      <w:marLeft w:val="0"/>
      <w:marRight w:val="0"/>
      <w:marTop w:val="0"/>
      <w:marBottom w:val="0"/>
      <w:divBdr>
        <w:top w:val="none" w:sz="0" w:space="0" w:color="auto"/>
        <w:left w:val="none" w:sz="0" w:space="0" w:color="auto"/>
        <w:bottom w:val="none" w:sz="0" w:space="0" w:color="auto"/>
        <w:right w:val="none" w:sz="0" w:space="0" w:color="auto"/>
      </w:divBdr>
      <w:divsChild>
        <w:div w:id="144669461">
          <w:marLeft w:val="0"/>
          <w:marRight w:val="0"/>
          <w:marTop w:val="0"/>
          <w:marBottom w:val="0"/>
          <w:divBdr>
            <w:top w:val="none" w:sz="0" w:space="0" w:color="auto"/>
            <w:left w:val="none" w:sz="0" w:space="0" w:color="auto"/>
            <w:bottom w:val="none" w:sz="0" w:space="0" w:color="auto"/>
            <w:right w:val="none" w:sz="0" w:space="0" w:color="auto"/>
          </w:divBdr>
          <w:divsChild>
            <w:div w:id="1376077896">
              <w:marLeft w:val="0"/>
              <w:marRight w:val="0"/>
              <w:marTop w:val="0"/>
              <w:marBottom w:val="0"/>
              <w:divBdr>
                <w:top w:val="none" w:sz="0" w:space="0" w:color="auto"/>
                <w:left w:val="none" w:sz="0" w:space="0" w:color="auto"/>
                <w:bottom w:val="none" w:sz="0" w:space="0" w:color="auto"/>
                <w:right w:val="none" w:sz="0" w:space="0" w:color="auto"/>
              </w:divBdr>
              <w:divsChild>
                <w:div w:id="344065337">
                  <w:marLeft w:val="0"/>
                  <w:marRight w:val="0"/>
                  <w:marTop w:val="0"/>
                  <w:marBottom w:val="0"/>
                  <w:divBdr>
                    <w:top w:val="none" w:sz="0" w:space="0" w:color="auto"/>
                    <w:left w:val="none" w:sz="0" w:space="0" w:color="auto"/>
                    <w:bottom w:val="none" w:sz="0" w:space="0" w:color="auto"/>
                    <w:right w:val="none" w:sz="0" w:space="0" w:color="auto"/>
                  </w:divBdr>
                  <w:divsChild>
                    <w:div w:id="1118067645">
                      <w:marLeft w:val="0"/>
                      <w:marRight w:val="0"/>
                      <w:marTop w:val="0"/>
                      <w:marBottom w:val="0"/>
                      <w:divBdr>
                        <w:top w:val="none" w:sz="0" w:space="0" w:color="auto"/>
                        <w:left w:val="none" w:sz="0" w:space="0" w:color="auto"/>
                        <w:bottom w:val="none" w:sz="0" w:space="0" w:color="auto"/>
                        <w:right w:val="none" w:sz="0" w:space="0" w:color="auto"/>
                      </w:divBdr>
                      <w:divsChild>
                        <w:div w:id="1061099560">
                          <w:marLeft w:val="0"/>
                          <w:marRight w:val="0"/>
                          <w:marTop w:val="0"/>
                          <w:marBottom w:val="0"/>
                          <w:divBdr>
                            <w:top w:val="none" w:sz="0" w:space="0" w:color="auto"/>
                            <w:left w:val="none" w:sz="0" w:space="0" w:color="auto"/>
                            <w:bottom w:val="none" w:sz="0" w:space="0" w:color="auto"/>
                            <w:right w:val="none" w:sz="0" w:space="0" w:color="auto"/>
                          </w:divBdr>
                          <w:divsChild>
                            <w:div w:id="1255017458">
                              <w:marLeft w:val="0"/>
                              <w:marRight w:val="0"/>
                              <w:marTop w:val="0"/>
                              <w:marBottom w:val="0"/>
                              <w:divBdr>
                                <w:top w:val="none" w:sz="0" w:space="0" w:color="auto"/>
                                <w:left w:val="none" w:sz="0" w:space="0" w:color="auto"/>
                                <w:bottom w:val="none" w:sz="0" w:space="0" w:color="auto"/>
                                <w:right w:val="none" w:sz="0" w:space="0" w:color="auto"/>
                              </w:divBdr>
                              <w:divsChild>
                                <w:div w:id="8146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69305">
      <w:bodyDiv w:val="1"/>
      <w:marLeft w:val="0"/>
      <w:marRight w:val="0"/>
      <w:marTop w:val="0"/>
      <w:marBottom w:val="0"/>
      <w:divBdr>
        <w:top w:val="none" w:sz="0" w:space="0" w:color="auto"/>
        <w:left w:val="none" w:sz="0" w:space="0" w:color="auto"/>
        <w:bottom w:val="none" w:sz="0" w:space="0" w:color="auto"/>
        <w:right w:val="none" w:sz="0" w:space="0" w:color="auto"/>
      </w:divBdr>
    </w:div>
    <w:div w:id="636767299">
      <w:bodyDiv w:val="1"/>
      <w:marLeft w:val="0"/>
      <w:marRight w:val="0"/>
      <w:marTop w:val="0"/>
      <w:marBottom w:val="0"/>
      <w:divBdr>
        <w:top w:val="none" w:sz="0" w:space="0" w:color="auto"/>
        <w:left w:val="none" w:sz="0" w:space="0" w:color="auto"/>
        <w:bottom w:val="none" w:sz="0" w:space="0" w:color="auto"/>
        <w:right w:val="none" w:sz="0" w:space="0" w:color="auto"/>
      </w:divBdr>
    </w:div>
    <w:div w:id="961884352">
      <w:bodyDiv w:val="1"/>
      <w:marLeft w:val="0"/>
      <w:marRight w:val="0"/>
      <w:marTop w:val="0"/>
      <w:marBottom w:val="0"/>
      <w:divBdr>
        <w:top w:val="none" w:sz="0" w:space="0" w:color="auto"/>
        <w:left w:val="none" w:sz="0" w:space="0" w:color="auto"/>
        <w:bottom w:val="none" w:sz="0" w:space="0" w:color="auto"/>
        <w:right w:val="none" w:sz="0" w:space="0" w:color="auto"/>
      </w:divBdr>
    </w:div>
    <w:div w:id="984893812">
      <w:bodyDiv w:val="1"/>
      <w:marLeft w:val="0"/>
      <w:marRight w:val="0"/>
      <w:marTop w:val="0"/>
      <w:marBottom w:val="0"/>
      <w:divBdr>
        <w:top w:val="none" w:sz="0" w:space="0" w:color="auto"/>
        <w:left w:val="none" w:sz="0" w:space="0" w:color="auto"/>
        <w:bottom w:val="none" w:sz="0" w:space="0" w:color="auto"/>
        <w:right w:val="none" w:sz="0" w:space="0" w:color="auto"/>
      </w:divBdr>
    </w:div>
    <w:div w:id="1033967500">
      <w:bodyDiv w:val="1"/>
      <w:marLeft w:val="0"/>
      <w:marRight w:val="0"/>
      <w:marTop w:val="0"/>
      <w:marBottom w:val="0"/>
      <w:divBdr>
        <w:top w:val="none" w:sz="0" w:space="0" w:color="auto"/>
        <w:left w:val="none" w:sz="0" w:space="0" w:color="auto"/>
        <w:bottom w:val="none" w:sz="0" w:space="0" w:color="auto"/>
        <w:right w:val="none" w:sz="0" w:space="0" w:color="auto"/>
      </w:divBdr>
    </w:div>
    <w:div w:id="1127624476">
      <w:bodyDiv w:val="1"/>
      <w:marLeft w:val="0"/>
      <w:marRight w:val="0"/>
      <w:marTop w:val="0"/>
      <w:marBottom w:val="0"/>
      <w:divBdr>
        <w:top w:val="none" w:sz="0" w:space="0" w:color="auto"/>
        <w:left w:val="none" w:sz="0" w:space="0" w:color="auto"/>
        <w:bottom w:val="none" w:sz="0" w:space="0" w:color="auto"/>
        <w:right w:val="none" w:sz="0" w:space="0" w:color="auto"/>
      </w:divBdr>
    </w:div>
    <w:div w:id="1483933213">
      <w:bodyDiv w:val="1"/>
      <w:marLeft w:val="0"/>
      <w:marRight w:val="0"/>
      <w:marTop w:val="0"/>
      <w:marBottom w:val="0"/>
      <w:divBdr>
        <w:top w:val="none" w:sz="0" w:space="0" w:color="auto"/>
        <w:left w:val="none" w:sz="0" w:space="0" w:color="auto"/>
        <w:bottom w:val="none" w:sz="0" w:space="0" w:color="auto"/>
        <w:right w:val="none" w:sz="0" w:space="0" w:color="auto"/>
      </w:divBdr>
    </w:div>
    <w:div w:id="1650011990">
      <w:bodyDiv w:val="1"/>
      <w:marLeft w:val="0"/>
      <w:marRight w:val="0"/>
      <w:marTop w:val="0"/>
      <w:marBottom w:val="0"/>
      <w:divBdr>
        <w:top w:val="none" w:sz="0" w:space="0" w:color="auto"/>
        <w:left w:val="none" w:sz="0" w:space="0" w:color="auto"/>
        <w:bottom w:val="none" w:sz="0" w:space="0" w:color="auto"/>
        <w:right w:val="none" w:sz="0" w:space="0" w:color="auto"/>
      </w:divBdr>
    </w:div>
    <w:div w:id="18206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creativecommons.org/licenses/by/3.0/au/" TargetMode="External"/><Relationship Id="rId26" Type="http://schemas.openxmlformats.org/officeDocument/2006/relationships/hyperlink" Target="https://www.education.gov.au/2016-national-research-infrastructure-roadmap"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ducation.gov.au/2016-national-research-infrastructure-roadmap" TargetMode="External"/><Relationship Id="rId32" Type="http://schemas.openxmlformats.org/officeDocument/2006/relationships/footer" Target="footer6.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www.education.gov.au/2016-national-research-infrastructure-roadmap" TargetMode="External"/><Relationship Id="rId10" Type="http://schemas.openxmlformats.org/officeDocument/2006/relationships/image" Target="media/image2.jpg"/><Relationship Id="rId19" Type="http://schemas.openxmlformats.org/officeDocument/2006/relationships/hyperlink" Target="http://creativecommons.org/licenses/by/3.0/au/legalcode" TargetMode="Externa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mailto:RoadmapSubmissions@education.gov.au" TargetMode="External"/><Relationship Id="rId30" Type="http://schemas.openxmlformats.org/officeDocument/2006/relationships/footer" Target="footer5.xml"/><Relationship Id="rId35"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saxinstitute.org.au/our-work/sure/" TargetMode="External"/><Relationship Id="rId2" Type="http://schemas.openxmlformats.org/officeDocument/2006/relationships/hyperlink" Target="https://www.education.gov.au/2016-national-research-infrastructure-roadmap" TargetMode="External"/><Relationship Id="rId1" Type="http://schemas.openxmlformats.org/officeDocument/2006/relationships/hyperlink" Target="http://www.education.gov.au/ncris-projects-efficiency-review" TargetMode="External"/><Relationship Id="rId4" Type="http://schemas.openxmlformats.org/officeDocument/2006/relationships/hyperlink" Target="http://www.ukbiobank.ac.uk/about-biobank-uk/"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66D6-B5FA-4D21-887F-90492B9E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5CBB4F7A.dotm</Template>
  <TotalTime>16</TotalTime>
  <Pages>57</Pages>
  <Words>19021</Words>
  <Characters>108421</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Draft</vt:lpstr>
    </vt:vector>
  </TitlesOfParts>
  <Company>Australian Government</Company>
  <LinksUpToDate>false</LinksUpToDate>
  <CharactersWithSpaces>127188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Danny Thomas</dc:creator>
  <cp:lastModifiedBy>Nicolas Carrin</cp:lastModifiedBy>
  <cp:revision>4</cp:revision>
  <cp:lastPrinted>2016-07-16T09:39:00Z</cp:lastPrinted>
  <dcterms:created xsi:type="dcterms:W3CDTF">2016-07-19T22:29:00Z</dcterms:created>
  <dcterms:modified xsi:type="dcterms:W3CDTF">2016-07-19T23:03:00Z</dcterms:modified>
</cp:coreProperties>
</file>