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B704" w14:textId="0B250BBD" w:rsidR="00080DA3" w:rsidRPr="003F46ED" w:rsidRDefault="00F36069" w:rsidP="006E7371">
      <w:pPr>
        <w:pStyle w:val="Title"/>
      </w:pPr>
      <w:bookmarkStart w:id="0" w:name="_Toc402180225"/>
      <w:r w:rsidRPr="003F46ED">
        <w:rPr>
          <w:noProof/>
          <w:lang w:eastAsia="en-AU"/>
        </w:rPr>
        <w:drawing>
          <wp:anchor distT="0" distB="0" distL="114300" distR="114300" simplePos="0" relativeHeight="251659264" behindDoc="1" locked="0" layoutInCell="1" allowOverlap="1" wp14:anchorId="50AAAE3C" wp14:editId="25128EDC">
            <wp:simplePos x="0" y="0"/>
            <wp:positionH relativeFrom="column">
              <wp:posOffset>-990600</wp:posOffset>
            </wp:positionH>
            <wp:positionV relativeFrom="paragraph">
              <wp:posOffset>-1439545</wp:posOffset>
            </wp:positionV>
            <wp:extent cx="8229600" cy="5132070"/>
            <wp:effectExtent l="0" t="0" r="0" b="0"/>
            <wp:wrapNone/>
            <wp:docPr id="2" name="Picture 2" descr="Decorat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_AE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0" cy="513207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Toc402180226"/>
      <w:bookmarkEnd w:id="0"/>
      <w:r w:rsidR="00E86CA1" w:rsidRPr="003F46ED">
        <w:t>Senior Secondary Languages Education Research Project</w:t>
      </w:r>
      <w:bookmarkEnd w:id="1"/>
    </w:p>
    <w:p w14:paraId="5D270D16" w14:textId="77777777" w:rsidR="00080DA3" w:rsidRPr="003F46ED" w:rsidRDefault="00E86CA1" w:rsidP="00B30583">
      <w:pPr>
        <w:pStyle w:val="Subtitle"/>
      </w:pPr>
      <w:bookmarkStart w:id="2" w:name="_Toc402180227"/>
      <w:r w:rsidRPr="003F46ED">
        <w:t xml:space="preserve">Final </w:t>
      </w:r>
      <w:r w:rsidR="00616FC3" w:rsidRPr="003F46ED">
        <w:t>report</w:t>
      </w:r>
      <w:bookmarkEnd w:id="2"/>
    </w:p>
    <w:p w14:paraId="035405D4" w14:textId="77777777" w:rsidR="001E0F74" w:rsidRPr="003F46ED" w:rsidRDefault="001E0F74" w:rsidP="006E7371">
      <w:pPr>
        <w:jc w:val="right"/>
      </w:pPr>
      <w:bookmarkStart w:id="3" w:name="_Toc402180228"/>
      <w:r w:rsidRPr="003F46ED">
        <w:t>By Asia Education Foundation</w:t>
      </w:r>
      <w:bookmarkEnd w:id="3"/>
    </w:p>
    <w:p w14:paraId="14F7355A" w14:textId="77777777" w:rsidR="001E0F74" w:rsidRPr="003F46ED" w:rsidRDefault="001E0F74" w:rsidP="006E7371">
      <w:pPr>
        <w:jc w:val="right"/>
      </w:pPr>
      <w:bookmarkStart w:id="4" w:name="_Toc402180229"/>
      <w:r w:rsidRPr="003F46ED">
        <w:t>In collaboration with</w:t>
      </w:r>
      <w:bookmarkEnd w:id="4"/>
    </w:p>
    <w:p w14:paraId="5B54E69E" w14:textId="77777777" w:rsidR="00B45780" w:rsidRPr="003F46ED" w:rsidRDefault="00B45780" w:rsidP="006E7371">
      <w:pPr>
        <w:jc w:val="right"/>
      </w:pPr>
      <w:bookmarkStart w:id="5" w:name="_Toc402180230"/>
      <w:r w:rsidRPr="003F46ED">
        <w:t>Dr Michelle Kohler, University of South Australia</w:t>
      </w:r>
      <w:bookmarkEnd w:id="5"/>
    </w:p>
    <w:p w14:paraId="63202F03" w14:textId="77777777" w:rsidR="00B45780" w:rsidRPr="003F46ED" w:rsidRDefault="00B45780" w:rsidP="006E7371">
      <w:pPr>
        <w:jc w:val="right"/>
      </w:pPr>
      <w:bookmarkStart w:id="6" w:name="_Toc402180231"/>
      <w:r w:rsidRPr="003F46ED">
        <w:t>Dr Timothy Curnow, University of South Australia</w:t>
      </w:r>
      <w:bookmarkEnd w:id="6"/>
    </w:p>
    <w:p w14:paraId="64B86A58" w14:textId="77777777" w:rsidR="00B45780" w:rsidRPr="003F46ED" w:rsidRDefault="00B45780" w:rsidP="006E7371">
      <w:pPr>
        <w:jc w:val="right"/>
      </w:pPr>
      <w:bookmarkStart w:id="7" w:name="_Toc402180232"/>
      <w:r w:rsidRPr="003F46ED">
        <w:t>Australian Council for Educational Research</w:t>
      </w:r>
      <w:bookmarkEnd w:id="7"/>
    </w:p>
    <w:p w14:paraId="11D48D29" w14:textId="77777777" w:rsidR="00B45780" w:rsidRPr="003F46ED" w:rsidRDefault="00B45780" w:rsidP="006E7371">
      <w:pPr>
        <w:jc w:val="right"/>
      </w:pPr>
      <w:bookmarkStart w:id="8" w:name="_Toc402180233"/>
      <w:r w:rsidRPr="003F46ED">
        <w:t>Dr Robyn Spence-Brown, Monash University</w:t>
      </w:r>
      <w:bookmarkEnd w:id="8"/>
    </w:p>
    <w:p w14:paraId="2238138C" w14:textId="77777777" w:rsidR="00EF3E8E" w:rsidRPr="003F46ED" w:rsidRDefault="00B45780" w:rsidP="006E7371">
      <w:pPr>
        <w:jc w:val="right"/>
      </w:pPr>
      <w:bookmarkStart w:id="9" w:name="_Toc402180234"/>
      <w:r w:rsidRPr="003F46ED">
        <w:t xml:space="preserve">Chris </w:t>
      </w:r>
      <w:proofErr w:type="spellStart"/>
      <w:r w:rsidRPr="003F46ED">
        <w:t>Wardlaw</w:t>
      </w:r>
      <w:bookmarkEnd w:id="9"/>
      <w:proofErr w:type="spellEnd"/>
    </w:p>
    <w:p w14:paraId="32C3DD50" w14:textId="77777777" w:rsidR="00880FD8" w:rsidRDefault="00EF3E8E" w:rsidP="00880FD8">
      <w:r w:rsidRPr="003F46ED">
        <w:t>October 2014</w:t>
      </w:r>
    </w:p>
    <w:p w14:paraId="0D129A10" w14:textId="77777777" w:rsidR="0086690E" w:rsidRPr="003F46ED" w:rsidRDefault="0086690E" w:rsidP="00880FD8"/>
    <w:p w14:paraId="37EA3612" w14:textId="77777777" w:rsidR="00A76285" w:rsidRDefault="00282704" w:rsidP="00374A27">
      <w:pPr>
        <w:rPr>
          <w:noProof/>
        </w:rPr>
      </w:pPr>
      <w:r w:rsidRPr="003F46ED">
        <w:br w:type="page"/>
      </w:r>
      <w:r w:rsidR="00880FD8" w:rsidRPr="003F46ED">
        <w:rPr>
          <w:b/>
          <w:color w:val="BF1726"/>
          <w:sz w:val="36"/>
          <w:szCs w:val="36"/>
        </w:rPr>
        <w:lastRenderedPageBreak/>
        <w:t>Contents</w:t>
      </w:r>
      <w:bookmarkStart w:id="10" w:name="_Toc273790525"/>
      <w:bookmarkStart w:id="11" w:name="_Toc402180236"/>
      <w:bookmarkStart w:id="12" w:name="_Toc276245080"/>
      <w:r w:rsidR="00374A27">
        <w:rPr>
          <w:b/>
          <w:color w:val="BF1726"/>
          <w:sz w:val="36"/>
          <w:szCs w:val="36"/>
        </w:rPr>
        <w:fldChar w:fldCharType="begin"/>
      </w:r>
      <w:r w:rsidR="00374A27">
        <w:rPr>
          <w:b/>
          <w:color w:val="BF1726"/>
          <w:sz w:val="36"/>
          <w:szCs w:val="36"/>
        </w:rPr>
        <w:instrText xml:space="preserve"> TOC \o "2-2" \h \z \t "Heading 1,1,TOC Heading,1" </w:instrText>
      </w:r>
      <w:r w:rsidR="00374A27">
        <w:rPr>
          <w:b/>
          <w:color w:val="BF1726"/>
          <w:sz w:val="36"/>
          <w:szCs w:val="36"/>
        </w:rPr>
        <w:fldChar w:fldCharType="separate"/>
      </w:r>
    </w:p>
    <w:p w14:paraId="2F291A32" w14:textId="79D9EDC6" w:rsidR="00A76285" w:rsidRDefault="006E5D16">
      <w:pPr>
        <w:pStyle w:val="TOC1"/>
        <w:rPr>
          <w:rFonts w:eastAsiaTheme="minorEastAsia" w:cstheme="minorBidi"/>
          <w:b w:val="0"/>
          <w:sz w:val="22"/>
          <w:szCs w:val="22"/>
          <w:lang w:eastAsia="en-AU"/>
        </w:rPr>
      </w:pPr>
      <w:hyperlink w:anchor="_Toc445305248" w:history="1">
        <w:r w:rsidR="00A76285" w:rsidRPr="00BB3FC1">
          <w:rPr>
            <w:rStyle w:val="Hyperlink"/>
          </w:rPr>
          <w:t>Executive summary</w:t>
        </w:r>
        <w:r w:rsidR="00A76285">
          <w:rPr>
            <w:webHidden/>
          </w:rPr>
          <w:tab/>
        </w:r>
        <w:r w:rsidR="00F707B2">
          <w:rPr>
            <w:webHidden/>
          </w:rPr>
          <w:t>3</w:t>
        </w:r>
      </w:hyperlink>
    </w:p>
    <w:p w14:paraId="1CA62BB3" w14:textId="77777777" w:rsidR="00A76285" w:rsidRDefault="006E5D16">
      <w:pPr>
        <w:pStyle w:val="TOC1"/>
        <w:rPr>
          <w:rFonts w:eastAsiaTheme="minorEastAsia" w:cstheme="minorBidi"/>
          <w:b w:val="0"/>
          <w:sz w:val="22"/>
          <w:szCs w:val="22"/>
          <w:lang w:eastAsia="en-AU"/>
        </w:rPr>
      </w:pPr>
      <w:hyperlink w:anchor="_Toc445305251" w:history="1">
        <w:r w:rsidR="00A76285" w:rsidRPr="00BB3FC1">
          <w:rPr>
            <w:rStyle w:val="Hyperlink"/>
          </w:rPr>
          <w:t>Acknowledgements</w:t>
        </w:r>
        <w:r w:rsidR="00A76285">
          <w:rPr>
            <w:webHidden/>
          </w:rPr>
          <w:tab/>
        </w:r>
        <w:r w:rsidR="00A76285">
          <w:rPr>
            <w:webHidden/>
          </w:rPr>
          <w:fldChar w:fldCharType="begin"/>
        </w:r>
        <w:r w:rsidR="00A76285">
          <w:rPr>
            <w:webHidden/>
          </w:rPr>
          <w:instrText xml:space="preserve"> PAGEREF _Toc445305251 \h </w:instrText>
        </w:r>
        <w:r w:rsidR="00A76285">
          <w:rPr>
            <w:webHidden/>
          </w:rPr>
        </w:r>
        <w:r w:rsidR="00A76285">
          <w:rPr>
            <w:webHidden/>
          </w:rPr>
          <w:fldChar w:fldCharType="separate"/>
        </w:r>
        <w:r>
          <w:rPr>
            <w:webHidden/>
          </w:rPr>
          <w:t>11</w:t>
        </w:r>
        <w:r w:rsidR="00A76285">
          <w:rPr>
            <w:webHidden/>
          </w:rPr>
          <w:fldChar w:fldCharType="end"/>
        </w:r>
      </w:hyperlink>
    </w:p>
    <w:p w14:paraId="2DE73730" w14:textId="77777777" w:rsidR="00A76285" w:rsidRDefault="006E5D16">
      <w:pPr>
        <w:pStyle w:val="TOC1"/>
        <w:rPr>
          <w:rFonts w:eastAsiaTheme="minorEastAsia" w:cstheme="minorBidi"/>
          <w:b w:val="0"/>
          <w:sz w:val="22"/>
          <w:szCs w:val="22"/>
          <w:lang w:eastAsia="en-AU"/>
        </w:rPr>
      </w:pPr>
      <w:hyperlink w:anchor="_Toc445305252" w:history="1">
        <w:r w:rsidR="00A76285" w:rsidRPr="00BB3FC1">
          <w:rPr>
            <w:rStyle w:val="Hyperlink"/>
          </w:rPr>
          <w:t>1. Introduction</w:t>
        </w:r>
        <w:r w:rsidR="00A76285">
          <w:rPr>
            <w:webHidden/>
          </w:rPr>
          <w:tab/>
        </w:r>
        <w:r w:rsidR="00A76285">
          <w:rPr>
            <w:webHidden/>
          </w:rPr>
          <w:fldChar w:fldCharType="begin"/>
        </w:r>
        <w:r w:rsidR="00A76285">
          <w:rPr>
            <w:webHidden/>
          </w:rPr>
          <w:instrText xml:space="preserve"> PAGEREF _Toc445305252 \h </w:instrText>
        </w:r>
        <w:r w:rsidR="00A76285">
          <w:rPr>
            <w:webHidden/>
          </w:rPr>
        </w:r>
        <w:r w:rsidR="00A76285">
          <w:rPr>
            <w:webHidden/>
          </w:rPr>
          <w:fldChar w:fldCharType="separate"/>
        </w:r>
        <w:r>
          <w:rPr>
            <w:webHidden/>
          </w:rPr>
          <w:t>12</w:t>
        </w:r>
        <w:r w:rsidR="00A76285">
          <w:rPr>
            <w:webHidden/>
          </w:rPr>
          <w:fldChar w:fldCharType="end"/>
        </w:r>
      </w:hyperlink>
    </w:p>
    <w:p w14:paraId="1A3CF904" w14:textId="77777777" w:rsidR="00A76285" w:rsidRDefault="006E5D16">
      <w:pPr>
        <w:pStyle w:val="TOC2"/>
        <w:tabs>
          <w:tab w:val="right" w:pos="9622"/>
        </w:tabs>
        <w:rPr>
          <w:rFonts w:eastAsiaTheme="minorEastAsia" w:cstheme="minorBidi"/>
          <w:i w:val="0"/>
          <w:noProof/>
          <w:lang w:eastAsia="en-AU"/>
        </w:rPr>
      </w:pPr>
      <w:hyperlink w:anchor="_Toc445305253" w:history="1">
        <w:r w:rsidR="00A76285" w:rsidRPr="00BB3FC1">
          <w:rPr>
            <w:rStyle w:val="Hyperlink"/>
            <w:noProof/>
          </w:rPr>
          <w:t>Background to the research</w:t>
        </w:r>
        <w:r w:rsidR="00A76285">
          <w:rPr>
            <w:noProof/>
            <w:webHidden/>
          </w:rPr>
          <w:tab/>
        </w:r>
        <w:r w:rsidR="00A76285">
          <w:rPr>
            <w:noProof/>
            <w:webHidden/>
          </w:rPr>
          <w:fldChar w:fldCharType="begin"/>
        </w:r>
        <w:r w:rsidR="00A76285">
          <w:rPr>
            <w:noProof/>
            <w:webHidden/>
          </w:rPr>
          <w:instrText xml:space="preserve"> PAGEREF _Toc445305253 \h </w:instrText>
        </w:r>
        <w:r w:rsidR="00A76285">
          <w:rPr>
            <w:noProof/>
            <w:webHidden/>
          </w:rPr>
        </w:r>
        <w:r w:rsidR="00A76285">
          <w:rPr>
            <w:noProof/>
            <w:webHidden/>
          </w:rPr>
          <w:fldChar w:fldCharType="separate"/>
        </w:r>
        <w:r>
          <w:rPr>
            <w:noProof/>
            <w:webHidden/>
          </w:rPr>
          <w:t>12</w:t>
        </w:r>
        <w:r w:rsidR="00A76285">
          <w:rPr>
            <w:noProof/>
            <w:webHidden/>
          </w:rPr>
          <w:fldChar w:fldCharType="end"/>
        </w:r>
      </w:hyperlink>
    </w:p>
    <w:p w14:paraId="3029DA5B" w14:textId="77777777" w:rsidR="00A76285" w:rsidRDefault="006E5D16">
      <w:pPr>
        <w:pStyle w:val="TOC2"/>
        <w:tabs>
          <w:tab w:val="right" w:pos="9622"/>
        </w:tabs>
        <w:rPr>
          <w:rFonts w:eastAsiaTheme="minorEastAsia" w:cstheme="minorBidi"/>
          <w:i w:val="0"/>
          <w:noProof/>
          <w:lang w:eastAsia="en-AU"/>
        </w:rPr>
      </w:pPr>
      <w:hyperlink w:anchor="_Toc445305254" w:history="1">
        <w:r w:rsidR="00A76285" w:rsidRPr="00BB3FC1">
          <w:rPr>
            <w:rStyle w:val="Hyperlink"/>
            <w:noProof/>
          </w:rPr>
          <w:t>Rationale for the research</w:t>
        </w:r>
        <w:r w:rsidR="00A76285">
          <w:rPr>
            <w:noProof/>
            <w:webHidden/>
          </w:rPr>
          <w:tab/>
        </w:r>
        <w:r w:rsidR="00A76285">
          <w:rPr>
            <w:noProof/>
            <w:webHidden/>
          </w:rPr>
          <w:fldChar w:fldCharType="begin"/>
        </w:r>
        <w:r w:rsidR="00A76285">
          <w:rPr>
            <w:noProof/>
            <w:webHidden/>
          </w:rPr>
          <w:instrText xml:space="preserve"> PAGEREF _Toc445305254 \h </w:instrText>
        </w:r>
        <w:r w:rsidR="00A76285">
          <w:rPr>
            <w:noProof/>
            <w:webHidden/>
          </w:rPr>
        </w:r>
        <w:r w:rsidR="00A76285">
          <w:rPr>
            <w:noProof/>
            <w:webHidden/>
          </w:rPr>
          <w:fldChar w:fldCharType="separate"/>
        </w:r>
        <w:r>
          <w:rPr>
            <w:noProof/>
            <w:webHidden/>
          </w:rPr>
          <w:t>13</w:t>
        </w:r>
        <w:r w:rsidR="00A76285">
          <w:rPr>
            <w:noProof/>
            <w:webHidden/>
          </w:rPr>
          <w:fldChar w:fldCharType="end"/>
        </w:r>
      </w:hyperlink>
    </w:p>
    <w:p w14:paraId="50AAAEF9" w14:textId="77777777" w:rsidR="00A76285" w:rsidRDefault="006E5D16">
      <w:pPr>
        <w:pStyle w:val="TOC2"/>
        <w:tabs>
          <w:tab w:val="right" w:pos="9622"/>
        </w:tabs>
        <w:rPr>
          <w:rFonts w:eastAsiaTheme="minorEastAsia" w:cstheme="minorBidi"/>
          <w:i w:val="0"/>
          <w:noProof/>
          <w:lang w:eastAsia="en-AU"/>
        </w:rPr>
      </w:pPr>
      <w:hyperlink w:anchor="_Toc445305255" w:history="1">
        <w:r w:rsidR="00A76285" w:rsidRPr="00BB3FC1">
          <w:rPr>
            <w:rStyle w:val="Hyperlink"/>
            <w:noProof/>
          </w:rPr>
          <w:t>Aim and objectives</w:t>
        </w:r>
        <w:r w:rsidR="00A76285">
          <w:rPr>
            <w:noProof/>
            <w:webHidden/>
          </w:rPr>
          <w:tab/>
        </w:r>
        <w:r w:rsidR="00A76285">
          <w:rPr>
            <w:noProof/>
            <w:webHidden/>
          </w:rPr>
          <w:fldChar w:fldCharType="begin"/>
        </w:r>
        <w:r w:rsidR="00A76285">
          <w:rPr>
            <w:noProof/>
            <w:webHidden/>
          </w:rPr>
          <w:instrText xml:space="preserve"> PAGEREF _Toc445305255 \h </w:instrText>
        </w:r>
        <w:r w:rsidR="00A76285">
          <w:rPr>
            <w:noProof/>
            <w:webHidden/>
          </w:rPr>
        </w:r>
        <w:r w:rsidR="00A76285">
          <w:rPr>
            <w:noProof/>
            <w:webHidden/>
          </w:rPr>
          <w:fldChar w:fldCharType="separate"/>
        </w:r>
        <w:r>
          <w:rPr>
            <w:noProof/>
            <w:webHidden/>
          </w:rPr>
          <w:t>14</w:t>
        </w:r>
        <w:r w:rsidR="00A76285">
          <w:rPr>
            <w:noProof/>
            <w:webHidden/>
          </w:rPr>
          <w:fldChar w:fldCharType="end"/>
        </w:r>
      </w:hyperlink>
    </w:p>
    <w:p w14:paraId="3F075F19" w14:textId="77777777" w:rsidR="00A76285" w:rsidRDefault="006E5D16">
      <w:pPr>
        <w:pStyle w:val="TOC2"/>
        <w:tabs>
          <w:tab w:val="right" w:pos="9622"/>
        </w:tabs>
        <w:rPr>
          <w:rFonts w:eastAsiaTheme="minorEastAsia" w:cstheme="minorBidi"/>
          <w:i w:val="0"/>
          <w:noProof/>
          <w:lang w:eastAsia="en-AU"/>
        </w:rPr>
      </w:pPr>
      <w:hyperlink w:anchor="_Toc445305256" w:history="1">
        <w:r w:rsidR="00A76285" w:rsidRPr="00BB3FC1">
          <w:rPr>
            <w:rStyle w:val="Hyperlink"/>
            <w:noProof/>
          </w:rPr>
          <w:t>Research questions</w:t>
        </w:r>
        <w:r w:rsidR="00A76285">
          <w:rPr>
            <w:noProof/>
            <w:webHidden/>
          </w:rPr>
          <w:tab/>
        </w:r>
        <w:r w:rsidR="00A76285">
          <w:rPr>
            <w:noProof/>
            <w:webHidden/>
          </w:rPr>
          <w:fldChar w:fldCharType="begin"/>
        </w:r>
        <w:r w:rsidR="00A76285">
          <w:rPr>
            <w:noProof/>
            <w:webHidden/>
          </w:rPr>
          <w:instrText xml:space="preserve"> PAGEREF _Toc445305256 \h </w:instrText>
        </w:r>
        <w:r w:rsidR="00A76285">
          <w:rPr>
            <w:noProof/>
            <w:webHidden/>
          </w:rPr>
        </w:r>
        <w:r w:rsidR="00A76285">
          <w:rPr>
            <w:noProof/>
            <w:webHidden/>
          </w:rPr>
          <w:fldChar w:fldCharType="separate"/>
        </w:r>
        <w:r>
          <w:rPr>
            <w:noProof/>
            <w:webHidden/>
          </w:rPr>
          <w:t>14</w:t>
        </w:r>
        <w:r w:rsidR="00A76285">
          <w:rPr>
            <w:noProof/>
            <w:webHidden/>
          </w:rPr>
          <w:fldChar w:fldCharType="end"/>
        </w:r>
      </w:hyperlink>
    </w:p>
    <w:p w14:paraId="18D8175A" w14:textId="77777777" w:rsidR="00A76285" w:rsidRDefault="006E5D16">
      <w:pPr>
        <w:pStyle w:val="TOC2"/>
        <w:tabs>
          <w:tab w:val="right" w:pos="9622"/>
        </w:tabs>
        <w:rPr>
          <w:rFonts w:eastAsiaTheme="minorEastAsia" w:cstheme="minorBidi"/>
          <w:i w:val="0"/>
          <w:noProof/>
          <w:lang w:eastAsia="en-AU"/>
        </w:rPr>
      </w:pPr>
      <w:hyperlink w:anchor="_Toc445305257" w:history="1">
        <w:r w:rsidR="00A76285" w:rsidRPr="00BB3FC1">
          <w:rPr>
            <w:rStyle w:val="Hyperlink"/>
            <w:noProof/>
          </w:rPr>
          <w:t>Scope of the recommendations</w:t>
        </w:r>
        <w:r w:rsidR="00A76285">
          <w:rPr>
            <w:noProof/>
            <w:webHidden/>
          </w:rPr>
          <w:tab/>
        </w:r>
        <w:r w:rsidR="00A76285">
          <w:rPr>
            <w:noProof/>
            <w:webHidden/>
          </w:rPr>
          <w:fldChar w:fldCharType="begin"/>
        </w:r>
        <w:r w:rsidR="00A76285">
          <w:rPr>
            <w:noProof/>
            <w:webHidden/>
          </w:rPr>
          <w:instrText xml:space="preserve"> PAGEREF _Toc445305257 \h </w:instrText>
        </w:r>
        <w:r w:rsidR="00A76285">
          <w:rPr>
            <w:noProof/>
            <w:webHidden/>
          </w:rPr>
        </w:r>
        <w:r w:rsidR="00A76285">
          <w:rPr>
            <w:noProof/>
            <w:webHidden/>
          </w:rPr>
          <w:fldChar w:fldCharType="separate"/>
        </w:r>
        <w:r>
          <w:rPr>
            <w:noProof/>
            <w:webHidden/>
          </w:rPr>
          <w:t>15</w:t>
        </w:r>
        <w:r w:rsidR="00A76285">
          <w:rPr>
            <w:noProof/>
            <w:webHidden/>
          </w:rPr>
          <w:fldChar w:fldCharType="end"/>
        </w:r>
      </w:hyperlink>
    </w:p>
    <w:p w14:paraId="3504A64C" w14:textId="77777777" w:rsidR="00A76285" w:rsidRDefault="006E5D16">
      <w:pPr>
        <w:pStyle w:val="TOC1"/>
        <w:rPr>
          <w:rFonts w:eastAsiaTheme="minorEastAsia" w:cstheme="minorBidi"/>
          <w:b w:val="0"/>
          <w:sz w:val="22"/>
          <w:szCs w:val="22"/>
          <w:lang w:eastAsia="en-AU"/>
        </w:rPr>
      </w:pPr>
      <w:hyperlink w:anchor="_Toc445305258" w:history="1">
        <w:r w:rsidR="00A76285" w:rsidRPr="00BB3FC1">
          <w:rPr>
            <w:rStyle w:val="Hyperlink"/>
          </w:rPr>
          <w:t>2. Research design</w:t>
        </w:r>
        <w:r w:rsidR="00A76285">
          <w:rPr>
            <w:webHidden/>
          </w:rPr>
          <w:tab/>
        </w:r>
        <w:r w:rsidR="00A76285">
          <w:rPr>
            <w:webHidden/>
          </w:rPr>
          <w:fldChar w:fldCharType="begin"/>
        </w:r>
        <w:r w:rsidR="00A76285">
          <w:rPr>
            <w:webHidden/>
          </w:rPr>
          <w:instrText xml:space="preserve"> PAGEREF _Toc445305258 \h </w:instrText>
        </w:r>
        <w:r w:rsidR="00A76285">
          <w:rPr>
            <w:webHidden/>
          </w:rPr>
        </w:r>
        <w:r w:rsidR="00A76285">
          <w:rPr>
            <w:webHidden/>
          </w:rPr>
          <w:fldChar w:fldCharType="separate"/>
        </w:r>
        <w:r>
          <w:rPr>
            <w:webHidden/>
          </w:rPr>
          <w:t>16</w:t>
        </w:r>
        <w:r w:rsidR="00A76285">
          <w:rPr>
            <w:webHidden/>
          </w:rPr>
          <w:fldChar w:fldCharType="end"/>
        </w:r>
      </w:hyperlink>
    </w:p>
    <w:p w14:paraId="0E6C79D8" w14:textId="77777777" w:rsidR="00A76285" w:rsidRDefault="006E5D16">
      <w:pPr>
        <w:pStyle w:val="TOC2"/>
        <w:tabs>
          <w:tab w:val="right" w:pos="9622"/>
        </w:tabs>
        <w:rPr>
          <w:rFonts w:eastAsiaTheme="minorEastAsia" w:cstheme="minorBidi"/>
          <w:i w:val="0"/>
          <w:noProof/>
          <w:lang w:eastAsia="en-AU"/>
        </w:rPr>
      </w:pPr>
      <w:hyperlink w:anchor="_Toc445305259" w:history="1">
        <w:r w:rsidR="00A76285" w:rsidRPr="00BB3FC1">
          <w:rPr>
            <w:rStyle w:val="Hyperlink"/>
            <w:noProof/>
          </w:rPr>
          <w:t>Methodology</w:t>
        </w:r>
        <w:r w:rsidR="00A76285">
          <w:rPr>
            <w:noProof/>
            <w:webHidden/>
          </w:rPr>
          <w:tab/>
        </w:r>
        <w:r w:rsidR="00A76285">
          <w:rPr>
            <w:noProof/>
            <w:webHidden/>
          </w:rPr>
          <w:fldChar w:fldCharType="begin"/>
        </w:r>
        <w:r w:rsidR="00A76285">
          <w:rPr>
            <w:noProof/>
            <w:webHidden/>
          </w:rPr>
          <w:instrText xml:space="preserve"> PAGEREF _Toc445305259 \h </w:instrText>
        </w:r>
        <w:r w:rsidR="00A76285">
          <w:rPr>
            <w:noProof/>
            <w:webHidden/>
          </w:rPr>
        </w:r>
        <w:r w:rsidR="00A76285">
          <w:rPr>
            <w:noProof/>
            <w:webHidden/>
          </w:rPr>
          <w:fldChar w:fldCharType="separate"/>
        </w:r>
        <w:r>
          <w:rPr>
            <w:noProof/>
            <w:webHidden/>
          </w:rPr>
          <w:t>16</w:t>
        </w:r>
        <w:r w:rsidR="00A76285">
          <w:rPr>
            <w:noProof/>
            <w:webHidden/>
          </w:rPr>
          <w:fldChar w:fldCharType="end"/>
        </w:r>
      </w:hyperlink>
    </w:p>
    <w:p w14:paraId="728B0AD7" w14:textId="77777777" w:rsidR="00A76285" w:rsidRDefault="006E5D16">
      <w:pPr>
        <w:pStyle w:val="TOC2"/>
        <w:tabs>
          <w:tab w:val="right" w:pos="9622"/>
        </w:tabs>
        <w:rPr>
          <w:rFonts w:eastAsiaTheme="minorEastAsia" w:cstheme="minorBidi"/>
          <w:i w:val="0"/>
          <w:noProof/>
          <w:lang w:eastAsia="en-AU"/>
        </w:rPr>
      </w:pPr>
      <w:hyperlink w:anchor="_Toc445305260" w:history="1">
        <w:r w:rsidR="00A76285" w:rsidRPr="00BB3FC1">
          <w:rPr>
            <w:rStyle w:val="Hyperlink"/>
            <w:noProof/>
          </w:rPr>
          <w:t>Data collection and analysis</w:t>
        </w:r>
        <w:r w:rsidR="00A76285">
          <w:rPr>
            <w:noProof/>
            <w:webHidden/>
          </w:rPr>
          <w:tab/>
        </w:r>
        <w:r w:rsidR="00A76285">
          <w:rPr>
            <w:noProof/>
            <w:webHidden/>
          </w:rPr>
          <w:fldChar w:fldCharType="begin"/>
        </w:r>
        <w:r w:rsidR="00A76285">
          <w:rPr>
            <w:noProof/>
            <w:webHidden/>
          </w:rPr>
          <w:instrText xml:space="preserve"> PAGEREF _Toc445305260 \h </w:instrText>
        </w:r>
        <w:r w:rsidR="00A76285">
          <w:rPr>
            <w:noProof/>
            <w:webHidden/>
          </w:rPr>
        </w:r>
        <w:r w:rsidR="00A76285">
          <w:rPr>
            <w:noProof/>
            <w:webHidden/>
          </w:rPr>
          <w:fldChar w:fldCharType="separate"/>
        </w:r>
        <w:r>
          <w:rPr>
            <w:noProof/>
            <w:webHidden/>
          </w:rPr>
          <w:t>19</w:t>
        </w:r>
        <w:r w:rsidR="00A76285">
          <w:rPr>
            <w:noProof/>
            <w:webHidden/>
          </w:rPr>
          <w:fldChar w:fldCharType="end"/>
        </w:r>
      </w:hyperlink>
    </w:p>
    <w:p w14:paraId="5B2BBCDC" w14:textId="77777777" w:rsidR="00A76285" w:rsidRDefault="006E5D16">
      <w:pPr>
        <w:pStyle w:val="TOC1"/>
        <w:rPr>
          <w:rFonts w:eastAsiaTheme="minorEastAsia" w:cstheme="minorBidi"/>
          <w:b w:val="0"/>
          <w:sz w:val="22"/>
          <w:szCs w:val="22"/>
          <w:lang w:eastAsia="en-AU"/>
        </w:rPr>
      </w:pPr>
      <w:hyperlink w:anchor="_Toc445305261" w:history="1">
        <w:r w:rsidR="00A76285" w:rsidRPr="00BB3FC1">
          <w:rPr>
            <w:rStyle w:val="Hyperlink"/>
          </w:rPr>
          <w:t>3. National snapshot of senior secondary languages education</w:t>
        </w:r>
        <w:r w:rsidR="00A76285">
          <w:rPr>
            <w:webHidden/>
          </w:rPr>
          <w:tab/>
        </w:r>
        <w:r w:rsidR="00A76285">
          <w:rPr>
            <w:webHidden/>
          </w:rPr>
          <w:fldChar w:fldCharType="begin"/>
        </w:r>
        <w:r w:rsidR="00A76285">
          <w:rPr>
            <w:webHidden/>
          </w:rPr>
          <w:instrText xml:space="preserve"> PAGEREF _Toc445305261 \h </w:instrText>
        </w:r>
        <w:r w:rsidR="00A76285">
          <w:rPr>
            <w:webHidden/>
          </w:rPr>
        </w:r>
        <w:r w:rsidR="00A76285">
          <w:rPr>
            <w:webHidden/>
          </w:rPr>
          <w:fldChar w:fldCharType="separate"/>
        </w:r>
        <w:r>
          <w:rPr>
            <w:webHidden/>
          </w:rPr>
          <w:t>28</w:t>
        </w:r>
        <w:r w:rsidR="00A76285">
          <w:rPr>
            <w:webHidden/>
          </w:rPr>
          <w:fldChar w:fldCharType="end"/>
        </w:r>
      </w:hyperlink>
    </w:p>
    <w:p w14:paraId="37F92D32" w14:textId="77777777" w:rsidR="00A76285" w:rsidRDefault="006E5D16">
      <w:pPr>
        <w:pStyle w:val="TOC2"/>
        <w:tabs>
          <w:tab w:val="right" w:pos="9622"/>
        </w:tabs>
        <w:rPr>
          <w:rFonts w:eastAsiaTheme="minorEastAsia" w:cstheme="minorBidi"/>
          <w:i w:val="0"/>
          <w:noProof/>
          <w:lang w:eastAsia="en-AU"/>
        </w:rPr>
      </w:pPr>
      <w:hyperlink w:anchor="_Toc445305262" w:history="1">
        <w:r w:rsidR="00A76285" w:rsidRPr="00BB3FC1">
          <w:rPr>
            <w:rStyle w:val="Hyperlink"/>
            <w:noProof/>
          </w:rPr>
          <w:t>Observations from Year 12 statistics</w:t>
        </w:r>
        <w:r w:rsidR="00A76285">
          <w:rPr>
            <w:noProof/>
            <w:webHidden/>
          </w:rPr>
          <w:tab/>
        </w:r>
        <w:r w:rsidR="00A76285">
          <w:rPr>
            <w:noProof/>
            <w:webHidden/>
          </w:rPr>
          <w:fldChar w:fldCharType="begin"/>
        </w:r>
        <w:r w:rsidR="00A76285">
          <w:rPr>
            <w:noProof/>
            <w:webHidden/>
          </w:rPr>
          <w:instrText xml:space="preserve"> PAGEREF _Toc445305262 \h </w:instrText>
        </w:r>
        <w:r w:rsidR="00A76285">
          <w:rPr>
            <w:noProof/>
            <w:webHidden/>
          </w:rPr>
        </w:r>
        <w:r w:rsidR="00A76285">
          <w:rPr>
            <w:noProof/>
            <w:webHidden/>
          </w:rPr>
          <w:fldChar w:fldCharType="separate"/>
        </w:r>
        <w:r>
          <w:rPr>
            <w:noProof/>
            <w:webHidden/>
          </w:rPr>
          <w:t>28</w:t>
        </w:r>
        <w:r w:rsidR="00A76285">
          <w:rPr>
            <w:noProof/>
            <w:webHidden/>
          </w:rPr>
          <w:fldChar w:fldCharType="end"/>
        </w:r>
      </w:hyperlink>
    </w:p>
    <w:p w14:paraId="6D47B8DE" w14:textId="77777777" w:rsidR="00A76285" w:rsidRDefault="006E5D16">
      <w:pPr>
        <w:pStyle w:val="TOC2"/>
        <w:tabs>
          <w:tab w:val="right" w:pos="9622"/>
        </w:tabs>
        <w:rPr>
          <w:rFonts w:eastAsiaTheme="minorEastAsia" w:cstheme="minorBidi"/>
          <w:i w:val="0"/>
          <w:noProof/>
          <w:lang w:eastAsia="en-AU"/>
        </w:rPr>
      </w:pPr>
      <w:hyperlink w:anchor="_Toc445305263" w:history="1">
        <w:r w:rsidR="00A76285" w:rsidRPr="00BB3FC1">
          <w:rPr>
            <w:rStyle w:val="Hyperlink"/>
            <w:noProof/>
          </w:rPr>
          <w:t>Languages education in Australia</w:t>
        </w:r>
        <w:r w:rsidR="00A76285">
          <w:rPr>
            <w:noProof/>
            <w:webHidden/>
          </w:rPr>
          <w:tab/>
        </w:r>
        <w:r w:rsidR="00A76285">
          <w:rPr>
            <w:noProof/>
            <w:webHidden/>
          </w:rPr>
          <w:fldChar w:fldCharType="begin"/>
        </w:r>
        <w:r w:rsidR="00A76285">
          <w:rPr>
            <w:noProof/>
            <w:webHidden/>
          </w:rPr>
          <w:instrText xml:space="preserve"> PAGEREF _Toc445305263 \h </w:instrText>
        </w:r>
        <w:r w:rsidR="00A76285">
          <w:rPr>
            <w:noProof/>
            <w:webHidden/>
          </w:rPr>
        </w:r>
        <w:r w:rsidR="00A76285">
          <w:rPr>
            <w:noProof/>
            <w:webHidden/>
          </w:rPr>
          <w:fldChar w:fldCharType="separate"/>
        </w:r>
        <w:r>
          <w:rPr>
            <w:noProof/>
            <w:webHidden/>
          </w:rPr>
          <w:t>31</w:t>
        </w:r>
        <w:r w:rsidR="00A76285">
          <w:rPr>
            <w:noProof/>
            <w:webHidden/>
          </w:rPr>
          <w:fldChar w:fldCharType="end"/>
        </w:r>
      </w:hyperlink>
    </w:p>
    <w:p w14:paraId="738C1774" w14:textId="77777777" w:rsidR="00A76285" w:rsidRDefault="006E5D16">
      <w:pPr>
        <w:pStyle w:val="TOC1"/>
        <w:rPr>
          <w:rFonts w:eastAsiaTheme="minorEastAsia" w:cstheme="minorBidi"/>
          <w:b w:val="0"/>
          <w:sz w:val="22"/>
          <w:szCs w:val="22"/>
          <w:lang w:eastAsia="en-AU"/>
        </w:rPr>
      </w:pPr>
      <w:hyperlink w:anchor="_Toc445305264" w:history="1">
        <w:r w:rsidR="00A76285" w:rsidRPr="00BB3FC1">
          <w:rPr>
            <w:rStyle w:val="Hyperlink"/>
          </w:rPr>
          <w:t>4. Key findings and recommendations</w:t>
        </w:r>
        <w:r w:rsidR="00A76285">
          <w:rPr>
            <w:webHidden/>
          </w:rPr>
          <w:tab/>
        </w:r>
        <w:r w:rsidR="00A76285">
          <w:rPr>
            <w:webHidden/>
          </w:rPr>
          <w:fldChar w:fldCharType="begin"/>
        </w:r>
        <w:r w:rsidR="00A76285">
          <w:rPr>
            <w:webHidden/>
          </w:rPr>
          <w:instrText xml:space="preserve"> PAGEREF _Toc445305264 \h </w:instrText>
        </w:r>
        <w:r w:rsidR="00A76285">
          <w:rPr>
            <w:webHidden/>
          </w:rPr>
        </w:r>
        <w:r w:rsidR="00A76285">
          <w:rPr>
            <w:webHidden/>
          </w:rPr>
          <w:fldChar w:fldCharType="separate"/>
        </w:r>
        <w:r>
          <w:rPr>
            <w:webHidden/>
          </w:rPr>
          <w:t>65</w:t>
        </w:r>
        <w:r w:rsidR="00A76285">
          <w:rPr>
            <w:webHidden/>
          </w:rPr>
          <w:fldChar w:fldCharType="end"/>
        </w:r>
      </w:hyperlink>
    </w:p>
    <w:p w14:paraId="0EF4D706" w14:textId="77777777" w:rsidR="00A76285" w:rsidRDefault="006E5D16">
      <w:pPr>
        <w:pStyle w:val="TOC2"/>
        <w:tabs>
          <w:tab w:val="right" w:pos="9622"/>
        </w:tabs>
        <w:rPr>
          <w:rFonts w:eastAsiaTheme="minorEastAsia" w:cstheme="minorBidi"/>
          <w:i w:val="0"/>
          <w:noProof/>
          <w:lang w:eastAsia="en-AU"/>
        </w:rPr>
      </w:pPr>
      <w:hyperlink w:anchor="_Toc445305267" w:history="1">
        <w:r w:rsidR="00A76285" w:rsidRPr="00BB3FC1">
          <w:rPr>
            <w:rStyle w:val="Hyperlink"/>
            <w:noProof/>
          </w:rPr>
          <w:t>Key findings</w:t>
        </w:r>
        <w:r w:rsidR="00A76285">
          <w:rPr>
            <w:noProof/>
            <w:webHidden/>
          </w:rPr>
          <w:tab/>
        </w:r>
        <w:r w:rsidR="00A76285">
          <w:rPr>
            <w:noProof/>
            <w:webHidden/>
          </w:rPr>
          <w:fldChar w:fldCharType="begin"/>
        </w:r>
        <w:r w:rsidR="00A76285">
          <w:rPr>
            <w:noProof/>
            <w:webHidden/>
          </w:rPr>
          <w:instrText xml:space="preserve"> PAGEREF _Toc445305267 \h </w:instrText>
        </w:r>
        <w:r w:rsidR="00A76285">
          <w:rPr>
            <w:noProof/>
            <w:webHidden/>
          </w:rPr>
        </w:r>
        <w:r w:rsidR="00A76285">
          <w:rPr>
            <w:noProof/>
            <w:webHidden/>
          </w:rPr>
          <w:fldChar w:fldCharType="separate"/>
        </w:r>
        <w:r>
          <w:rPr>
            <w:noProof/>
            <w:webHidden/>
          </w:rPr>
          <w:t>67</w:t>
        </w:r>
        <w:r w:rsidR="00A76285">
          <w:rPr>
            <w:noProof/>
            <w:webHidden/>
          </w:rPr>
          <w:fldChar w:fldCharType="end"/>
        </w:r>
      </w:hyperlink>
    </w:p>
    <w:p w14:paraId="61E9BA33" w14:textId="77777777" w:rsidR="00A76285" w:rsidRDefault="006E5D16">
      <w:pPr>
        <w:pStyle w:val="TOC1"/>
        <w:rPr>
          <w:rFonts w:eastAsiaTheme="minorEastAsia" w:cstheme="minorBidi"/>
          <w:b w:val="0"/>
          <w:sz w:val="22"/>
          <w:szCs w:val="22"/>
          <w:lang w:eastAsia="en-AU"/>
        </w:rPr>
      </w:pPr>
      <w:hyperlink w:anchor="_Toc445305268" w:history="1">
        <w:r w:rsidR="00A76285" w:rsidRPr="00BB3FC1">
          <w:rPr>
            <w:rStyle w:val="Hyperlink"/>
          </w:rPr>
          <w:t>Recommendations</w:t>
        </w:r>
        <w:r w:rsidR="00A76285">
          <w:rPr>
            <w:webHidden/>
          </w:rPr>
          <w:tab/>
        </w:r>
        <w:r w:rsidR="00A76285">
          <w:rPr>
            <w:webHidden/>
          </w:rPr>
          <w:fldChar w:fldCharType="begin"/>
        </w:r>
        <w:r w:rsidR="00A76285">
          <w:rPr>
            <w:webHidden/>
          </w:rPr>
          <w:instrText xml:space="preserve"> PAGEREF _Toc445305268 \h </w:instrText>
        </w:r>
        <w:r w:rsidR="00A76285">
          <w:rPr>
            <w:webHidden/>
          </w:rPr>
        </w:r>
        <w:r w:rsidR="00A76285">
          <w:rPr>
            <w:webHidden/>
          </w:rPr>
          <w:fldChar w:fldCharType="separate"/>
        </w:r>
        <w:r>
          <w:rPr>
            <w:webHidden/>
          </w:rPr>
          <w:t>84</w:t>
        </w:r>
        <w:r w:rsidR="00A76285">
          <w:rPr>
            <w:webHidden/>
          </w:rPr>
          <w:fldChar w:fldCharType="end"/>
        </w:r>
      </w:hyperlink>
    </w:p>
    <w:p w14:paraId="0322EB9E" w14:textId="77777777" w:rsidR="00A76285" w:rsidRDefault="006E5D16">
      <w:pPr>
        <w:pStyle w:val="TOC1"/>
        <w:rPr>
          <w:rFonts w:eastAsiaTheme="minorEastAsia" w:cstheme="minorBidi"/>
          <w:b w:val="0"/>
          <w:sz w:val="22"/>
          <w:szCs w:val="22"/>
          <w:lang w:eastAsia="en-AU"/>
        </w:rPr>
      </w:pPr>
      <w:hyperlink w:anchor="_Toc445305273" w:history="1">
        <w:r w:rsidR="00A76285" w:rsidRPr="00BB3FC1">
          <w:rPr>
            <w:rStyle w:val="Hyperlink"/>
          </w:rPr>
          <w:t>References</w:t>
        </w:r>
        <w:r w:rsidR="00A76285">
          <w:rPr>
            <w:webHidden/>
          </w:rPr>
          <w:tab/>
        </w:r>
        <w:r w:rsidR="00A76285">
          <w:rPr>
            <w:webHidden/>
          </w:rPr>
          <w:fldChar w:fldCharType="begin"/>
        </w:r>
        <w:r w:rsidR="00A76285">
          <w:rPr>
            <w:webHidden/>
          </w:rPr>
          <w:instrText xml:space="preserve"> PAGEREF _Toc445305273 \h </w:instrText>
        </w:r>
        <w:r w:rsidR="00A76285">
          <w:rPr>
            <w:webHidden/>
          </w:rPr>
        </w:r>
        <w:r w:rsidR="00A76285">
          <w:rPr>
            <w:webHidden/>
          </w:rPr>
          <w:fldChar w:fldCharType="separate"/>
        </w:r>
        <w:r>
          <w:rPr>
            <w:webHidden/>
          </w:rPr>
          <w:t>90</w:t>
        </w:r>
        <w:r w:rsidR="00A76285">
          <w:rPr>
            <w:webHidden/>
          </w:rPr>
          <w:fldChar w:fldCharType="end"/>
        </w:r>
      </w:hyperlink>
    </w:p>
    <w:p w14:paraId="6DB5B814" w14:textId="77777777" w:rsidR="00A76285" w:rsidRDefault="006E5D16">
      <w:pPr>
        <w:pStyle w:val="TOC1"/>
        <w:rPr>
          <w:rFonts w:eastAsiaTheme="minorEastAsia" w:cstheme="minorBidi"/>
          <w:b w:val="0"/>
          <w:sz w:val="22"/>
          <w:szCs w:val="22"/>
          <w:lang w:eastAsia="en-AU"/>
        </w:rPr>
      </w:pPr>
      <w:hyperlink w:anchor="_Toc445305274" w:history="1">
        <w:r w:rsidR="00A76285" w:rsidRPr="00BB3FC1">
          <w:rPr>
            <w:rStyle w:val="Hyperlink"/>
          </w:rPr>
          <w:t>Attachments</w:t>
        </w:r>
        <w:r w:rsidR="00A76285">
          <w:rPr>
            <w:webHidden/>
          </w:rPr>
          <w:tab/>
        </w:r>
        <w:r w:rsidR="00A76285">
          <w:rPr>
            <w:webHidden/>
          </w:rPr>
          <w:fldChar w:fldCharType="begin"/>
        </w:r>
        <w:r w:rsidR="00A76285">
          <w:rPr>
            <w:webHidden/>
          </w:rPr>
          <w:instrText xml:space="preserve"> PAGEREF _Toc445305274 \h </w:instrText>
        </w:r>
        <w:r w:rsidR="00A76285">
          <w:rPr>
            <w:webHidden/>
          </w:rPr>
        </w:r>
        <w:r w:rsidR="00A76285">
          <w:rPr>
            <w:webHidden/>
          </w:rPr>
          <w:fldChar w:fldCharType="separate"/>
        </w:r>
        <w:r>
          <w:rPr>
            <w:webHidden/>
          </w:rPr>
          <w:t>94</w:t>
        </w:r>
        <w:r w:rsidR="00A76285">
          <w:rPr>
            <w:webHidden/>
          </w:rPr>
          <w:fldChar w:fldCharType="end"/>
        </w:r>
      </w:hyperlink>
    </w:p>
    <w:p w14:paraId="28A4582D" w14:textId="77777777" w:rsidR="00F707B2" w:rsidRDefault="00374A27" w:rsidP="00F707B2">
      <w:pPr>
        <w:spacing w:before="720"/>
        <w:rPr>
          <w:szCs w:val="36"/>
        </w:rPr>
        <w:sectPr w:rsidR="00F707B2" w:rsidSect="00665CB6">
          <w:headerReference w:type="default" r:id="rId13"/>
          <w:footerReference w:type="default" r:id="rId14"/>
          <w:type w:val="continuous"/>
          <w:pgSz w:w="11900" w:h="16840"/>
          <w:pgMar w:top="1985" w:right="1134" w:bottom="1440" w:left="1134" w:header="709" w:footer="709" w:gutter="0"/>
          <w:cols w:space="720"/>
          <w:titlePg/>
        </w:sectPr>
      </w:pPr>
      <w:r>
        <w:rPr>
          <w:szCs w:val="36"/>
        </w:rPr>
        <w:fldChar w:fldCharType="end"/>
      </w:r>
      <w:bookmarkStart w:id="13" w:name="_Toc445305248"/>
    </w:p>
    <w:p w14:paraId="251080F5" w14:textId="43D791FC" w:rsidR="0086690E" w:rsidRPr="0086690E" w:rsidRDefault="0086690E" w:rsidP="00D50640">
      <w:pPr>
        <w:spacing w:before="720"/>
        <w:rPr>
          <w:b/>
          <w:szCs w:val="36"/>
        </w:rPr>
      </w:pPr>
      <w:r w:rsidRPr="0086690E">
        <w:rPr>
          <w:b/>
          <w:szCs w:val="36"/>
        </w:rPr>
        <w:lastRenderedPageBreak/>
        <w:t>ISBN</w:t>
      </w:r>
      <w:r>
        <w:rPr>
          <w:b/>
          <w:szCs w:val="36"/>
        </w:rPr>
        <w:t>:</w:t>
      </w:r>
    </w:p>
    <w:p w14:paraId="7B28C016" w14:textId="260F7E65" w:rsidR="0086690E" w:rsidRPr="0086690E" w:rsidRDefault="008A3AC5" w:rsidP="0086690E">
      <w:pPr>
        <w:rPr>
          <w:rFonts w:ascii="Calibri" w:hAnsi="Calibri" w:cs="Calibri"/>
          <w:szCs w:val="22"/>
        </w:rPr>
      </w:pPr>
      <w:r>
        <w:rPr>
          <w:rFonts w:ascii="Calibri" w:hAnsi="Calibri" w:cs="Calibri"/>
          <w:szCs w:val="22"/>
        </w:rPr>
        <w:t>(PDF</w:t>
      </w:r>
      <w:r w:rsidR="0086690E">
        <w:rPr>
          <w:rFonts w:ascii="Calibri" w:hAnsi="Calibri" w:cs="Calibri"/>
          <w:szCs w:val="22"/>
        </w:rPr>
        <w:t xml:space="preserve">) </w:t>
      </w:r>
      <w:r w:rsidR="0086690E" w:rsidRPr="0086690E">
        <w:rPr>
          <w:rFonts w:ascii="Calibri" w:hAnsi="Calibri" w:cs="Calibri"/>
          <w:szCs w:val="22"/>
        </w:rPr>
        <w:t>978-0-76028-667-5</w:t>
      </w:r>
      <w:r w:rsidR="0086690E">
        <w:rPr>
          <w:rFonts w:ascii="Calibri" w:hAnsi="Calibri" w:cs="Calibri"/>
          <w:szCs w:val="22"/>
        </w:rPr>
        <w:t xml:space="preserve"> </w:t>
      </w:r>
    </w:p>
    <w:p w14:paraId="655E0899" w14:textId="64915E52" w:rsidR="0086690E" w:rsidRPr="0086690E" w:rsidRDefault="0086690E" w:rsidP="0086690E">
      <w:pPr>
        <w:rPr>
          <w:rFonts w:ascii="Calibri" w:hAnsi="Calibri" w:cs="Calibri"/>
          <w:szCs w:val="22"/>
        </w:rPr>
      </w:pPr>
      <w:r>
        <w:rPr>
          <w:rFonts w:ascii="Calibri" w:hAnsi="Calibri" w:cs="Calibri"/>
          <w:szCs w:val="22"/>
        </w:rPr>
        <w:t>(</w:t>
      </w:r>
      <w:proofErr w:type="spellStart"/>
      <w:r>
        <w:rPr>
          <w:rFonts w:ascii="Calibri" w:hAnsi="Calibri" w:cs="Calibri"/>
          <w:szCs w:val="22"/>
        </w:rPr>
        <w:t>DOCX</w:t>
      </w:r>
      <w:proofErr w:type="spellEnd"/>
      <w:r>
        <w:rPr>
          <w:rFonts w:ascii="Calibri" w:hAnsi="Calibri" w:cs="Calibri"/>
          <w:szCs w:val="22"/>
        </w:rPr>
        <w:t xml:space="preserve">) </w:t>
      </w:r>
      <w:r w:rsidRPr="0086690E">
        <w:rPr>
          <w:rFonts w:ascii="Calibri" w:hAnsi="Calibri" w:cs="Calibri"/>
          <w:szCs w:val="22"/>
        </w:rPr>
        <w:t>978-0-76028-668-2</w:t>
      </w:r>
      <w:r>
        <w:rPr>
          <w:rFonts w:ascii="Calibri" w:hAnsi="Calibri" w:cs="Calibri"/>
          <w:szCs w:val="22"/>
        </w:rPr>
        <w:t xml:space="preserve"> </w:t>
      </w:r>
      <w:r w:rsidR="00D50640">
        <w:rPr>
          <w:rFonts w:ascii="Calibri" w:hAnsi="Calibri" w:cs="Calibri"/>
          <w:szCs w:val="22"/>
        </w:rPr>
        <w:t xml:space="preserve"> </w:t>
      </w:r>
    </w:p>
    <w:p w14:paraId="2CF8742D" w14:textId="1468929B" w:rsidR="00A76285" w:rsidRDefault="00A76285" w:rsidP="00F707B2">
      <w:r>
        <w:br w:type="page"/>
      </w:r>
    </w:p>
    <w:p w14:paraId="09252025" w14:textId="27BA310C" w:rsidR="007B1D45" w:rsidRPr="003F46ED" w:rsidRDefault="00E574EC" w:rsidP="00374A27">
      <w:pPr>
        <w:pStyle w:val="Heading1"/>
        <w:rPr>
          <w:rFonts w:eastAsiaTheme="minorEastAsia" w:cstheme="minorBidi"/>
          <w:sz w:val="24"/>
          <w:lang w:eastAsia="ja-JP"/>
        </w:rPr>
      </w:pPr>
      <w:r w:rsidRPr="003F46ED">
        <w:lastRenderedPageBreak/>
        <w:t xml:space="preserve">Executive </w:t>
      </w:r>
      <w:bookmarkEnd w:id="10"/>
      <w:r w:rsidR="005C73B1" w:rsidRPr="003F46ED">
        <w:t>summary</w:t>
      </w:r>
      <w:bookmarkEnd w:id="11"/>
      <w:bookmarkEnd w:id="12"/>
      <w:bookmarkEnd w:id="13"/>
    </w:p>
    <w:p w14:paraId="1B49E101" w14:textId="64220BA2" w:rsidR="007B1D45" w:rsidRPr="003F46ED" w:rsidRDefault="008A50FC" w:rsidP="00B30583">
      <w:r w:rsidRPr="003F46ED">
        <w:t xml:space="preserve">Speaking more than one language is a valuable asset for young Australians in a globally connected world. Close to 100 per cent of students exit schooling with a second language in many high-performing education systems. </w:t>
      </w:r>
      <w:r w:rsidR="00172B25" w:rsidRPr="003F46ED">
        <w:t>I</w:t>
      </w:r>
      <w:r w:rsidRPr="003F46ED">
        <w:t>n Australia</w:t>
      </w:r>
      <w:r w:rsidR="00491D81" w:rsidRPr="003F46ED">
        <w:t>,</w:t>
      </w:r>
      <w:r w:rsidRPr="003F46ED">
        <w:t xml:space="preserve"> only 11 per cent of senior secondary students choose to study a language in addition to English. Languages </w:t>
      </w:r>
      <w:r w:rsidR="007472F5" w:rsidRPr="003F46ED">
        <w:t>have</w:t>
      </w:r>
      <w:r w:rsidRPr="003F46ED">
        <w:t xml:space="preserve"> by fa</w:t>
      </w:r>
      <w:r w:rsidR="00844795" w:rsidRPr="003F46ED">
        <w:t>r</w:t>
      </w:r>
      <w:r w:rsidRPr="003F46ED">
        <w:t xml:space="preserve"> the lowest enrolment</w:t>
      </w:r>
      <w:r w:rsidR="007472F5" w:rsidRPr="003F46ED">
        <w:t>s</w:t>
      </w:r>
      <w:r w:rsidRPr="003F46ED">
        <w:t xml:space="preserve"> of any learning area</w:t>
      </w:r>
      <w:r w:rsidR="003459B5" w:rsidRPr="003F46ED">
        <w:t xml:space="preserve"> nationally</w:t>
      </w:r>
      <w:r w:rsidRPr="003F46ED">
        <w:t xml:space="preserve">. </w:t>
      </w:r>
      <w:r w:rsidR="00166F11" w:rsidRPr="003F46ED">
        <w:t>T</w:t>
      </w:r>
      <w:r w:rsidRPr="003F46ED">
        <w:t xml:space="preserve">his has been the case for </w:t>
      </w:r>
      <w:r w:rsidR="00844795" w:rsidRPr="003F46ED">
        <w:t xml:space="preserve">some </w:t>
      </w:r>
      <w:r w:rsidR="00172B25" w:rsidRPr="003F46ED">
        <w:t>20 years.</w:t>
      </w:r>
    </w:p>
    <w:p w14:paraId="301AF189" w14:textId="77777777" w:rsidR="007B1D45" w:rsidRPr="003F46ED" w:rsidRDefault="008A50FC" w:rsidP="00B30583">
      <w:r w:rsidRPr="003F46ED">
        <w:t>This report is part of the Australian Government’s efforts to revive the teaching of languages to ensure that at least 40 per cent of Year 12 students study a language in addition to English within a decade. Its purpo</w:t>
      </w:r>
      <w:r w:rsidR="00A8509F" w:rsidRPr="003F46ED">
        <w:t>se is to inform all Australian g</w:t>
      </w:r>
      <w:r w:rsidRPr="003F46ED">
        <w:t xml:space="preserve">overnments on practical, implementable ways to enable this. </w:t>
      </w:r>
    </w:p>
    <w:p w14:paraId="5FF008AC" w14:textId="77777777" w:rsidR="007B1D45" w:rsidRPr="003F46ED" w:rsidRDefault="008A50FC" w:rsidP="00B30583">
      <w:r w:rsidRPr="003F46ED">
        <w:t xml:space="preserve">Recommendations </w:t>
      </w:r>
      <w:r w:rsidR="00C74B65" w:rsidRPr="003F46ED">
        <w:t>from this research</w:t>
      </w:r>
      <w:r w:rsidR="00550730" w:rsidRPr="003F46ED">
        <w:t xml:space="preserve"> </w:t>
      </w:r>
      <w:r w:rsidRPr="003F46ED">
        <w:t>draw on</w:t>
      </w:r>
      <w:r w:rsidR="007F6C91" w:rsidRPr="003F46ED">
        <w:t>:</w:t>
      </w:r>
      <w:r w:rsidRPr="003F46ED">
        <w:t xml:space="preserve"> analysis of a policy and literature review; student, parent and principal surveys; </w:t>
      </w:r>
      <w:r w:rsidR="00B30824" w:rsidRPr="003F46ED">
        <w:t>publicly</w:t>
      </w:r>
      <w:r w:rsidRPr="003F46ED">
        <w:t xml:space="preserve"> available Year 12 student data; a case study on Japanese language in the senior secondary years; and consultations with government and non-government education sectors, national education agencies, teacher and school leader professional associations, languages experts and </w:t>
      </w:r>
      <w:r w:rsidR="00E55CC6" w:rsidRPr="003F46ED">
        <w:t xml:space="preserve">complementary </w:t>
      </w:r>
      <w:r w:rsidRPr="003F46ED">
        <w:t xml:space="preserve">providers. </w:t>
      </w:r>
    </w:p>
    <w:p w14:paraId="3A1971F5" w14:textId="77777777" w:rsidR="007B1D45" w:rsidRPr="003F46ED" w:rsidRDefault="008A50FC" w:rsidP="00B30583">
      <w:r w:rsidRPr="003F46ED">
        <w:t xml:space="preserve">Languages education in Australian schools is currently in a period of transition </w:t>
      </w:r>
      <w:r w:rsidR="000D7DE5" w:rsidRPr="003F46ED">
        <w:t xml:space="preserve">with </w:t>
      </w:r>
      <w:r w:rsidR="00AF3BE1" w:rsidRPr="003F46ED">
        <w:t>a renewed</w:t>
      </w:r>
      <w:r w:rsidR="000D7DE5" w:rsidRPr="003F46ED">
        <w:t xml:space="preserve"> focus on languages by many </w:t>
      </w:r>
      <w:r w:rsidR="00AF3BE1" w:rsidRPr="003F46ED">
        <w:t>Education Ministers</w:t>
      </w:r>
      <w:r w:rsidR="000D7DE5" w:rsidRPr="003F46ED">
        <w:t xml:space="preserve"> and</w:t>
      </w:r>
      <w:r w:rsidRPr="003F46ED">
        <w:t xml:space="preserve"> the introduction of the Australian Curriculum. In 2014, </w:t>
      </w:r>
      <w:r w:rsidR="00732F5A" w:rsidRPr="003F46ED">
        <w:t xml:space="preserve">not all </w:t>
      </w:r>
      <w:r w:rsidRPr="003F46ED">
        <w:t xml:space="preserve">states/territories have a specific policy for languages. Curriculum policies focus on the mid-primary to junior secondary years and vary across jurisdictions from </w:t>
      </w:r>
      <w:r w:rsidRPr="003F46ED">
        <w:rPr>
          <w:i/>
        </w:rPr>
        <w:t>encouraging</w:t>
      </w:r>
      <w:r w:rsidRPr="003F46ED">
        <w:t xml:space="preserve"> schools to offer language programmes to </w:t>
      </w:r>
      <w:r w:rsidRPr="003F46ED">
        <w:rPr>
          <w:i/>
        </w:rPr>
        <w:t xml:space="preserve">requiring </w:t>
      </w:r>
      <w:r w:rsidRPr="003F46ED">
        <w:t xml:space="preserve">them to do so at particular year levels. In all cases, language learning is not mandatory beyond junior secondary level. </w:t>
      </w:r>
      <w:r w:rsidR="00760A5F" w:rsidRPr="003F46ED">
        <w:t>S</w:t>
      </w:r>
      <w:r w:rsidR="00AF3BE1" w:rsidRPr="003F46ED">
        <w:t xml:space="preserve">ubstantial work </w:t>
      </w:r>
      <w:r w:rsidR="00FE017B" w:rsidRPr="003F46ED">
        <w:t xml:space="preserve">on strengthening the quality and provision of languages education </w:t>
      </w:r>
      <w:r w:rsidR="00AF3BE1" w:rsidRPr="003F46ED">
        <w:t>is underway</w:t>
      </w:r>
      <w:r w:rsidR="00732F5A" w:rsidRPr="003F46ED">
        <w:t xml:space="preserve"> </w:t>
      </w:r>
      <w:r w:rsidR="00AF3BE1" w:rsidRPr="003F46ED">
        <w:t>in jurisdictions and sectors</w:t>
      </w:r>
      <w:r w:rsidR="00024430" w:rsidRPr="003F46ED">
        <w:t xml:space="preserve">. </w:t>
      </w:r>
      <w:r w:rsidR="00760A5F" w:rsidRPr="003F46ED">
        <w:t>T</w:t>
      </w:r>
      <w:r w:rsidR="00AF3BE1" w:rsidRPr="003F46ED">
        <w:t xml:space="preserve">hat </w:t>
      </w:r>
      <w:r w:rsidR="00760A5F" w:rsidRPr="003F46ED">
        <w:t>makes it timely for</w:t>
      </w:r>
      <w:r w:rsidR="00870014" w:rsidRPr="003F46ED">
        <w:t xml:space="preserve"> national collaborative action </w:t>
      </w:r>
      <w:r w:rsidR="00024430" w:rsidRPr="003F46ED">
        <w:t>to</w:t>
      </w:r>
      <w:r w:rsidR="00870014" w:rsidRPr="003F46ED">
        <w:t xml:space="preserve"> support languages while allowing for local priorities and strategies. </w:t>
      </w:r>
    </w:p>
    <w:p w14:paraId="0A8E14D2" w14:textId="77777777" w:rsidR="007B1D45" w:rsidRPr="003F46ED" w:rsidRDefault="001C6E20" w:rsidP="00E22FCF">
      <w:pPr>
        <w:pStyle w:val="Heading2"/>
      </w:pPr>
      <w:bookmarkStart w:id="14" w:name="_Toc402180237"/>
      <w:bookmarkStart w:id="15" w:name="_Toc445303710"/>
      <w:bookmarkStart w:id="16" w:name="_Toc445305249"/>
      <w:r w:rsidRPr="003F46ED">
        <w:t>What motivates students to study a language in the senior secondary years?</w:t>
      </w:r>
      <w:bookmarkEnd w:id="14"/>
      <w:bookmarkEnd w:id="15"/>
      <w:bookmarkEnd w:id="16"/>
    </w:p>
    <w:p w14:paraId="22C7056E" w14:textId="77777777" w:rsidR="007B1D45" w:rsidRPr="003F46ED" w:rsidRDefault="001C6E20" w:rsidP="00B30583">
      <w:bookmarkStart w:id="17" w:name="_Toc402180238"/>
      <w:r w:rsidRPr="003F46ED">
        <w:t xml:space="preserve">Students in Australia commonly combine both personal and strategic reasons </w:t>
      </w:r>
      <w:r w:rsidR="004314DB" w:rsidRPr="003F46ED">
        <w:t>when</w:t>
      </w:r>
      <w:r w:rsidRPr="003F46ED">
        <w:t xml:space="preserve"> choosing </w:t>
      </w:r>
      <w:r w:rsidR="004314DB" w:rsidRPr="003F46ED">
        <w:t xml:space="preserve">whether </w:t>
      </w:r>
      <w:r w:rsidRPr="003F46ED">
        <w:t xml:space="preserve">to study a language at senior secondary level. For </w:t>
      </w:r>
      <w:r w:rsidR="00B83866" w:rsidRPr="003F46ED">
        <w:t>those</w:t>
      </w:r>
      <w:r w:rsidRPr="003F46ED">
        <w:t xml:space="preserve"> who </w:t>
      </w:r>
      <w:r w:rsidR="00024430" w:rsidRPr="003F46ED">
        <w:t xml:space="preserve">do </w:t>
      </w:r>
      <w:r w:rsidRPr="003F46ED">
        <w:t>cho</w:t>
      </w:r>
      <w:r w:rsidR="008B03B8" w:rsidRPr="003F46ED">
        <w:t>o</w:t>
      </w:r>
      <w:r w:rsidRPr="003F46ED">
        <w:t>se to study langu</w:t>
      </w:r>
      <w:r w:rsidR="0068516B" w:rsidRPr="003F46ED">
        <w:t>ages, personal reasons include</w:t>
      </w:r>
      <w:r w:rsidRPr="003F46ED">
        <w:t xml:space="preserve"> </w:t>
      </w:r>
      <w:r w:rsidR="000D7DE5" w:rsidRPr="003F46ED">
        <w:t>a keen</w:t>
      </w:r>
      <w:r w:rsidRPr="003F46ED">
        <w:t xml:space="preserve"> interest</w:t>
      </w:r>
      <w:r w:rsidR="000D7DE5" w:rsidRPr="003F46ED">
        <w:t xml:space="preserve">, </w:t>
      </w:r>
      <w:r w:rsidRPr="003F46ED">
        <w:t xml:space="preserve">enjoyment and success in learning a language. Students rarely continue languages without this high level of engagement. </w:t>
      </w:r>
      <w:r w:rsidR="000D7DE5" w:rsidRPr="003F46ED">
        <w:t>How to achieve this level of engagement is one of the key questions explored in this re</w:t>
      </w:r>
      <w:r w:rsidR="00024430" w:rsidRPr="003F46ED">
        <w:t>search</w:t>
      </w:r>
      <w:r w:rsidR="000D7DE5" w:rsidRPr="003F46ED">
        <w:t xml:space="preserve">. </w:t>
      </w:r>
      <w:r w:rsidRPr="003F46ED">
        <w:t>Perceptions of cognitive advantage, like enhancing effective thinking, and a desir</w:t>
      </w:r>
      <w:r w:rsidR="00684CE8" w:rsidRPr="003F46ED">
        <w:t>e to gain cross-cultural skills</w:t>
      </w:r>
      <w:r w:rsidRPr="003F46ED">
        <w:t xml:space="preserve"> also influence th</w:t>
      </w:r>
      <w:r w:rsidR="000D7DE5" w:rsidRPr="003F46ED">
        <w:t>is cohort of</w:t>
      </w:r>
      <w:r w:rsidRPr="003F46ED">
        <w:t xml:space="preserve"> students. Reasons based on the utility of a language, including getting good marks and future work, study and travel plans, are </w:t>
      </w:r>
      <w:r w:rsidR="00C528B9" w:rsidRPr="003F46ED">
        <w:t xml:space="preserve">all </w:t>
      </w:r>
      <w:r w:rsidRPr="003F46ED">
        <w:t>taken into consideration</w:t>
      </w:r>
      <w:r w:rsidR="00C528B9" w:rsidRPr="003F46ED">
        <w:t xml:space="preserve"> in </w:t>
      </w:r>
      <w:r w:rsidR="00024430" w:rsidRPr="003F46ED">
        <w:t xml:space="preserve">these </w:t>
      </w:r>
      <w:r w:rsidR="00C528B9" w:rsidRPr="003F46ED">
        <w:t>student</w:t>
      </w:r>
      <w:r w:rsidR="00024430" w:rsidRPr="003F46ED">
        <w:t>s’</w:t>
      </w:r>
      <w:r w:rsidR="00C528B9" w:rsidRPr="003F46ED">
        <w:t xml:space="preserve"> decision making</w:t>
      </w:r>
      <w:r w:rsidRPr="003F46ED">
        <w:t>. Australian Tertiary Admission Rank (</w:t>
      </w:r>
      <w:proofErr w:type="spellStart"/>
      <w:r w:rsidRPr="003F46ED">
        <w:t>ATAR</w:t>
      </w:r>
      <w:proofErr w:type="spellEnd"/>
      <w:r w:rsidRPr="003F46ED">
        <w:t xml:space="preserve">) maximisation is not a major factor for </w:t>
      </w:r>
      <w:r w:rsidR="00024430" w:rsidRPr="003F46ED">
        <w:t>this cohort</w:t>
      </w:r>
      <w:r w:rsidRPr="003F46ED">
        <w:t xml:space="preserve">, although the opportunity to gain </w:t>
      </w:r>
      <w:r w:rsidR="00CF1204" w:rsidRPr="003F46ED">
        <w:t xml:space="preserve">an </w:t>
      </w:r>
      <w:proofErr w:type="spellStart"/>
      <w:r w:rsidR="00CF1204" w:rsidRPr="003F46ED">
        <w:t>ATAR</w:t>
      </w:r>
      <w:proofErr w:type="spellEnd"/>
      <w:r w:rsidR="00CF1204" w:rsidRPr="003F46ED">
        <w:t xml:space="preserve"> </w:t>
      </w:r>
      <w:r w:rsidRPr="003F46ED">
        <w:t>bonus influence</w:t>
      </w:r>
      <w:r w:rsidR="00CF1204" w:rsidRPr="003F46ED">
        <w:t>s</w:t>
      </w:r>
      <w:r w:rsidRPr="003F46ED">
        <w:t xml:space="preserve"> some </w:t>
      </w:r>
      <w:r w:rsidR="002F2FA1" w:rsidRPr="003F46ED">
        <w:t xml:space="preserve">senior languages </w:t>
      </w:r>
      <w:r w:rsidRPr="003F46ED">
        <w:t>students. While parents influence students</w:t>
      </w:r>
      <w:r w:rsidR="0027360D" w:rsidRPr="003F46ED">
        <w:t>’</w:t>
      </w:r>
      <w:r w:rsidRPr="003F46ED">
        <w:t xml:space="preserve"> language study choices in</w:t>
      </w:r>
      <w:r w:rsidR="00CF1204" w:rsidRPr="003F46ED">
        <w:t xml:space="preserve"> the earlier years of schooling</w:t>
      </w:r>
      <w:r w:rsidR="005F430E" w:rsidRPr="003F46ED">
        <w:t>,</w:t>
      </w:r>
      <w:r w:rsidR="00CF1204" w:rsidRPr="003F46ED">
        <w:t xml:space="preserve"> they do not appear to have</w:t>
      </w:r>
      <w:r w:rsidR="0056356D" w:rsidRPr="003F46ED">
        <w:t xml:space="preserve"> a</w:t>
      </w:r>
      <w:r w:rsidR="00CF1204" w:rsidRPr="003F46ED">
        <w:t xml:space="preserve"> </w:t>
      </w:r>
      <w:r w:rsidRPr="003F46ED">
        <w:t>strong influence in the senior secondary years.</w:t>
      </w:r>
      <w:bookmarkEnd w:id="17"/>
    </w:p>
    <w:p w14:paraId="1ED54E30" w14:textId="07C16EDF" w:rsidR="001C6E20" w:rsidRPr="003F46ED" w:rsidRDefault="001C6E20" w:rsidP="00B30583">
      <w:bookmarkStart w:id="18" w:name="_Toc402180239"/>
      <w:r w:rsidRPr="003F46ED">
        <w:t xml:space="preserve">A major barrier for students who do not choose to study a language in the senior secondary years is lack of direct access to their preferred language in their school. </w:t>
      </w:r>
      <w:r w:rsidR="00C528B9" w:rsidRPr="003F46ED">
        <w:t xml:space="preserve">Many of these students </w:t>
      </w:r>
      <w:r w:rsidR="007B4BA5" w:rsidRPr="003F46ED">
        <w:t>are</w:t>
      </w:r>
      <w:r w:rsidR="00C528B9" w:rsidRPr="003F46ED">
        <w:t xml:space="preserve"> interest</w:t>
      </w:r>
      <w:r w:rsidR="007B4BA5" w:rsidRPr="003F46ED">
        <w:t>ed</w:t>
      </w:r>
      <w:r w:rsidR="00C528B9" w:rsidRPr="003F46ED">
        <w:t xml:space="preserve"> in continuing language study but they </w:t>
      </w:r>
      <w:r w:rsidRPr="003F46ED">
        <w:t>identif</w:t>
      </w:r>
      <w:r w:rsidR="00C528B9" w:rsidRPr="003F46ED">
        <w:t>y</w:t>
      </w:r>
      <w:r w:rsidRPr="003F46ED">
        <w:t xml:space="preserve"> distance learning as a </w:t>
      </w:r>
      <w:r w:rsidR="00C528B9" w:rsidRPr="003F46ED">
        <w:t>disincentive</w:t>
      </w:r>
      <w:r w:rsidRPr="003F46ED">
        <w:t xml:space="preserve">. Where access to </w:t>
      </w:r>
      <w:r w:rsidR="00C528B9" w:rsidRPr="003F46ED">
        <w:t>a student’s preferred</w:t>
      </w:r>
      <w:r w:rsidRPr="003F46ED">
        <w:t xml:space="preserve"> language </w:t>
      </w:r>
      <w:r w:rsidRPr="003F46ED">
        <w:rPr>
          <w:i/>
        </w:rPr>
        <w:t xml:space="preserve">is </w:t>
      </w:r>
      <w:r w:rsidRPr="003F46ED">
        <w:t xml:space="preserve">available, a combination of mainly strategic reasons </w:t>
      </w:r>
      <w:r w:rsidR="00C528B9" w:rsidRPr="003F46ED">
        <w:t>concerned with quality of teaching</w:t>
      </w:r>
      <w:r w:rsidR="005A699E" w:rsidRPr="003F46ED">
        <w:t>,</w:t>
      </w:r>
      <w:r w:rsidR="00C528B9" w:rsidRPr="003F46ED">
        <w:t xml:space="preserve"> </w:t>
      </w:r>
      <w:r w:rsidR="00024430" w:rsidRPr="003F46ED">
        <w:t xml:space="preserve">language </w:t>
      </w:r>
      <w:r w:rsidR="00C528B9" w:rsidRPr="003F46ED">
        <w:t xml:space="preserve">utility and </w:t>
      </w:r>
      <w:r w:rsidR="005A699E" w:rsidRPr="003F46ED">
        <w:t xml:space="preserve">subject choice </w:t>
      </w:r>
      <w:r w:rsidR="00C528B9" w:rsidRPr="003F46ED">
        <w:t>priorit</w:t>
      </w:r>
      <w:r w:rsidR="005A699E" w:rsidRPr="003F46ED">
        <w:t>ies</w:t>
      </w:r>
      <w:r w:rsidR="00C528B9" w:rsidRPr="003F46ED">
        <w:t xml:space="preserve"> </w:t>
      </w:r>
      <w:r w:rsidRPr="003F46ED">
        <w:t xml:space="preserve">explains why students do not choose </w:t>
      </w:r>
      <w:r w:rsidR="00EC0433" w:rsidRPr="003F46ED">
        <w:t xml:space="preserve">to study </w:t>
      </w:r>
      <w:r w:rsidRPr="003F46ED">
        <w:t xml:space="preserve">a language in the senior </w:t>
      </w:r>
      <w:r w:rsidR="00C370EC" w:rsidRPr="003F46ED">
        <w:t xml:space="preserve">secondary </w:t>
      </w:r>
      <w:r w:rsidRPr="003F46ED">
        <w:t xml:space="preserve">years. </w:t>
      </w:r>
      <w:r w:rsidR="002F776E" w:rsidRPr="003F46ED">
        <w:t>These s</w:t>
      </w:r>
      <w:r w:rsidRPr="003F46ED">
        <w:t>tudents:</w:t>
      </w:r>
      <w:bookmarkEnd w:id="18"/>
      <w:r w:rsidRPr="003F46ED">
        <w:t xml:space="preserve"> </w:t>
      </w:r>
    </w:p>
    <w:p w14:paraId="782541CE" w14:textId="77777777" w:rsidR="001C6E20" w:rsidRPr="003F46ED" w:rsidRDefault="002D7752" w:rsidP="00715217">
      <w:pPr>
        <w:pStyle w:val="ListParagraph"/>
        <w:ind w:left="360"/>
      </w:pPr>
      <w:bookmarkStart w:id="19" w:name="_Toc402180240"/>
      <w:r w:rsidRPr="003F46ED">
        <w:lastRenderedPageBreak/>
        <w:t xml:space="preserve">have </w:t>
      </w:r>
      <w:r w:rsidR="001C6E20" w:rsidRPr="003F46ED">
        <w:t>low expectations for achievement</w:t>
      </w:r>
      <w:bookmarkEnd w:id="19"/>
    </w:p>
    <w:p w14:paraId="485A68C8" w14:textId="77777777" w:rsidR="001C6E20" w:rsidRPr="003F46ED" w:rsidRDefault="001C6E20" w:rsidP="00715217">
      <w:pPr>
        <w:pStyle w:val="ListParagraph"/>
        <w:ind w:left="360"/>
      </w:pPr>
      <w:bookmarkStart w:id="20" w:name="_Toc402180241"/>
      <w:r w:rsidRPr="003F46ED">
        <w:t>view other subjects</w:t>
      </w:r>
      <w:r w:rsidR="002D7752" w:rsidRPr="003F46ED">
        <w:t xml:space="preserve"> as</w:t>
      </w:r>
      <w:r w:rsidRPr="003F46ED">
        <w:t xml:space="preserve"> more important within a limited suite of subjects</w:t>
      </w:r>
      <w:bookmarkEnd w:id="20"/>
      <w:r w:rsidRPr="003F46ED">
        <w:t xml:space="preserve">  </w:t>
      </w:r>
    </w:p>
    <w:p w14:paraId="4F729EB1" w14:textId="77777777" w:rsidR="001C6E20" w:rsidRPr="003F46ED" w:rsidRDefault="001C6E20" w:rsidP="00715217">
      <w:pPr>
        <w:pStyle w:val="ListParagraph"/>
        <w:ind w:left="360"/>
      </w:pPr>
      <w:bookmarkStart w:id="21" w:name="_Toc402180242"/>
      <w:r w:rsidRPr="003F46ED">
        <w:t>perceive</w:t>
      </w:r>
      <w:r w:rsidR="002D7752" w:rsidRPr="003F46ED">
        <w:t xml:space="preserve"> that languages are</w:t>
      </w:r>
      <w:r w:rsidRPr="003F46ED">
        <w:t xml:space="preserve"> difficult</w:t>
      </w:r>
      <w:r w:rsidR="002D7752" w:rsidRPr="003F46ED">
        <w:t xml:space="preserve"> </w:t>
      </w:r>
      <w:r w:rsidRPr="003F46ED">
        <w:t xml:space="preserve">and </w:t>
      </w:r>
      <w:r w:rsidR="002D7752" w:rsidRPr="003F46ED">
        <w:t xml:space="preserve">involve </w:t>
      </w:r>
      <w:r w:rsidRPr="003F46ED">
        <w:t>excessive workload</w:t>
      </w:r>
      <w:bookmarkEnd w:id="21"/>
      <w:r w:rsidRPr="003F46ED">
        <w:t xml:space="preserve"> </w:t>
      </w:r>
    </w:p>
    <w:p w14:paraId="7B3EC490" w14:textId="77777777" w:rsidR="001C6E20" w:rsidRPr="003F46ED" w:rsidRDefault="002D7752" w:rsidP="00715217">
      <w:pPr>
        <w:pStyle w:val="ListParagraph"/>
        <w:ind w:left="360"/>
      </w:pPr>
      <w:bookmarkStart w:id="22" w:name="_Toc402180243"/>
      <w:r w:rsidRPr="003F46ED">
        <w:t>perceive</w:t>
      </w:r>
      <w:r w:rsidR="001C6E20" w:rsidRPr="003F46ED">
        <w:t xml:space="preserve"> that languages hold limited utility</w:t>
      </w:r>
      <w:bookmarkEnd w:id="22"/>
      <w:r w:rsidR="001C6E20" w:rsidRPr="003F46ED">
        <w:t xml:space="preserve"> </w:t>
      </w:r>
    </w:p>
    <w:p w14:paraId="433DC7FF" w14:textId="77777777" w:rsidR="007B1D45" w:rsidRPr="003F46ED" w:rsidRDefault="001C6E20" w:rsidP="00715217">
      <w:pPr>
        <w:pStyle w:val="ListParagraph"/>
        <w:ind w:left="360"/>
      </w:pPr>
      <w:bookmarkStart w:id="23" w:name="_Toc402180244"/>
      <w:proofErr w:type="gramStart"/>
      <w:r w:rsidRPr="003F46ED">
        <w:t>lack</w:t>
      </w:r>
      <w:proofErr w:type="gramEnd"/>
      <w:r w:rsidRPr="003F46ED">
        <w:t xml:space="preserve"> interest and enjoyment</w:t>
      </w:r>
      <w:r w:rsidR="00B70951" w:rsidRPr="003F46ED">
        <w:t xml:space="preserve"> in languages</w:t>
      </w:r>
      <w:r w:rsidR="002D7752" w:rsidRPr="003F46ED">
        <w:t>, which</w:t>
      </w:r>
      <w:r w:rsidRPr="003F46ED">
        <w:t xml:space="preserve"> often relates to teaching and materials that </w:t>
      </w:r>
      <w:r w:rsidR="00122282" w:rsidRPr="003F46ED">
        <w:t>do not</w:t>
      </w:r>
      <w:r w:rsidRPr="003F46ED">
        <w:t xml:space="preserve"> engage</w:t>
      </w:r>
      <w:r w:rsidR="00D22905" w:rsidRPr="003F46ED">
        <w:t xml:space="preserve"> them</w:t>
      </w:r>
      <w:r w:rsidRPr="003F46ED">
        <w:t>.</w:t>
      </w:r>
      <w:bookmarkEnd w:id="23"/>
      <w:r w:rsidRPr="003F46ED">
        <w:t xml:space="preserve"> </w:t>
      </w:r>
    </w:p>
    <w:p w14:paraId="6FF13A94" w14:textId="77777777" w:rsidR="007B1D45" w:rsidRPr="003F46ED" w:rsidRDefault="001C6E20" w:rsidP="00B30583">
      <w:proofErr w:type="spellStart"/>
      <w:r w:rsidRPr="003F46ED">
        <w:t>ATAR</w:t>
      </w:r>
      <w:proofErr w:type="spellEnd"/>
      <w:r w:rsidRPr="003F46ED">
        <w:t xml:space="preserve"> maximisation is a bigger consideration for these students than </w:t>
      </w:r>
      <w:r w:rsidR="00605729" w:rsidRPr="003F46ED">
        <w:t xml:space="preserve">for </w:t>
      </w:r>
      <w:r w:rsidRPr="003F46ED">
        <w:t xml:space="preserve">their counterparts who </w:t>
      </w:r>
      <w:r w:rsidR="00A658B6" w:rsidRPr="003F46ED">
        <w:t xml:space="preserve">choose to </w:t>
      </w:r>
      <w:r w:rsidRPr="003F46ED">
        <w:t>study a language.</w:t>
      </w:r>
    </w:p>
    <w:p w14:paraId="6F8FB97B" w14:textId="77777777" w:rsidR="007B1D45" w:rsidRPr="003F46ED" w:rsidRDefault="008A50FC" w:rsidP="00E22FCF">
      <w:pPr>
        <w:pStyle w:val="Heading2"/>
      </w:pPr>
      <w:bookmarkStart w:id="24" w:name="_Toc402180245"/>
      <w:bookmarkStart w:id="25" w:name="_Toc445303711"/>
      <w:bookmarkStart w:id="26" w:name="_Toc445305250"/>
      <w:r w:rsidRPr="003F46ED">
        <w:t xml:space="preserve">Interventions in four </w:t>
      </w:r>
      <w:r w:rsidR="00242E28" w:rsidRPr="003F46ED">
        <w:t xml:space="preserve">connected </w:t>
      </w:r>
      <w:r w:rsidRPr="003F46ED">
        <w:t xml:space="preserve">areas </w:t>
      </w:r>
      <w:r w:rsidR="00242E28" w:rsidRPr="003F46ED">
        <w:t>are</w:t>
      </w:r>
      <w:r w:rsidRPr="003F46ED">
        <w:t xml:space="preserve"> required to boost </w:t>
      </w:r>
      <w:r w:rsidR="00C3274B" w:rsidRPr="003F46ED">
        <w:t xml:space="preserve">senior secondary languages </w:t>
      </w:r>
      <w:r w:rsidRPr="003F46ED">
        <w:t>enrolments</w:t>
      </w:r>
      <w:bookmarkEnd w:id="24"/>
      <w:bookmarkEnd w:id="25"/>
      <w:bookmarkEnd w:id="26"/>
    </w:p>
    <w:p w14:paraId="56531B90" w14:textId="77777777" w:rsidR="007B1D45" w:rsidRPr="003F46ED" w:rsidRDefault="008A50FC" w:rsidP="00B30583">
      <w:bookmarkStart w:id="27" w:name="_Toc402180246"/>
      <w:r w:rsidRPr="003F46ED">
        <w:t xml:space="preserve">Strategies to </w:t>
      </w:r>
      <w:r w:rsidR="00242E28" w:rsidRPr="003F46ED">
        <w:t xml:space="preserve">enable and </w:t>
      </w:r>
      <w:r w:rsidRPr="003F46ED">
        <w:t xml:space="preserve">encourage </w:t>
      </w:r>
      <w:r w:rsidR="00D62124" w:rsidRPr="003F46ED">
        <w:t xml:space="preserve">students to choose languages </w:t>
      </w:r>
      <w:r w:rsidR="007E7692" w:rsidRPr="003F46ED">
        <w:t>in Y</w:t>
      </w:r>
      <w:r w:rsidR="00242E28" w:rsidRPr="003F46ED">
        <w:t xml:space="preserve">ears 11 and 12 </w:t>
      </w:r>
      <w:r w:rsidR="00D62124" w:rsidRPr="003F46ED">
        <w:t xml:space="preserve">are </w:t>
      </w:r>
      <w:r w:rsidRPr="003F46ED">
        <w:t>not necessary in most other high-performing education systems</w:t>
      </w:r>
      <w:r w:rsidR="00C17C45" w:rsidRPr="003F46ED">
        <w:t>,</w:t>
      </w:r>
      <w:r w:rsidRPr="003F46ED">
        <w:t xml:space="preserve"> like South Korea, Singapore, Shanghai</w:t>
      </w:r>
      <w:r w:rsidR="00A30364" w:rsidRPr="003F46ED">
        <w:t>, Finland</w:t>
      </w:r>
      <w:r w:rsidRPr="003F46ED">
        <w:t xml:space="preserve"> and </w:t>
      </w:r>
      <w:r w:rsidR="00242E28" w:rsidRPr="003F46ED">
        <w:t xml:space="preserve">many </w:t>
      </w:r>
      <w:r w:rsidR="00A30364" w:rsidRPr="003F46ED">
        <w:t xml:space="preserve">other </w:t>
      </w:r>
      <w:r w:rsidRPr="003F46ED">
        <w:t>European countries</w:t>
      </w:r>
      <w:r w:rsidR="001055A6" w:rsidRPr="003F46ED">
        <w:t>,</w:t>
      </w:r>
      <w:r w:rsidRPr="003F46ED">
        <w:t xml:space="preserve"> because languages are mandatory at the senior secondary level. In Australia, </w:t>
      </w:r>
      <w:r w:rsidR="00242E28" w:rsidRPr="003F46ED">
        <w:t xml:space="preserve">providing </w:t>
      </w:r>
      <w:r w:rsidR="00EA6FA1" w:rsidRPr="003F46ED">
        <w:t xml:space="preserve">students with </w:t>
      </w:r>
      <w:r w:rsidRPr="003F46ED">
        <w:t>diversity of choice underpins senior secondary certification models.</w:t>
      </w:r>
      <w:bookmarkEnd w:id="27"/>
      <w:r w:rsidRPr="003F46ED">
        <w:t xml:space="preserve"> </w:t>
      </w:r>
    </w:p>
    <w:p w14:paraId="5D482E1C" w14:textId="77777777" w:rsidR="007B1D45" w:rsidRPr="003F46ED" w:rsidRDefault="00242E28" w:rsidP="00B30583">
      <w:bookmarkStart w:id="28" w:name="_Toc402180247"/>
      <w:r w:rsidRPr="003F46ED">
        <w:t xml:space="preserve">This report looks at the reasons for those choices and what interventions are required to </w:t>
      </w:r>
      <w:r w:rsidR="001055A6" w:rsidRPr="003F46ED">
        <w:t>impact on</w:t>
      </w:r>
      <w:r w:rsidRPr="003F46ED">
        <w:t xml:space="preserve"> the pattern of low enrolments in </w:t>
      </w:r>
      <w:r w:rsidR="00495410" w:rsidRPr="003F46ED">
        <w:t xml:space="preserve">senior secondary </w:t>
      </w:r>
      <w:r w:rsidRPr="003F46ED">
        <w:t xml:space="preserve">languages. </w:t>
      </w:r>
      <w:r w:rsidR="008A50FC" w:rsidRPr="003F46ED">
        <w:t xml:space="preserve">Approaches to boost </w:t>
      </w:r>
      <w:r w:rsidR="004514AF" w:rsidRPr="003F46ED">
        <w:t xml:space="preserve">languages </w:t>
      </w:r>
      <w:r w:rsidR="008A50FC" w:rsidRPr="003F46ED">
        <w:t>enrolments to date have resulted</w:t>
      </w:r>
      <w:r w:rsidR="00A22A1C" w:rsidRPr="003F46ED">
        <w:t xml:space="preserve"> </w:t>
      </w:r>
      <w:r w:rsidR="008A50FC" w:rsidRPr="003F46ED">
        <w:t>in maint</w:t>
      </w:r>
      <w:r w:rsidR="001055A6" w:rsidRPr="003F46ED">
        <w:t xml:space="preserve">aining stable </w:t>
      </w:r>
      <w:r w:rsidR="008A50FC" w:rsidRPr="003F46ED">
        <w:t>enrolment</w:t>
      </w:r>
      <w:r w:rsidR="004514AF" w:rsidRPr="003F46ED">
        <w:t xml:space="preserve"> numbers</w:t>
      </w:r>
      <w:r w:rsidR="001055A6" w:rsidRPr="003F46ED">
        <w:t xml:space="preserve"> </w:t>
      </w:r>
      <w:r w:rsidR="008A50FC" w:rsidRPr="003F46ED">
        <w:t xml:space="preserve">at current low levels. </w:t>
      </w:r>
      <w:r w:rsidR="001055A6" w:rsidRPr="003F46ED">
        <w:t>A turn-</w:t>
      </w:r>
      <w:r w:rsidRPr="003F46ED">
        <w:t xml:space="preserve">around strategy is </w:t>
      </w:r>
      <w:r w:rsidR="00DA3F1E" w:rsidRPr="003F46ED">
        <w:t>r</w:t>
      </w:r>
      <w:r w:rsidRPr="003F46ED">
        <w:t xml:space="preserve">equired with </w:t>
      </w:r>
      <w:r w:rsidR="008A50FC" w:rsidRPr="003F46ED">
        <w:t>new and sustained national action at school, jurisdiction,</w:t>
      </w:r>
      <w:r w:rsidR="00A22A1C" w:rsidRPr="003F46ED">
        <w:t xml:space="preserve"> </w:t>
      </w:r>
      <w:r w:rsidR="00024430" w:rsidRPr="003F46ED">
        <w:t xml:space="preserve">sector, </w:t>
      </w:r>
      <w:r w:rsidR="00A22A1C" w:rsidRPr="003F46ED">
        <w:t>tertiary and community levels.</w:t>
      </w:r>
      <w:bookmarkEnd w:id="28"/>
    </w:p>
    <w:p w14:paraId="546BDEF2" w14:textId="77777777" w:rsidR="007B1D45" w:rsidRPr="003F46ED" w:rsidRDefault="008A50FC" w:rsidP="00B30583">
      <w:bookmarkStart w:id="29" w:name="_Toc402180248"/>
      <w:r w:rsidRPr="003F46ED">
        <w:t xml:space="preserve">Expanding access to high-quality languages learning for more students in the Early Years to Year 10 </w:t>
      </w:r>
      <w:r w:rsidR="001055A6" w:rsidRPr="003F46ED">
        <w:t>will</w:t>
      </w:r>
      <w:r w:rsidRPr="003F46ED">
        <w:t xml:space="preserve"> build a greater ‘pipeline’ of</w:t>
      </w:r>
      <w:r w:rsidR="00A83106" w:rsidRPr="003F46ED">
        <w:t xml:space="preserve"> language</w:t>
      </w:r>
      <w:r w:rsidR="00542783" w:rsidRPr="003F46ED">
        <w:t>s</w:t>
      </w:r>
      <w:r w:rsidRPr="003F46ED">
        <w:t xml:space="preserve"> students for the senior years. This </w:t>
      </w:r>
      <w:r w:rsidR="00DB1760" w:rsidRPr="003F46ED">
        <w:t xml:space="preserve">action </w:t>
      </w:r>
      <w:r w:rsidRPr="003F46ED">
        <w:t>is needed</w:t>
      </w:r>
      <w:r w:rsidR="00DB1760" w:rsidRPr="003F46ED">
        <w:t>.</w:t>
      </w:r>
      <w:r w:rsidR="001055A6" w:rsidRPr="003F46ED">
        <w:t xml:space="preserve"> </w:t>
      </w:r>
      <w:r w:rsidR="00DB1760" w:rsidRPr="003F46ED">
        <w:t>T</w:t>
      </w:r>
      <w:r w:rsidR="001055A6" w:rsidRPr="003F46ED">
        <w:t>he current pipeline to Year 10 is not strong</w:t>
      </w:r>
      <w:r w:rsidR="00482C48" w:rsidRPr="003F46ED">
        <w:t xml:space="preserve"> because</w:t>
      </w:r>
      <w:r w:rsidR="00781BC8" w:rsidRPr="003F46ED">
        <w:t xml:space="preserve"> languages </w:t>
      </w:r>
      <w:r w:rsidR="00482C48" w:rsidRPr="003F46ED">
        <w:t>are</w:t>
      </w:r>
      <w:r w:rsidR="00781BC8" w:rsidRPr="003F46ED">
        <w:t xml:space="preserve"> not mandatory after Year 8</w:t>
      </w:r>
      <w:r w:rsidR="001055A6" w:rsidRPr="003F46ED">
        <w:t>.</w:t>
      </w:r>
      <w:r w:rsidRPr="003F46ED">
        <w:t xml:space="preserve"> </w:t>
      </w:r>
      <w:r w:rsidR="00DB1760" w:rsidRPr="003F46ED">
        <w:t xml:space="preserve">Keeping more students </w:t>
      </w:r>
      <w:r w:rsidR="00410FE8" w:rsidRPr="003F46ED">
        <w:t xml:space="preserve">learning </w:t>
      </w:r>
      <w:r w:rsidR="00DB1760" w:rsidRPr="003F46ED">
        <w:t>l</w:t>
      </w:r>
      <w:r w:rsidR="00024430" w:rsidRPr="003F46ED">
        <w:t xml:space="preserve">anguages in Years 9 and 10 is </w:t>
      </w:r>
      <w:r w:rsidR="00DB1760" w:rsidRPr="003F46ED">
        <w:t xml:space="preserve">vital to </w:t>
      </w:r>
      <w:r w:rsidR="00024430" w:rsidRPr="003F46ED">
        <w:t>ensuring</w:t>
      </w:r>
      <w:r w:rsidR="00760A5F" w:rsidRPr="003F46ED">
        <w:t xml:space="preserve"> </w:t>
      </w:r>
      <w:r w:rsidR="00DB1760" w:rsidRPr="003F46ED">
        <w:t xml:space="preserve">more students </w:t>
      </w:r>
      <w:r w:rsidR="00024430" w:rsidRPr="003F46ED">
        <w:t xml:space="preserve">are in a position </w:t>
      </w:r>
      <w:r w:rsidR="00AC2707" w:rsidRPr="003F46ED">
        <w:t>to choose languages for</w:t>
      </w:r>
      <w:r w:rsidR="00DB1760" w:rsidRPr="003F46ED">
        <w:t xml:space="preserve"> Years 11 and 12.</w:t>
      </w:r>
      <w:bookmarkEnd w:id="29"/>
      <w:r w:rsidR="00DB1760" w:rsidRPr="003F46ED">
        <w:t xml:space="preserve"> </w:t>
      </w:r>
      <w:bookmarkStart w:id="30" w:name="_Toc402180249"/>
      <w:r w:rsidR="00DE48C2" w:rsidRPr="003F46ED">
        <w:t xml:space="preserve">However, </w:t>
      </w:r>
      <w:r w:rsidR="00DB1760" w:rsidRPr="003F46ED">
        <w:t xml:space="preserve">building </w:t>
      </w:r>
      <w:r w:rsidRPr="003F46ED">
        <w:t xml:space="preserve">a stronger pipeline of </w:t>
      </w:r>
      <w:r w:rsidR="00127AC7" w:rsidRPr="003F46ED">
        <w:t xml:space="preserve">languages </w:t>
      </w:r>
      <w:r w:rsidRPr="003F46ED">
        <w:t xml:space="preserve">students on its own is unlikely to guarantee increased enrolments. </w:t>
      </w:r>
    </w:p>
    <w:p w14:paraId="57226F8A" w14:textId="77777777" w:rsidR="007B1D45" w:rsidRPr="003F46ED" w:rsidRDefault="00DB1760" w:rsidP="00B30583">
      <w:r w:rsidRPr="003F46ED">
        <w:t>This research identifie</w:t>
      </w:r>
      <w:r w:rsidR="00024430" w:rsidRPr="003F46ED">
        <w:t xml:space="preserve">s </w:t>
      </w:r>
      <w:r w:rsidRPr="003F46ED">
        <w:t>f</w:t>
      </w:r>
      <w:r w:rsidR="008A50FC" w:rsidRPr="003F46ED">
        <w:t xml:space="preserve">our </w:t>
      </w:r>
      <w:r w:rsidRPr="003F46ED">
        <w:t xml:space="preserve">broad </w:t>
      </w:r>
      <w:r w:rsidR="008A50FC" w:rsidRPr="003F46ED">
        <w:t xml:space="preserve">interventions targeted at the senior secondary </w:t>
      </w:r>
      <w:r w:rsidR="00196451" w:rsidRPr="003F46ED">
        <w:t xml:space="preserve">level to build and sustain </w:t>
      </w:r>
      <w:r w:rsidR="00127AC7" w:rsidRPr="003F46ED">
        <w:t xml:space="preserve">student </w:t>
      </w:r>
      <w:r w:rsidR="00196451" w:rsidRPr="003F46ED">
        <w:t>demand</w:t>
      </w:r>
      <w:r w:rsidR="00196451" w:rsidRPr="003F46ED">
        <w:rPr>
          <w:i/>
        </w:rPr>
        <w:t xml:space="preserve"> </w:t>
      </w:r>
      <w:r w:rsidR="00196451" w:rsidRPr="003F46ED">
        <w:t xml:space="preserve">for </w:t>
      </w:r>
      <w:r w:rsidR="00127AC7" w:rsidRPr="003F46ED">
        <w:t>senior secondary languages (see Figure A)</w:t>
      </w:r>
      <w:r w:rsidRPr="003F46ED">
        <w:t>.</w:t>
      </w:r>
      <w:bookmarkEnd w:id="30"/>
      <w:r w:rsidRPr="003F46ED">
        <w:t xml:space="preserve"> </w:t>
      </w:r>
    </w:p>
    <w:p w14:paraId="3F442830" w14:textId="5D5C1A23" w:rsidR="002424AD" w:rsidRPr="003F46ED" w:rsidRDefault="00DB1760" w:rsidP="00B30583">
      <w:bookmarkStart w:id="31" w:name="_Toc402180250"/>
      <w:r w:rsidRPr="003F46ED">
        <w:t>The</w:t>
      </w:r>
      <w:r w:rsidR="00D41624" w:rsidRPr="003F46ED">
        <w:t>se</w:t>
      </w:r>
      <w:r w:rsidR="001055A6" w:rsidRPr="003F46ED">
        <w:t xml:space="preserve"> interventions are inter-dependent and require concurrent action</w:t>
      </w:r>
      <w:r w:rsidRPr="003F46ED">
        <w:t xml:space="preserve">. </w:t>
      </w:r>
      <w:r w:rsidR="00963755" w:rsidRPr="003F46ED">
        <w:t>Isolated action</w:t>
      </w:r>
      <w:r w:rsidRPr="003F46ED">
        <w:t xml:space="preserve"> is unlikely to substantially increase the number of students studying a language in the senior secondary years. The four interventions are</w:t>
      </w:r>
      <w:r w:rsidR="008A50FC" w:rsidRPr="003F46ED">
        <w:t>:</w:t>
      </w:r>
      <w:bookmarkEnd w:id="31"/>
    </w:p>
    <w:p w14:paraId="34C69C1E" w14:textId="77777777" w:rsidR="008A50FC" w:rsidRPr="003F46ED" w:rsidRDefault="008A50FC" w:rsidP="00F666F6">
      <w:pPr>
        <w:pStyle w:val="ListParagraph"/>
        <w:numPr>
          <w:ilvl w:val="0"/>
          <w:numId w:val="19"/>
        </w:numPr>
        <w:ind w:left="360"/>
      </w:pPr>
      <w:bookmarkStart w:id="32" w:name="_Toc402180251"/>
      <w:r w:rsidRPr="003F46ED">
        <w:t xml:space="preserve">expand opportunities </w:t>
      </w:r>
      <w:r w:rsidR="00DB1760" w:rsidRPr="003F46ED">
        <w:t>to study</w:t>
      </w:r>
      <w:r w:rsidRPr="003F46ED">
        <w:t xml:space="preserve"> languages in senior secondary certification structur</w:t>
      </w:r>
      <w:r w:rsidR="00DA164F" w:rsidRPr="003F46ED">
        <w:t>es to enable more students to choose</w:t>
      </w:r>
      <w:r w:rsidRPr="003F46ED">
        <w:t xml:space="preserve"> languages</w:t>
      </w:r>
      <w:bookmarkEnd w:id="32"/>
      <w:r w:rsidRPr="003F46ED">
        <w:t xml:space="preserve"> </w:t>
      </w:r>
    </w:p>
    <w:p w14:paraId="42600D34" w14:textId="77777777" w:rsidR="008A50FC" w:rsidRPr="003F46ED" w:rsidRDefault="00DA164F" w:rsidP="00F666F6">
      <w:pPr>
        <w:pStyle w:val="ListParagraph"/>
        <w:numPr>
          <w:ilvl w:val="0"/>
          <w:numId w:val="19"/>
        </w:numPr>
        <w:ind w:left="360"/>
      </w:pPr>
      <w:bookmarkStart w:id="33" w:name="_Toc402180252"/>
      <w:r w:rsidRPr="003F46ED">
        <w:t>provide</w:t>
      </w:r>
      <w:r w:rsidR="008A50FC" w:rsidRPr="003F46ED">
        <w:t xml:space="preserve"> access to high quality languages programmes to build and sustain student participation in languages</w:t>
      </w:r>
      <w:bookmarkEnd w:id="33"/>
      <w:r w:rsidR="008A50FC" w:rsidRPr="003F46ED">
        <w:t xml:space="preserve"> </w:t>
      </w:r>
    </w:p>
    <w:p w14:paraId="79E769B7" w14:textId="77777777" w:rsidR="008A50FC" w:rsidRPr="003F46ED" w:rsidRDefault="00EC4251" w:rsidP="00F666F6">
      <w:pPr>
        <w:pStyle w:val="ListParagraph"/>
        <w:numPr>
          <w:ilvl w:val="0"/>
          <w:numId w:val="19"/>
        </w:numPr>
        <w:ind w:left="360"/>
      </w:pPr>
      <w:bookmarkStart w:id="34" w:name="_Toc402180253"/>
      <w:r w:rsidRPr="003F46ED">
        <w:t xml:space="preserve">engage all stakeholders in </w:t>
      </w:r>
      <w:r w:rsidR="000E727D" w:rsidRPr="003F46ED">
        <w:t>recognising and promoting</w:t>
      </w:r>
      <w:r w:rsidRPr="003F46ED">
        <w:t xml:space="preserve"> the value and utility of languages</w:t>
      </w:r>
      <w:bookmarkEnd w:id="34"/>
    </w:p>
    <w:p w14:paraId="17B110C5" w14:textId="77777777" w:rsidR="007B1D45" w:rsidRPr="003F46ED" w:rsidRDefault="004529DB" w:rsidP="00F666F6">
      <w:pPr>
        <w:pStyle w:val="ListParagraph"/>
        <w:numPr>
          <w:ilvl w:val="0"/>
          <w:numId w:val="19"/>
        </w:numPr>
        <w:ind w:left="360"/>
      </w:pPr>
      <w:bookmarkStart w:id="35" w:name="_Toc402180254"/>
      <w:proofErr w:type="gramStart"/>
      <w:r w:rsidRPr="003F46ED">
        <w:t>collaborate</w:t>
      </w:r>
      <w:proofErr w:type="gramEnd"/>
      <w:r w:rsidRPr="003F46ED">
        <w:t xml:space="preserve"> nationally to </w:t>
      </w:r>
      <w:r w:rsidR="00EC4251" w:rsidRPr="003F46ED">
        <w:t>support languages planning and implementation</w:t>
      </w:r>
      <w:r w:rsidR="008A50FC" w:rsidRPr="003F46ED">
        <w:t>.</w:t>
      </w:r>
      <w:bookmarkEnd w:id="35"/>
      <w:r w:rsidR="008A50FC" w:rsidRPr="003F46ED">
        <w:t xml:space="preserve"> </w:t>
      </w:r>
    </w:p>
    <w:p w14:paraId="54C41E10" w14:textId="77777777" w:rsidR="00F74E23" w:rsidRDefault="00F74E23">
      <w:pPr>
        <w:spacing w:after="0"/>
      </w:pPr>
      <w:r>
        <w:br w:type="page"/>
      </w:r>
    </w:p>
    <w:p w14:paraId="45227B5D" w14:textId="3D53D94C" w:rsidR="00AF0A29" w:rsidRPr="00F74E23" w:rsidRDefault="00AF0A29" w:rsidP="00F74E23">
      <w:pPr>
        <w:pStyle w:val="Caption"/>
        <w:rPr>
          <w:b/>
        </w:rPr>
      </w:pPr>
      <w:r w:rsidRPr="00F74E23">
        <w:rPr>
          <w:b/>
        </w:rPr>
        <w:lastRenderedPageBreak/>
        <w:t>Figure A: Four concurrent interventions to build and sustain demand for senior secondary languages</w:t>
      </w:r>
    </w:p>
    <w:p w14:paraId="5E37625A" w14:textId="3E46124C" w:rsidR="00005DFA" w:rsidRPr="003F46ED" w:rsidRDefault="0093529A" w:rsidP="00AF0A29">
      <w:pPr>
        <w:jc w:val="center"/>
      </w:pPr>
      <w:r w:rsidRPr="003F46ED">
        <w:t xml:space="preserve"> </w:t>
      </w:r>
      <w:r w:rsidR="005A18D1" w:rsidRPr="003F46ED">
        <w:rPr>
          <w:noProof/>
          <w:lang w:eastAsia="en-AU"/>
        </w:rPr>
        <w:drawing>
          <wp:inline distT="0" distB="0" distL="0" distR="0" wp14:anchorId="5ADE733B" wp14:editId="13AD8EFA">
            <wp:extent cx="3081867" cy="3249526"/>
            <wp:effectExtent l="0" t="0" r="4445" b="8255"/>
            <wp:docPr id="10" name="Picture 10" descr="Figure A shows the interdependence of the four insections to build and sustain student demand for senior secondary languages. These intersections that create and sustain demand are. 1. expand opportunities for languages in senior secondary certification. 2. engage all stakeholders in recognising and promoting the value and utility of languages. 3. collaborate nationally to support languages planning and implementation. 4. Provide access to high quality languages program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LER_Interventions_231014.png"/>
                    <pic:cNvPicPr/>
                  </pic:nvPicPr>
                  <pic:blipFill>
                    <a:blip r:embed="rId15">
                      <a:extLst>
                        <a:ext uri="{28A0092B-C50C-407E-A947-70E740481C1C}">
                          <a14:useLocalDpi xmlns:a14="http://schemas.microsoft.com/office/drawing/2010/main" val="0"/>
                        </a:ext>
                      </a:extLst>
                    </a:blip>
                    <a:stretch>
                      <a:fillRect/>
                    </a:stretch>
                  </pic:blipFill>
                  <pic:spPr>
                    <a:xfrm>
                      <a:off x="0" y="0"/>
                      <a:ext cx="3083664" cy="3251421"/>
                    </a:xfrm>
                    <a:prstGeom prst="rect">
                      <a:avLst/>
                    </a:prstGeom>
                  </pic:spPr>
                </pic:pic>
              </a:graphicData>
            </a:graphic>
          </wp:inline>
        </w:drawing>
      </w:r>
    </w:p>
    <w:p w14:paraId="416F5518" w14:textId="77777777" w:rsidR="007B1D45" w:rsidRPr="003F46ED" w:rsidRDefault="008A50FC" w:rsidP="00D0212E">
      <w:pPr>
        <w:pStyle w:val="Heading3"/>
      </w:pPr>
      <w:r w:rsidRPr="003F46ED">
        <w:t>1</w:t>
      </w:r>
      <w:r w:rsidR="002B7F8A" w:rsidRPr="003F46ED">
        <w:tab/>
      </w:r>
      <w:r w:rsidRPr="003F46ED">
        <w:t>Expand opportunities for languages in senior secondary certification structures</w:t>
      </w:r>
    </w:p>
    <w:p w14:paraId="0AF02C42" w14:textId="2AC42294" w:rsidR="008A50FC" w:rsidRPr="003F46ED" w:rsidRDefault="008A50FC" w:rsidP="00B30583">
      <w:bookmarkStart w:id="36" w:name="_Toc402180255"/>
      <w:r w:rsidRPr="003F46ED">
        <w:t xml:space="preserve">Modifying the structure of senior secondary certification is the </w:t>
      </w:r>
      <w:r w:rsidRPr="003F46ED">
        <w:rPr>
          <w:i/>
        </w:rPr>
        <w:t>key lever</w:t>
      </w:r>
      <w:r w:rsidRPr="003F46ED">
        <w:t xml:space="preserve"> to boost senior secondary languages enrolment</w:t>
      </w:r>
      <w:r w:rsidR="00F56A6A" w:rsidRPr="003F46ED">
        <w:t>s</w:t>
      </w:r>
      <w:r w:rsidRPr="003F46ED">
        <w:t xml:space="preserve">. </w:t>
      </w:r>
      <w:r w:rsidR="00143C8B" w:rsidRPr="003F46ED">
        <w:t>Two broad modifications required</w:t>
      </w:r>
      <w:r w:rsidR="00C95964" w:rsidRPr="003F46ED">
        <w:t xml:space="preserve"> are</w:t>
      </w:r>
      <w:r w:rsidR="00143C8B" w:rsidRPr="003F46ED">
        <w:t>:</w:t>
      </w:r>
      <w:bookmarkEnd w:id="36"/>
    </w:p>
    <w:p w14:paraId="3ADE9EFE" w14:textId="77777777" w:rsidR="00143C8B" w:rsidRPr="003F46ED" w:rsidRDefault="00C95964" w:rsidP="00F666F6">
      <w:pPr>
        <w:pStyle w:val="ListParagraph"/>
        <w:numPr>
          <w:ilvl w:val="0"/>
          <w:numId w:val="33"/>
        </w:numPr>
        <w:ind w:left="360"/>
      </w:pPr>
      <w:bookmarkStart w:id="37" w:name="_Toc402180256"/>
      <w:r w:rsidRPr="003F46ED">
        <w:t xml:space="preserve">increasing </w:t>
      </w:r>
      <w:r w:rsidR="00143C8B" w:rsidRPr="003F46ED">
        <w:t>the number of subjects required for senior secondary certification</w:t>
      </w:r>
      <w:bookmarkEnd w:id="37"/>
    </w:p>
    <w:p w14:paraId="5E800321" w14:textId="77777777" w:rsidR="007B1D45" w:rsidRPr="003F46ED" w:rsidRDefault="00C95964" w:rsidP="00F666F6">
      <w:pPr>
        <w:pStyle w:val="ListParagraph"/>
        <w:numPr>
          <w:ilvl w:val="0"/>
          <w:numId w:val="33"/>
        </w:numPr>
        <w:ind w:left="360"/>
      </w:pPr>
      <w:bookmarkStart w:id="38" w:name="_Toc402180257"/>
      <w:proofErr w:type="gramStart"/>
      <w:r w:rsidRPr="003F46ED">
        <w:t>expanding</w:t>
      </w:r>
      <w:proofErr w:type="gramEnd"/>
      <w:r w:rsidRPr="003F46ED">
        <w:t xml:space="preserve"> </w:t>
      </w:r>
      <w:r w:rsidR="00143C8B" w:rsidRPr="003F46ED">
        <w:t>certification opportunities for languages.</w:t>
      </w:r>
      <w:bookmarkEnd w:id="38"/>
    </w:p>
    <w:p w14:paraId="07000ADF" w14:textId="77777777" w:rsidR="007B1D45" w:rsidRPr="003F46ED" w:rsidRDefault="008A50FC" w:rsidP="00485F09">
      <w:pPr>
        <w:pStyle w:val="Heading4"/>
      </w:pPr>
      <w:r w:rsidRPr="003F46ED">
        <w:t>1.1</w:t>
      </w:r>
      <w:r w:rsidRPr="003F46ED">
        <w:tab/>
      </w:r>
      <w:r w:rsidR="00143C8B" w:rsidRPr="003F46ED">
        <w:t>Increase the</w:t>
      </w:r>
      <w:r w:rsidRPr="003F46ED">
        <w:t xml:space="preserve"> number of subjects required for</w:t>
      </w:r>
      <w:r w:rsidR="00A969C9" w:rsidRPr="003F46ED">
        <w:t xml:space="preserve"> senior secondary certification</w:t>
      </w:r>
    </w:p>
    <w:p w14:paraId="50A442BC" w14:textId="77777777" w:rsidR="007B1D45" w:rsidRPr="003F46ED" w:rsidRDefault="00024430" w:rsidP="00B30583">
      <w:r w:rsidRPr="003F46ED">
        <w:t>A major disincentive for language study is t</w:t>
      </w:r>
      <w:r w:rsidR="008A50FC" w:rsidRPr="003F46ED">
        <w:t>he limited number of subjects students are required to take for s</w:t>
      </w:r>
      <w:r w:rsidR="00734107" w:rsidRPr="003F46ED">
        <w:t>enior secondary certification</w:t>
      </w:r>
      <w:r w:rsidR="008A50FC" w:rsidRPr="003F46ED">
        <w:t xml:space="preserve">. Most students choose four or five subjects only and languages is the learning area most often rejected. </w:t>
      </w:r>
    </w:p>
    <w:p w14:paraId="65D3B643" w14:textId="77777777" w:rsidR="007B1D45" w:rsidRPr="003F46ED" w:rsidRDefault="00C27341" w:rsidP="00B30583">
      <w:pPr>
        <w:rPr>
          <w:rFonts w:cs="Calibri"/>
        </w:rPr>
      </w:pPr>
      <w:r w:rsidRPr="003F46ED">
        <w:t>S</w:t>
      </w:r>
      <w:r w:rsidR="008A50FC" w:rsidRPr="003F46ED">
        <w:t>tudents</w:t>
      </w:r>
      <w:r w:rsidRPr="003F46ED">
        <w:t xml:space="preserve"> have a greater chance</w:t>
      </w:r>
      <w:r w:rsidR="008A50FC" w:rsidRPr="003F46ED">
        <w:t xml:space="preserve"> to study a language when more than four or five subjects</w:t>
      </w:r>
      <w:r w:rsidR="001E1C98" w:rsidRPr="003F46ED">
        <w:t xml:space="preserve"> (depending on jurisdiction)</w:t>
      </w:r>
      <w:r w:rsidR="008A50FC" w:rsidRPr="003F46ED">
        <w:t xml:space="preserve"> ar</w:t>
      </w:r>
      <w:r w:rsidR="00143C8B" w:rsidRPr="003F46ED">
        <w:t>e required for certification. Increasing the number of required subjects, combined with</w:t>
      </w:r>
      <w:r w:rsidR="008A50FC" w:rsidRPr="003F46ED">
        <w:t xml:space="preserve"> incentives </w:t>
      </w:r>
      <w:r w:rsidR="00143C8B" w:rsidRPr="003F46ED">
        <w:t xml:space="preserve">to </w:t>
      </w:r>
      <w:r w:rsidR="0033696F" w:rsidRPr="003F46ED">
        <w:t xml:space="preserve">study </w:t>
      </w:r>
      <w:r w:rsidR="00143C8B" w:rsidRPr="003F46ED">
        <w:t xml:space="preserve">a language, </w:t>
      </w:r>
      <w:r w:rsidR="00B725FD" w:rsidRPr="003F46ED">
        <w:t>is likely to</w:t>
      </w:r>
      <w:r w:rsidR="00143C8B" w:rsidRPr="003F46ED">
        <w:t xml:space="preserve"> attract more students to choose a language. </w:t>
      </w:r>
      <w:r w:rsidR="008A50FC" w:rsidRPr="003F46ED">
        <w:t xml:space="preserve">Queensland students doing Japanese choose to take six subjects at a much higher proportion than other students. Victoria provides </w:t>
      </w:r>
      <w:proofErr w:type="spellStart"/>
      <w:r w:rsidR="00B310CA" w:rsidRPr="003F46ED">
        <w:t>ATAR</w:t>
      </w:r>
      <w:proofErr w:type="spellEnd"/>
      <w:r w:rsidR="00B310CA" w:rsidRPr="003F46ED">
        <w:t xml:space="preserve"> bonus points</w:t>
      </w:r>
      <w:r w:rsidR="008A50FC" w:rsidRPr="003F46ED">
        <w:t xml:space="preserve"> for students </w:t>
      </w:r>
      <w:r w:rsidR="00B310CA" w:rsidRPr="003F46ED">
        <w:t>who</w:t>
      </w:r>
      <w:r w:rsidR="008A50FC" w:rsidRPr="003F46ED">
        <w:t xml:space="preserve"> </w:t>
      </w:r>
      <w:r w:rsidR="00C92950" w:rsidRPr="003F46ED">
        <w:t xml:space="preserve">study </w:t>
      </w:r>
      <w:r w:rsidR="008A50FC" w:rsidRPr="003F46ED">
        <w:t xml:space="preserve">languages </w:t>
      </w:r>
      <w:r w:rsidR="005E1C75" w:rsidRPr="003F46ED">
        <w:rPr>
          <w:i/>
        </w:rPr>
        <w:t>and</w:t>
      </w:r>
      <w:r w:rsidR="005E1C75" w:rsidRPr="003F46ED">
        <w:t xml:space="preserve"> </w:t>
      </w:r>
      <w:r w:rsidR="008A50FC" w:rsidRPr="003F46ED">
        <w:t xml:space="preserve">incentives to choose a fifth and/or sixth subject. These incentives could be one of the reasons why Victoria has the highest proportion nationally of senior secondary students taking a languages subject for certification. Conversely, </w:t>
      </w:r>
      <w:r w:rsidR="008A50FC" w:rsidRPr="003F46ED">
        <w:rPr>
          <w:rFonts w:cs="Calibri"/>
        </w:rPr>
        <w:t>the introduction of a new senior secondar</w:t>
      </w:r>
      <w:r w:rsidR="00143C8B" w:rsidRPr="003F46ED">
        <w:rPr>
          <w:rFonts w:cs="Calibri"/>
        </w:rPr>
        <w:t>y structure in South Australia</w:t>
      </w:r>
      <w:r w:rsidR="002A280E" w:rsidRPr="003F46ED">
        <w:rPr>
          <w:rFonts w:cs="Calibri"/>
        </w:rPr>
        <w:t>,</w:t>
      </w:r>
      <w:r w:rsidR="00143C8B" w:rsidRPr="003F46ED">
        <w:rPr>
          <w:rFonts w:cs="Calibri"/>
        </w:rPr>
        <w:t xml:space="preserve"> </w:t>
      </w:r>
      <w:r w:rsidR="002A280E" w:rsidRPr="003F46ED">
        <w:rPr>
          <w:rFonts w:cs="Calibri"/>
        </w:rPr>
        <w:t>which</w:t>
      </w:r>
      <w:r w:rsidR="00143C8B" w:rsidRPr="003F46ED">
        <w:rPr>
          <w:rFonts w:cs="Calibri"/>
        </w:rPr>
        <w:t xml:space="preserve"> limits </w:t>
      </w:r>
      <w:r w:rsidR="00734107" w:rsidRPr="003F46ED">
        <w:rPr>
          <w:rFonts w:cs="Calibri"/>
        </w:rPr>
        <w:t xml:space="preserve">student </w:t>
      </w:r>
      <w:r w:rsidR="00143C8B" w:rsidRPr="003F46ED">
        <w:rPr>
          <w:rFonts w:cs="Calibri"/>
        </w:rPr>
        <w:t>choice to</w:t>
      </w:r>
      <w:r w:rsidR="00C4104B" w:rsidRPr="003F46ED">
        <w:rPr>
          <w:rFonts w:cs="Calibri"/>
        </w:rPr>
        <w:t xml:space="preserve"> </w:t>
      </w:r>
      <w:r w:rsidR="008A50FC" w:rsidRPr="003F46ED">
        <w:rPr>
          <w:rFonts w:cs="Calibri"/>
        </w:rPr>
        <w:t>four</w:t>
      </w:r>
      <w:r w:rsidR="00C4104B" w:rsidRPr="003F46ED">
        <w:rPr>
          <w:rFonts w:cs="Calibri"/>
        </w:rPr>
        <w:t xml:space="preserve"> </w:t>
      </w:r>
      <w:r w:rsidR="008A50FC" w:rsidRPr="003F46ED">
        <w:rPr>
          <w:rFonts w:cs="Calibri"/>
        </w:rPr>
        <w:t>subjects pl</w:t>
      </w:r>
      <w:r w:rsidR="00C4104B" w:rsidRPr="003F46ED">
        <w:rPr>
          <w:rFonts w:cs="Calibri"/>
        </w:rPr>
        <w:t>us a mandatory research project,</w:t>
      </w:r>
      <w:r w:rsidR="005C4C91" w:rsidRPr="003F46ED">
        <w:rPr>
          <w:rFonts w:cs="Calibri"/>
        </w:rPr>
        <w:t xml:space="preserve"> has seen a downward trend for l</w:t>
      </w:r>
      <w:r w:rsidR="008A50FC" w:rsidRPr="003F46ED">
        <w:rPr>
          <w:rFonts w:cs="Calibri"/>
        </w:rPr>
        <w:t>anguages (and Arts) enrolments</w:t>
      </w:r>
      <w:r w:rsidR="00C4104B" w:rsidRPr="003F46ED">
        <w:rPr>
          <w:rFonts w:cs="Calibri"/>
        </w:rPr>
        <w:t>.</w:t>
      </w:r>
    </w:p>
    <w:p w14:paraId="785ABB57" w14:textId="48A10F45" w:rsidR="00665CB6" w:rsidRPr="003F46ED" w:rsidRDefault="003552C8" w:rsidP="00B30583">
      <w:r w:rsidRPr="003F46ED">
        <w:t>Increases in languages enrolments</w:t>
      </w:r>
      <w:r w:rsidR="008A50FC" w:rsidRPr="003F46ED">
        <w:t xml:space="preserve"> resulting fr</w:t>
      </w:r>
      <w:r w:rsidR="00B758C2" w:rsidRPr="003F46ED">
        <w:t xml:space="preserve">om </w:t>
      </w:r>
      <w:proofErr w:type="spellStart"/>
      <w:r w:rsidR="00B758C2" w:rsidRPr="003F46ED">
        <w:t>ATAR</w:t>
      </w:r>
      <w:proofErr w:type="spellEnd"/>
      <w:r w:rsidR="00B758C2" w:rsidRPr="003F46ED">
        <w:t xml:space="preserve"> bonuses alone </w:t>
      </w:r>
      <w:r w:rsidR="00143C8B" w:rsidRPr="003F46ED">
        <w:t>appear to be</w:t>
      </w:r>
      <w:r w:rsidR="00B758C2" w:rsidRPr="003F46ED">
        <w:t xml:space="preserve"> minor</w:t>
      </w:r>
      <w:r w:rsidR="008A50FC" w:rsidRPr="003F46ED">
        <w:t xml:space="preserve"> </w:t>
      </w:r>
      <w:r w:rsidR="00143C8B" w:rsidRPr="003F46ED">
        <w:t xml:space="preserve">although they </w:t>
      </w:r>
      <w:r w:rsidR="00776BDA" w:rsidRPr="003F46ED">
        <w:t xml:space="preserve">may </w:t>
      </w:r>
      <w:r w:rsidR="00143C8B" w:rsidRPr="003F46ED">
        <w:t>have helped</w:t>
      </w:r>
      <w:r w:rsidR="008A50FC" w:rsidRPr="003F46ED">
        <w:t xml:space="preserve"> keep numbers stable. No research has be</w:t>
      </w:r>
      <w:r w:rsidR="005B3D47" w:rsidRPr="003F46ED">
        <w:t>e</w:t>
      </w:r>
      <w:r w:rsidR="008A50FC" w:rsidRPr="003F46ED">
        <w:t xml:space="preserve">n published to indicate if students take scaling of marks into account in choosing to study a language. </w:t>
      </w:r>
      <w:r w:rsidR="00761407" w:rsidRPr="003F46ED">
        <w:t>The application of e</w:t>
      </w:r>
      <w:r w:rsidR="00E43CC7" w:rsidRPr="003F46ED">
        <w:t xml:space="preserve">nrolment </w:t>
      </w:r>
      <w:r w:rsidR="001608D0" w:rsidRPr="003F46ED">
        <w:t>‘</w:t>
      </w:r>
      <w:r w:rsidR="00E43CC7" w:rsidRPr="003F46ED">
        <w:t>eligibility criteria</w:t>
      </w:r>
      <w:r w:rsidR="001608D0" w:rsidRPr="003F46ED">
        <w:t>’</w:t>
      </w:r>
      <w:r w:rsidR="00E43CC7" w:rsidRPr="003F46ED">
        <w:t xml:space="preserve"> </w:t>
      </w:r>
      <w:r w:rsidR="006E1FB7" w:rsidRPr="003F46ED">
        <w:t>is</w:t>
      </w:r>
      <w:r w:rsidR="008A50FC" w:rsidRPr="003F46ED">
        <w:t xml:space="preserve"> mainly an issue for Mandarin Chinese</w:t>
      </w:r>
      <w:r w:rsidR="0024356D" w:rsidRPr="003F46ED">
        <w:t>:</w:t>
      </w:r>
      <w:r w:rsidR="00E43CC7" w:rsidRPr="003F46ED">
        <w:t xml:space="preserve"> </w:t>
      </w:r>
      <w:r w:rsidR="0024356D" w:rsidRPr="003F46ED">
        <w:t xml:space="preserve">students can be reluctant to study a language as a second language </w:t>
      </w:r>
      <w:r w:rsidR="0024356D" w:rsidRPr="003F46ED">
        <w:lastRenderedPageBreak/>
        <w:t xml:space="preserve">learner if they see themselves </w:t>
      </w:r>
      <w:r w:rsidR="009148DC" w:rsidRPr="003F46ED">
        <w:t xml:space="preserve">as being </w:t>
      </w:r>
      <w:r w:rsidR="0024356D" w:rsidRPr="003F46ED">
        <w:t>in competition with native speakers</w:t>
      </w:r>
      <w:r w:rsidR="00A05819" w:rsidRPr="003F46ED">
        <w:t>. However, this issue</w:t>
      </w:r>
      <w:r w:rsidR="0024356D" w:rsidRPr="003F46ED">
        <w:t xml:space="preserve"> appears to have</w:t>
      </w:r>
      <w:r w:rsidR="008A50FC" w:rsidRPr="003F46ED">
        <w:t xml:space="preserve"> </w:t>
      </w:r>
      <w:r w:rsidR="00391C1D" w:rsidRPr="003F46ED">
        <w:t xml:space="preserve">had </w:t>
      </w:r>
      <w:r w:rsidR="008A50FC" w:rsidRPr="003F46ED">
        <w:t>little impact on languages enrolments on a macro scale.</w:t>
      </w:r>
    </w:p>
    <w:p w14:paraId="5471CAFD" w14:textId="77777777" w:rsidR="00E22FCF" w:rsidRPr="002F0716" w:rsidRDefault="00E22FCF" w:rsidP="002F0716">
      <w:pPr>
        <w:pStyle w:val="Boxh4"/>
      </w:pPr>
      <w:r w:rsidRPr="002F0716">
        <w:t>Recommendation 1.1: Expand the number of subjects required for senior secondary certification to six and provide incentives for students to choose a language.</w:t>
      </w:r>
    </w:p>
    <w:p w14:paraId="647DDD3E" w14:textId="77777777" w:rsidR="007B1D45" w:rsidRPr="003F46ED" w:rsidRDefault="008A50FC" w:rsidP="00E22FCF">
      <w:r w:rsidRPr="003F46ED">
        <w:t>Macro changes to senior certification require time due to their regulatory nature and impact at school level</w:t>
      </w:r>
      <w:r w:rsidR="003D26D9" w:rsidRPr="003F46ED">
        <w:t>.</w:t>
      </w:r>
      <w:r w:rsidR="006E1FB7" w:rsidRPr="003F46ED">
        <w:t xml:space="preserve"> </w:t>
      </w:r>
      <w:r w:rsidR="003D26D9" w:rsidRPr="003F46ED">
        <w:t>This</w:t>
      </w:r>
      <w:r w:rsidR="006A3149" w:rsidRPr="003F46ED">
        <w:t xml:space="preserve"> is a medium to longer </w:t>
      </w:r>
      <w:r w:rsidR="006E1FB7" w:rsidRPr="003F46ED">
        <w:t>term strategy</w:t>
      </w:r>
      <w:r w:rsidRPr="003F46ED">
        <w:t xml:space="preserve">. </w:t>
      </w:r>
      <w:r w:rsidR="006E1FB7" w:rsidRPr="003F46ED">
        <w:t>However, a</w:t>
      </w:r>
      <w:r w:rsidRPr="003F46ED">
        <w:t xml:space="preserve"> range of bonus incentive</w:t>
      </w:r>
      <w:r w:rsidR="00341535" w:rsidRPr="003F46ED">
        <w:t>s</w:t>
      </w:r>
      <w:r w:rsidRPr="003F46ED">
        <w:t xml:space="preserve"> exist across all states and territories and can be built on</w:t>
      </w:r>
      <w:r w:rsidR="006E1FB7" w:rsidRPr="003F46ED">
        <w:t xml:space="preserve"> in the short term</w:t>
      </w:r>
      <w:r w:rsidRPr="003F46ED">
        <w:t xml:space="preserve">. </w:t>
      </w:r>
      <w:r w:rsidR="00341535" w:rsidRPr="003F46ED">
        <w:t xml:space="preserve">The most common incentives are </w:t>
      </w:r>
      <w:proofErr w:type="spellStart"/>
      <w:r w:rsidR="00341535" w:rsidRPr="003F46ED">
        <w:t>ATAR</w:t>
      </w:r>
      <w:proofErr w:type="spellEnd"/>
      <w:r w:rsidR="00341535" w:rsidRPr="003F46ED">
        <w:t xml:space="preserve"> bonuses, but they can also be in the form of fee subsidies or credit towards a course at tertiary level.</w:t>
      </w:r>
    </w:p>
    <w:p w14:paraId="71FD9481" w14:textId="77777777" w:rsidR="007B1D45" w:rsidRPr="003F46ED" w:rsidRDefault="006E1FB7" w:rsidP="00485F09">
      <w:pPr>
        <w:pStyle w:val="Heading4"/>
      </w:pPr>
      <w:r w:rsidRPr="003F46ED">
        <w:t>1.2</w:t>
      </w:r>
      <w:r w:rsidRPr="003F46ED">
        <w:tab/>
        <w:t>Expand</w:t>
      </w:r>
      <w:r w:rsidR="008A50FC" w:rsidRPr="003F46ED">
        <w:t xml:space="preserve"> certification options </w:t>
      </w:r>
      <w:r w:rsidRPr="003F46ED">
        <w:t>to</w:t>
      </w:r>
      <w:r w:rsidR="008A50FC" w:rsidRPr="003F46ED">
        <w:t xml:space="preserve"> boost senior secondary enrolments in languages</w:t>
      </w:r>
    </w:p>
    <w:p w14:paraId="650E6FD1" w14:textId="77777777" w:rsidR="007B1D45" w:rsidRPr="003F46ED" w:rsidRDefault="008A50FC" w:rsidP="00B30583">
      <w:r w:rsidRPr="003F46ED">
        <w:t xml:space="preserve">Opportunities for students to enrol in languages in the senior secondary years </w:t>
      </w:r>
      <w:r w:rsidR="00444BEB" w:rsidRPr="003F46ED">
        <w:t xml:space="preserve">have </w:t>
      </w:r>
      <w:r w:rsidRPr="003F46ED">
        <w:t xml:space="preserve">largely focused on student continuity from </w:t>
      </w:r>
      <w:r w:rsidR="00DD0184" w:rsidRPr="003F46ED">
        <w:t xml:space="preserve">the </w:t>
      </w:r>
      <w:r w:rsidRPr="003F46ED">
        <w:t xml:space="preserve">earlier years of formal schooling. Recognising all language learning and all </w:t>
      </w:r>
      <w:r w:rsidR="002700C8" w:rsidRPr="003F46ED">
        <w:t xml:space="preserve">learner </w:t>
      </w:r>
      <w:r w:rsidRPr="003F46ED">
        <w:t xml:space="preserve">backgrounds and entry points will substantially improve </w:t>
      </w:r>
      <w:r w:rsidR="000F41CE" w:rsidRPr="003F46ED">
        <w:t>students</w:t>
      </w:r>
      <w:r w:rsidR="00196AA7" w:rsidRPr="003F46ED">
        <w:t>’ ability</w:t>
      </w:r>
      <w:r w:rsidR="000F41CE" w:rsidRPr="003F46ED">
        <w:t xml:space="preserve"> to</w:t>
      </w:r>
      <w:r w:rsidRPr="003F46ED">
        <w:t xml:space="preserve"> study </w:t>
      </w:r>
      <w:r w:rsidR="000F41CE" w:rsidRPr="003F46ED">
        <w:t xml:space="preserve">a </w:t>
      </w:r>
      <w:r w:rsidRPr="003F46ED">
        <w:t xml:space="preserve">language </w:t>
      </w:r>
      <w:r w:rsidR="000F41CE" w:rsidRPr="003F46ED">
        <w:t xml:space="preserve">for </w:t>
      </w:r>
      <w:r w:rsidRPr="003F46ED">
        <w:t xml:space="preserve">senior </w:t>
      </w:r>
      <w:r w:rsidR="000F41CE" w:rsidRPr="003F46ED">
        <w:t>certification</w:t>
      </w:r>
      <w:r w:rsidRPr="003F46ED">
        <w:t xml:space="preserve">. </w:t>
      </w:r>
    </w:p>
    <w:p w14:paraId="370BE945" w14:textId="28371ADE" w:rsidR="008A50FC" w:rsidRPr="003F46ED" w:rsidRDefault="008A50FC" w:rsidP="00B30583">
      <w:r w:rsidRPr="003F46ED">
        <w:t xml:space="preserve">New senior secondary certification options are emerging in some jurisdictions with potential to </w:t>
      </w:r>
      <w:r w:rsidR="006E1FB7" w:rsidRPr="003F46ED">
        <w:t xml:space="preserve">a) </w:t>
      </w:r>
      <w:r w:rsidRPr="003F46ED">
        <w:t xml:space="preserve">attract more students to </w:t>
      </w:r>
      <w:r w:rsidR="004B014D" w:rsidRPr="003F46ED">
        <w:t xml:space="preserve">choose </w:t>
      </w:r>
      <w:r w:rsidRPr="003F46ED">
        <w:t xml:space="preserve">languages and </w:t>
      </w:r>
      <w:r w:rsidR="006E1FB7" w:rsidRPr="003F46ED">
        <w:t xml:space="preserve">b) </w:t>
      </w:r>
      <w:r w:rsidRPr="003F46ED">
        <w:t xml:space="preserve">expand recognition for those students who have gained achievement in a language outside the formal school system. </w:t>
      </w:r>
      <w:proofErr w:type="gramStart"/>
      <w:r w:rsidRPr="003F46ED">
        <w:t>Beginners</w:t>
      </w:r>
      <w:proofErr w:type="gramEnd"/>
      <w:r w:rsidRPr="003F46ED">
        <w:t xml:space="preserve"> l</w:t>
      </w:r>
      <w:r w:rsidR="00732F5A" w:rsidRPr="003F46ED">
        <w:t xml:space="preserve">evel courses at Years 11 and 12, </w:t>
      </w:r>
      <w:r w:rsidR="00B355A2" w:rsidRPr="003F46ED">
        <w:t>for example,</w:t>
      </w:r>
      <w:r w:rsidRPr="003F46ED">
        <w:t xml:space="preserve"> have improved the proportion of students taking a language</w:t>
      </w:r>
      <w:r w:rsidR="006C2C6D" w:rsidRPr="003F46ED">
        <w:t xml:space="preserve"> (from the proportion</w:t>
      </w:r>
      <w:r w:rsidRPr="003F46ED">
        <w:t xml:space="preserve"> at Years 9 and 10). Vocational Education and Training in Schools (</w:t>
      </w:r>
      <w:proofErr w:type="spellStart"/>
      <w:r w:rsidRPr="003F46ED">
        <w:t>VETiS</w:t>
      </w:r>
      <w:proofErr w:type="spellEnd"/>
      <w:r w:rsidRPr="003F46ED">
        <w:t xml:space="preserve">) pathways can enable more vocationally inclined students to study a language. </w:t>
      </w:r>
      <w:r w:rsidR="00CE7441" w:rsidRPr="003F46ED">
        <w:t xml:space="preserve">Community-based language programmes accredited for senior certification can encourage student retention in language courses through expanded pathways </w:t>
      </w:r>
      <w:r w:rsidR="0051488F" w:rsidRPr="003F46ED">
        <w:t>and</w:t>
      </w:r>
      <w:r w:rsidR="00CE7441" w:rsidRPr="003F46ED">
        <w:t xml:space="preserve"> leverage language learning already taking place</w:t>
      </w:r>
      <w:r w:rsidRPr="003F46ED">
        <w:t xml:space="preserve">. Intensive language courses </w:t>
      </w:r>
      <w:r w:rsidR="00686334" w:rsidRPr="003F46ED">
        <w:t xml:space="preserve">studied </w:t>
      </w:r>
      <w:r w:rsidRPr="003F46ED">
        <w:t xml:space="preserve">overseas could be </w:t>
      </w:r>
      <w:r w:rsidR="00B46E15" w:rsidRPr="003F46ED">
        <w:t xml:space="preserve">recognised </w:t>
      </w:r>
      <w:r w:rsidRPr="003F46ED">
        <w:t>towards senior certification</w:t>
      </w:r>
      <w:r w:rsidR="009C1DAC" w:rsidRPr="003F46ED">
        <w:t>,</w:t>
      </w:r>
      <w:r w:rsidRPr="003F46ED">
        <w:t xml:space="preserve"> provid</w:t>
      </w:r>
      <w:r w:rsidR="009C1DAC" w:rsidRPr="003F46ED">
        <w:t>ing</w:t>
      </w:r>
      <w:r w:rsidRPr="003F46ED">
        <w:t xml:space="preserve"> an incentive for students</w:t>
      </w:r>
      <w:r w:rsidR="009C1DAC" w:rsidRPr="003F46ED">
        <w:t xml:space="preserve"> to study languages</w:t>
      </w:r>
      <w:r w:rsidRPr="003F46ED">
        <w:t xml:space="preserve">. </w:t>
      </w:r>
    </w:p>
    <w:p w14:paraId="6F2F7610" w14:textId="77777777" w:rsidR="00E22FCF" w:rsidRPr="003F46ED" w:rsidRDefault="00E22FCF" w:rsidP="002F0716">
      <w:pPr>
        <w:pStyle w:val="Boxh4"/>
      </w:pPr>
      <w:r w:rsidRPr="003F46ED">
        <w:t>Recommendation 1.2: Provide multiple pathways for students to gain languages certification in senior secondary, including:</w:t>
      </w:r>
    </w:p>
    <w:p w14:paraId="0AD1242D" w14:textId="77777777" w:rsidR="00E22FCF" w:rsidRPr="003F46ED" w:rsidRDefault="00E22FCF" w:rsidP="002F0716">
      <w:pPr>
        <w:pStyle w:val="BoxBullet"/>
      </w:pPr>
      <w:r w:rsidRPr="003F46ED">
        <w:t>provide Beginners courses at senior secondary level</w:t>
      </w:r>
    </w:p>
    <w:p w14:paraId="14657617" w14:textId="77777777" w:rsidR="00E22FCF" w:rsidRPr="003F46ED" w:rsidRDefault="00E22FCF" w:rsidP="002F0716">
      <w:pPr>
        <w:pStyle w:val="BoxBullet"/>
      </w:pPr>
      <w:r w:rsidRPr="003F46ED">
        <w:t>provide a Baccalaureate (or similar) senior secondary certification option that recognises students who study a language</w:t>
      </w:r>
    </w:p>
    <w:p w14:paraId="13701C7C" w14:textId="77777777" w:rsidR="00E22FCF" w:rsidRPr="003F46ED" w:rsidRDefault="00E22FCF" w:rsidP="00E419D1">
      <w:pPr>
        <w:pStyle w:val="BoxBullet"/>
      </w:pPr>
      <w:r w:rsidRPr="003F46ED">
        <w:t>recognise intensive in-country language courses for senior secondary certification</w:t>
      </w:r>
    </w:p>
    <w:p w14:paraId="4F018980" w14:textId="77777777" w:rsidR="00E22FCF" w:rsidRPr="003F46ED" w:rsidRDefault="00E22FCF" w:rsidP="002F0716">
      <w:pPr>
        <w:pStyle w:val="BoxBullet"/>
      </w:pPr>
      <w:r w:rsidRPr="003F46ED">
        <w:t>expand accreditation of community-based language programmes to senior secondary level based on the Community Languages Australia Quality Assurance Framework</w:t>
      </w:r>
    </w:p>
    <w:p w14:paraId="0904E625" w14:textId="77777777" w:rsidR="00E22FCF" w:rsidRPr="003F46ED" w:rsidRDefault="00E22FCF" w:rsidP="002F0716">
      <w:pPr>
        <w:pStyle w:val="BoxBullet"/>
      </w:pPr>
      <w:proofErr w:type="gramStart"/>
      <w:r w:rsidRPr="003F46ED">
        <w:t>provide</w:t>
      </w:r>
      <w:proofErr w:type="gramEnd"/>
      <w:r w:rsidRPr="003F46ED">
        <w:t xml:space="preserve"> languages through the </w:t>
      </w:r>
      <w:proofErr w:type="spellStart"/>
      <w:r w:rsidRPr="003F46ED">
        <w:t>VETiS</w:t>
      </w:r>
      <w:proofErr w:type="spellEnd"/>
      <w:r w:rsidRPr="003F46ED">
        <w:t xml:space="preserve"> Framework (currently under national development).</w:t>
      </w:r>
    </w:p>
    <w:p w14:paraId="57098F12" w14:textId="1609A3B3" w:rsidR="008A50FC" w:rsidRPr="003F46ED" w:rsidRDefault="008A50FC" w:rsidP="00B30583">
      <w:r w:rsidRPr="003F46ED">
        <w:t>Consultation for this research indicated strong interest among systems and stakeholders to expand certification options to enable more students to study languages. Developing new courses and accreditation procedures will take time</w:t>
      </w:r>
      <w:r w:rsidR="006E1FB7" w:rsidRPr="003F46ED">
        <w:t xml:space="preserve"> and this is a </w:t>
      </w:r>
      <w:r w:rsidR="007E579E" w:rsidRPr="003F46ED">
        <w:t xml:space="preserve">longer </w:t>
      </w:r>
      <w:r w:rsidR="006E1FB7" w:rsidRPr="003F46ED">
        <w:t>term strategy</w:t>
      </w:r>
      <w:r w:rsidRPr="003F46ED">
        <w:t>. Work already undertaken through the Curriculum and Assessment Framework for Languages</w:t>
      </w:r>
      <w:r w:rsidR="00A10F12" w:rsidRPr="003F46ED">
        <w:t xml:space="preserve"> (</w:t>
      </w:r>
      <w:proofErr w:type="spellStart"/>
      <w:r w:rsidR="00A10F12" w:rsidRPr="003F46ED">
        <w:t>CCAFL</w:t>
      </w:r>
      <w:proofErr w:type="spellEnd"/>
      <w:r w:rsidR="00A10F12" w:rsidRPr="003F46ED">
        <w:t>)</w:t>
      </w:r>
      <w:r w:rsidRPr="003F46ED">
        <w:t xml:space="preserve">, Community Languages Australia and the </w:t>
      </w:r>
      <w:proofErr w:type="spellStart"/>
      <w:r w:rsidRPr="003F46ED">
        <w:t>VETiS</w:t>
      </w:r>
      <w:proofErr w:type="spellEnd"/>
      <w:r w:rsidRPr="003F46ED">
        <w:t xml:space="preserve"> Framework </w:t>
      </w:r>
      <w:r w:rsidR="00EC7D1E" w:rsidRPr="003F46ED">
        <w:t>can</w:t>
      </w:r>
      <w:r w:rsidR="005F0317">
        <w:t xml:space="preserve"> support this.</w:t>
      </w:r>
    </w:p>
    <w:p w14:paraId="398EA2BD" w14:textId="77777777" w:rsidR="007B1D45" w:rsidRPr="003F46ED" w:rsidRDefault="002B7F8A" w:rsidP="00D0212E">
      <w:pPr>
        <w:pStyle w:val="Heading3"/>
      </w:pPr>
      <w:r w:rsidRPr="003F46ED">
        <w:t>2</w:t>
      </w:r>
      <w:r w:rsidRPr="003F46ED">
        <w:tab/>
      </w:r>
      <w:r w:rsidR="008A50FC" w:rsidRPr="003F46ED">
        <w:t>Provide access to high quality languages programmes</w:t>
      </w:r>
    </w:p>
    <w:p w14:paraId="708AC14F" w14:textId="77777777" w:rsidR="007B1D45" w:rsidRPr="003F46ED" w:rsidRDefault="008A50FC" w:rsidP="00B30583">
      <w:bookmarkStart w:id="39" w:name="_Toc402180258"/>
      <w:r w:rsidRPr="003F46ED">
        <w:t xml:space="preserve">Lack of access to high quality programmes is a major </w:t>
      </w:r>
      <w:r w:rsidR="006E1FB7" w:rsidRPr="003F46ED">
        <w:t>barrier</w:t>
      </w:r>
      <w:r w:rsidRPr="003F46ED">
        <w:t xml:space="preserve"> to languages enrolment in the senior secondary years. Students in capital cities have greater access to languages</w:t>
      </w:r>
      <w:r w:rsidR="00B24A5F" w:rsidRPr="003F46ED">
        <w:t xml:space="preserve"> study</w:t>
      </w:r>
      <w:r w:rsidRPr="003F46ED">
        <w:t xml:space="preserve"> at Years 11 and 12 than students in regional and rural/remote areas. Access to primary-secondary continui</w:t>
      </w:r>
      <w:r w:rsidR="009B4692" w:rsidRPr="003F46ED">
        <w:t>ty of language learning</w:t>
      </w:r>
      <w:r w:rsidRPr="003F46ED">
        <w:t xml:space="preserve"> is </w:t>
      </w:r>
      <w:r w:rsidRPr="003F46ED">
        <w:lastRenderedPageBreak/>
        <w:t xml:space="preserve">poor, even with Japanese – the most widely taught language in Australia. </w:t>
      </w:r>
      <w:r w:rsidR="00920150" w:rsidRPr="003F46ED">
        <w:t>This research has revealed that s</w:t>
      </w:r>
      <w:r w:rsidRPr="003F46ED">
        <w:t>tudents want direct access to their preferred language at school</w:t>
      </w:r>
      <w:r w:rsidR="00AA24AE" w:rsidRPr="003F46ED">
        <w:t xml:space="preserve"> and do not generally </w:t>
      </w:r>
      <w:r w:rsidR="00B13E30" w:rsidRPr="003F46ED">
        <w:t xml:space="preserve">see distance learning options as </w:t>
      </w:r>
      <w:r w:rsidR="005E36FB" w:rsidRPr="003F46ED">
        <w:t xml:space="preserve">adequate or </w:t>
      </w:r>
      <w:r w:rsidR="00B13E30" w:rsidRPr="003F46ED">
        <w:t>desirable</w:t>
      </w:r>
      <w:r w:rsidRPr="003F46ED">
        <w:t>.</w:t>
      </w:r>
      <w:bookmarkEnd w:id="39"/>
      <w:r w:rsidRPr="003F46ED">
        <w:t xml:space="preserve"> </w:t>
      </w:r>
    </w:p>
    <w:p w14:paraId="6EC0FE2A" w14:textId="77777777" w:rsidR="007B1D45" w:rsidRPr="003F46ED" w:rsidRDefault="00870014" w:rsidP="00B30583">
      <w:pPr>
        <w:rPr>
          <w:bCs/>
        </w:rPr>
      </w:pPr>
      <w:bookmarkStart w:id="40" w:name="_Toc402180259"/>
      <w:r w:rsidRPr="003F46ED">
        <w:t>Technology enabled language</w:t>
      </w:r>
      <w:r w:rsidR="00506799" w:rsidRPr="003F46ED">
        <w:t xml:space="preserve"> </w:t>
      </w:r>
      <w:r w:rsidRPr="003F46ED">
        <w:t xml:space="preserve">learning solutions can </w:t>
      </w:r>
      <w:r w:rsidR="00B13E30" w:rsidRPr="003F46ED">
        <w:t>support</w:t>
      </w:r>
      <w:r w:rsidRPr="003F46ED">
        <w:t xml:space="preserve"> </w:t>
      </w:r>
      <w:r w:rsidR="00776BDA" w:rsidRPr="003F46ED">
        <w:t xml:space="preserve">student </w:t>
      </w:r>
      <w:r w:rsidR="00760A5F" w:rsidRPr="003F46ED">
        <w:t xml:space="preserve">engagement </w:t>
      </w:r>
      <w:r w:rsidR="00127E4D" w:rsidRPr="003F46ED">
        <w:t xml:space="preserve">in learning </w:t>
      </w:r>
      <w:r w:rsidR="00760A5F" w:rsidRPr="003F46ED">
        <w:t xml:space="preserve">languages. However, </w:t>
      </w:r>
      <w:r w:rsidR="00B13E30" w:rsidRPr="003F46ED">
        <w:t>such solutions require</w:t>
      </w:r>
      <w:r w:rsidR="008A50FC" w:rsidRPr="003F46ED">
        <w:t xml:space="preserve"> better alignment</w:t>
      </w:r>
      <w:r w:rsidR="00B13E30" w:rsidRPr="003F46ED">
        <w:t xml:space="preserve"> to the learner experience if they are</w:t>
      </w:r>
      <w:r w:rsidR="008A50FC" w:rsidRPr="003F46ED">
        <w:t xml:space="preserve"> to be used </w:t>
      </w:r>
      <w:r w:rsidR="00B13E30" w:rsidRPr="003F46ED">
        <w:t>to resolve</w:t>
      </w:r>
      <w:r w:rsidR="008A50FC" w:rsidRPr="003F46ED">
        <w:t xml:space="preserve"> the problem of </w:t>
      </w:r>
      <w:r w:rsidR="008A50FC" w:rsidRPr="003F46ED">
        <w:rPr>
          <w:i/>
        </w:rPr>
        <w:t>access</w:t>
      </w:r>
      <w:r w:rsidR="008A50FC" w:rsidRPr="003F46ED">
        <w:t xml:space="preserve"> to languages across Australia. Technology companies could play a role in further developing complementary, technology-based language provision. </w:t>
      </w:r>
      <w:r w:rsidR="00A908A1" w:rsidRPr="003F46ED">
        <w:t xml:space="preserve">For example, </w:t>
      </w:r>
      <w:r w:rsidR="008A50FC" w:rsidRPr="003F46ED">
        <w:t>Education Services Australia</w:t>
      </w:r>
      <w:r w:rsidR="00111872" w:rsidRPr="003F46ED">
        <w:t xml:space="preserve"> (ESA)</w:t>
      </w:r>
      <w:r w:rsidR="008A50FC" w:rsidRPr="003F46ED">
        <w:t xml:space="preserve"> has collaborated with </w:t>
      </w:r>
      <w:r w:rsidR="008A50FC" w:rsidRPr="003F46ED">
        <w:rPr>
          <w:i/>
        </w:rPr>
        <w:t>My Chinese Tutor</w:t>
      </w:r>
      <w:r w:rsidR="008A50FC" w:rsidRPr="003F46ED">
        <w:t xml:space="preserve"> on the Language Learning Space for Chinese so that students are able to synchronously access qualified tutors based in China</w:t>
      </w:r>
      <w:r w:rsidR="00734107" w:rsidRPr="003F46ED">
        <w:t xml:space="preserve"> provided by the company</w:t>
      </w:r>
      <w:r w:rsidR="008A50FC" w:rsidRPr="003F46ED">
        <w:t>.</w:t>
      </w:r>
      <w:r w:rsidR="00A908A1" w:rsidRPr="003F46ED">
        <w:t xml:space="preserve"> The Indonesian and Japanese Language Learning Spaces also </w:t>
      </w:r>
      <w:r w:rsidR="00BC2545" w:rsidRPr="003F46ED">
        <w:t xml:space="preserve">enable </w:t>
      </w:r>
      <w:r w:rsidR="00A908A1" w:rsidRPr="003F46ED">
        <w:t>students to interact with tutors based in Indonesia and Japan.</w:t>
      </w:r>
      <w:r w:rsidR="008A50FC" w:rsidRPr="003F46ED">
        <w:t xml:space="preserve"> This provides the opportunity for education-business p</w:t>
      </w:r>
      <w:r w:rsidR="00EB59A5" w:rsidRPr="003F46ED">
        <w:t>artnerships to support language</w:t>
      </w:r>
      <w:r w:rsidR="008A50FC" w:rsidRPr="003F46ED">
        <w:t xml:space="preserve"> learning in schools.</w:t>
      </w:r>
      <w:bookmarkEnd w:id="40"/>
    </w:p>
    <w:p w14:paraId="3DDDB53E" w14:textId="77777777" w:rsidR="007B1D45" w:rsidRPr="003F46ED" w:rsidRDefault="008A50FC" w:rsidP="00B30583">
      <w:pPr>
        <w:rPr>
          <w:bCs/>
        </w:rPr>
      </w:pPr>
      <w:bookmarkStart w:id="41" w:name="_Toc402180260"/>
      <w:r w:rsidRPr="003F46ED">
        <w:t xml:space="preserve">Principals </w:t>
      </w:r>
      <w:r w:rsidR="004942B1" w:rsidRPr="003F46ED">
        <w:t>surveyed</w:t>
      </w:r>
      <w:r w:rsidR="0081212D" w:rsidRPr="003F46ED">
        <w:t xml:space="preserve"> in this</w:t>
      </w:r>
      <w:r w:rsidR="00E07448" w:rsidRPr="003F46ED">
        <w:t xml:space="preserve"> research consider</w:t>
      </w:r>
      <w:r w:rsidRPr="003F46ED">
        <w:t xml:space="preserve"> that languages enrolments are enhanced when the language teacher is enthusiastic and knowledgeable about the language. </w:t>
      </w:r>
      <w:r w:rsidR="00CD4F37" w:rsidRPr="003F46ED">
        <w:rPr>
          <w:bCs/>
        </w:rPr>
        <w:t>One</w:t>
      </w:r>
      <w:r w:rsidRPr="003F46ED">
        <w:rPr>
          <w:bCs/>
        </w:rPr>
        <w:t xml:space="preserve"> third of students surveyed cite a l</w:t>
      </w:r>
      <w:r w:rsidRPr="003F46ED">
        <w:t>ack of int</w:t>
      </w:r>
      <w:r w:rsidR="00FF12F1" w:rsidRPr="003F46ED">
        <w:t>erest and enjoyment in language learning</w:t>
      </w:r>
      <w:r w:rsidRPr="003F46ED">
        <w:t xml:space="preserve"> that is related to non-engaging teaching and materials. Rote learning and excessive workload are disincentives </w:t>
      </w:r>
      <w:r w:rsidR="00E518C6" w:rsidRPr="003F46ED">
        <w:t>for</w:t>
      </w:r>
      <w:r w:rsidRPr="003F46ED">
        <w:t xml:space="preserve"> </w:t>
      </w:r>
      <w:r w:rsidR="00FF12F1" w:rsidRPr="003F46ED">
        <w:t>language</w:t>
      </w:r>
      <w:r w:rsidRPr="003F46ED">
        <w:t xml:space="preserve"> study.</w:t>
      </w:r>
      <w:r w:rsidRPr="003F46ED">
        <w:rPr>
          <w:bCs/>
        </w:rPr>
        <w:t xml:space="preserve"> Students want a high level of </w:t>
      </w:r>
      <w:r w:rsidRPr="003F46ED">
        <w:t xml:space="preserve">learner autonomy, materials relevant to their interests and short and long-term goals to track </w:t>
      </w:r>
      <w:r w:rsidR="009B0FF9" w:rsidRPr="003F46ED">
        <w:t xml:space="preserve">their </w:t>
      </w:r>
      <w:r w:rsidRPr="003F46ED">
        <w:t xml:space="preserve">progress. </w:t>
      </w:r>
      <w:r w:rsidRPr="003F46ED">
        <w:rPr>
          <w:bCs/>
        </w:rPr>
        <w:t xml:space="preserve">Time allocations for languages in Australian schools are minimal compared to other countries and this can inhibit students’ sense of achievement. </w:t>
      </w:r>
      <w:r w:rsidRPr="003F46ED">
        <w:t xml:space="preserve">Small enrolment numbers in the senior years can mean that all students, regardless of their language level, are grouped together in one class. Less advanced students do not think their needs will be catered for and this acts as a disincentive to continue. </w:t>
      </w:r>
      <w:r w:rsidR="00734107" w:rsidRPr="003F46ED">
        <w:rPr>
          <w:bCs/>
        </w:rPr>
        <w:t>The use of new technologies to enhance student learning and language immersion approaches like Content and Lang</w:t>
      </w:r>
      <w:r w:rsidR="00CE6144" w:rsidRPr="003F46ED">
        <w:rPr>
          <w:bCs/>
        </w:rPr>
        <w:t>uage Integrated Learning (</w:t>
      </w:r>
      <w:proofErr w:type="spellStart"/>
      <w:r w:rsidR="00CE6144" w:rsidRPr="003F46ED">
        <w:rPr>
          <w:bCs/>
        </w:rPr>
        <w:t>CLIL</w:t>
      </w:r>
      <w:proofErr w:type="spellEnd"/>
      <w:r w:rsidR="00CE6144" w:rsidRPr="003F46ED">
        <w:rPr>
          <w:bCs/>
        </w:rPr>
        <w:t>)</w:t>
      </w:r>
      <w:r w:rsidR="004942B1" w:rsidRPr="003F46ED">
        <w:rPr>
          <w:bCs/>
        </w:rPr>
        <w:t xml:space="preserve">, where students learn subject content through an additional language, </w:t>
      </w:r>
      <w:r w:rsidR="00734107" w:rsidRPr="003F46ED">
        <w:rPr>
          <w:bCs/>
        </w:rPr>
        <w:t>are improving student engagement</w:t>
      </w:r>
      <w:r w:rsidR="00974181" w:rsidRPr="003F46ED">
        <w:rPr>
          <w:bCs/>
        </w:rPr>
        <w:t>. However,</w:t>
      </w:r>
      <w:r w:rsidR="00734107" w:rsidRPr="003F46ED">
        <w:rPr>
          <w:bCs/>
        </w:rPr>
        <w:t xml:space="preserve"> little is known of their impact on retention </w:t>
      </w:r>
      <w:r w:rsidR="00A077B7" w:rsidRPr="003F46ED">
        <w:rPr>
          <w:bCs/>
        </w:rPr>
        <w:t>in</w:t>
      </w:r>
      <w:r w:rsidR="00734107" w:rsidRPr="003F46ED">
        <w:rPr>
          <w:bCs/>
        </w:rPr>
        <w:t>to the senior secondary years.</w:t>
      </w:r>
      <w:bookmarkEnd w:id="41"/>
    </w:p>
    <w:p w14:paraId="609E858C" w14:textId="77777777" w:rsidR="007B1D45" w:rsidRPr="003F46ED" w:rsidRDefault="008A50FC" w:rsidP="00B30583">
      <w:r w:rsidRPr="003F46ED">
        <w:t>Teachers are not as well prepared in initial teacher education to teach languages effectively. In primary teacher education courses</w:t>
      </w:r>
      <w:r w:rsidR="002041E5" w:rsidRPr="003F46ED">
        <w:t xml:space="preserve">, </w:t>
      </w:r>
      <w:proofErr w:type="gramStart"/>
      <w:r w:rsidR="002041E5" w:rsidRPr="003F46ED">
        <w:t>l</w:t>
      </w:r>
      <w:r w:rsidRPr="003F46ED">
        <w:t>anguages is</w:t>
      </w:r>
      <w:proofErr w:type="gramEnd"/>
      <w:r w:rsidRPr="003F46ED">
        <w:t xml:space="preserve"> </w:t>
      </w:r>
      <w:r w:rsidR="00395DAC" w:rsidRPr="003F46ED">
        <w:t xml:space="preserve">typically </w:t>
      </w:r>
      <w:r w:rsidRPr="003F46ED">
        <w:t xml:space="preserve">the only </w:t>
      </w:r>
      <w:r w:rsidR="00732F5A" w:rsidRPr="003F46ED">
        <w:t xml:space="preserve">core </w:t>
      </w:r>
      <w:r w:rsidRPr="003F46ED">
        <w:t xml:space="preserve">learning area that is elective or not taught. Languages methodology subjects are usually not differentiated </w:t>
      </w:r>
      <w:r w:rsidR="00D64CD3" w:rsidRPr="003F46ED">
        <w:t>(</w:t>
      </w:r>
      <w:r w:rsidRPr="003F46ED">
        <w:t>according to language</w:t>
      </w:r>
      <w:r w:rsidR="00D64CD3" w:rsidRPr="003F46ED">
        <w:t>)</w:t>
      </w:r>
      <w:r w:rsidRPr="003F46ED">
        <w:t xml:space="preserve"> in secondary teacher education courses, with all</w:t>
      </w:r>
      <w:r w:rsidR="008270F4" w:rsidRPr="003F46ED">
        <w:t xml:space="preserve"> prospective</w:t>
      </w:r>
      <w:r w:rsidRPr="003F46ED">
        <w:t xml:space="preserve"> languages teachers undertaking the same methodology class irrespective of the needs of different languages.</w:t>
      </w:r>
    </w:p>
    <w:p w14:paraId="3818699A" w14:textId="548DD7D9" w:rsidR="007B1D45" w:rsidRPr="003F46ED" w:rsidRDefault="00732F5A" w:rsidP="00B30583">
      <w:r w:rsidRPr="003F46ED">
        <w:br w:type="page"/>
      </w:r>
    </w:p>
    <w:p w14:paraId="18A50C5D" w14:textId="77777777" w:rsidR="00E22FCF" w:rsidRPr="003F46ED" w:rsidRDefault="00E22FCF" w:rsidP="002F0716">
      <w:pPr>
        <w:pStyle w:val="Boxh4"/>
      </w:pPr>
      <w:r w:rsidRPr="003F46ED">
        <w:lastRenderedPageBreak/>
        <w:t>Recommendation 2</w:t>
      </w:r>
    </w:p>
    <w:p w14:paraId="0ED7FFF0" w14:textId="77777777" w:rsidR="00E22FCF" w:rsidRPr="002F0716" w:rsidRDefault="00E22FCF" w:rsidP="002F0716">
      <w:pPr>
        <w:pStyle w:val="Box"/>
      </w:pPr>
      <w:r w:rsidRPr="003F46ED">
        <w:t>2.1 Explore if, and how, each of the following impacts on retention of students in language learning programmes:</w:t>
      </w:r>
    </w:p>
    <w:p w14:paraId="0F825DDA" w14:textId="77777777" w:rsidR="00E22FCF" w:rsidRPr="003F46ED" w:rsidRDefault="00E22FCF" w:rsidP="002F0716">
      <w:pPr>
        <w:pStyle w:val="BoxBullet"/>
        <w:rPr>
          <w:rFonts w:eastAsiaTheme="minorEastAsia" w:cs="Calibri"/>
          <w:bCs/>
        </w:rPr>
      </w:pPr>
      <w:r w:rsidRPr="003F46ED">
        <w:t>blended (technology-based) models of language learning</w:t>
      </w:r>
    </w:p>
    <w:p w14:paraId="17572880" w14:textId="77777777" w:rsidR="00E22FCF" w:rsidRPr="003F46ED" w:rsidRDefault="00E22FCF" w:rsidP="002F0716">
      <w:pPr>
        <w:pStyle w:val="BoxBullet"/>
        <w:rPr>
          <w:rFonts w:eastAsiaTheme="minorEastAsia" w:cs="Calibri"/>
          <w:bCs/>
        </w:rPr>
      </w:pPr>
      <w:proofErr w:type="gramStart"/>
      <w:r w:rsidRPr="003F46ED">
        <w:t>immersion</w:t>
      </w:r>
      <w:proofErr w:type="gramEnd"/>
      <w:r w:rsidRPr="003F46ED">
        <w:t xml:space="preserve"> programmes like Content and Language Integrated Learning (</w:t>
      </w:r>
      <w:proofErr w:type="spellStart"/>
      <w:r w:rsidRPr="003F46ED">
        <w:t>CLIL</w:t>
      </w:r>
      <w:proofErr w:type="spellEnd"/>
      <w:r w:rsidRPr="003F46ED">
        <w:t>).</w:t>
      </w:r>
    </w:p>
    <w:p w14:paraId="05B961BD" w14:textId="77777777" w:rsidR="00E22FCF" w:rsidRPr="003F46ED" w:rsidRDefault="00E22FCF" w:rsidP="002F0716">
      <w:pPr>
        <w:pStyle w:val="Box"/>
      </w:pPr>
      <w:r w:rsidRPr="003F46ED">
        <w:rPr>
          <w:rFonts w:cs="Calibri"/>
        </w:rPr>
        <w:t xml:space="preserve">2.2 </w:t>
      </w:r>
      <w:r w:rsidRPr="003F46ED">
        <w:t>Evaluate, with a view to expand, the Language Learning Space (Education Services Australia) to include support for all Australian Curriculum languages.</w:t>
      </w:r>
    </w:p>
    <w:p w14:paraId="33E73BB8" w14:textId="77777777" w:rsidR="00E22FCF" w:rsidRPr="003F46ED" w:rsidRDefault="00E22FCF" w:rsidP="002F0716">
      <w:pPr>
        <w:pStyle w:val="Box"/>
      </w:pPr>
      <w:r w:rsidRPr="003F46ED">
        <w:t>2.3 Explore partnerships with business to co-invest in technology-enabled languages learning.</w:t>
      </w:r>
    </w:p>
    <w:p w14:paraId="48EAD431" w14:textId="77777777" w:rsidR="00E22FCF" w:rsidRPr="003F46ED" w:rsidRDefault="00E22FCF" w:rsidP="002F0716">
      <w:pPr>
        <w:pStyle w:val="Box"/>
      </w:pPr>
      <w:r w:rsidRPr="003F46ED">
        <w:t>2.4 Expand expert language hubs in metropolitan, regional and rural/remote areas to share languages teaching expertise and quality teaching and learning resources.</w:t>
      </w:r>
    </w:p>
    <w:p w14:paraId="73DB272D" w14:textId="77777777" w:rsidR="00E22FCF" w:rsidRPr="003F46ED" w:rsidRDefault="00E22FCF" w:rsidP="002F0716">
      <w:pPr>
        <w:pStyle w:val="Box"/>
        <w:rPr>
          <w:rFonts w:cs="Calibri"/>
        </w:rPr>
      </w:pPr>
      <w:r w:rsidRPr="003F46ED">
        <w:t>2.5 Improve access in initial teacher education and professional learning to language specific pedagogies, including utilising new technologies and increasing opportunities for immersion in the target language.</w:t>
      </w:r>
    </w:p>
    <w:p w14:paraId="2545C37B" w14:textId="77777777" w:rsidR="007B1D45" w:rsidRPr="003F46ED" w:rsidRDefault="008A50FC" w:rsidP="00B30583">
      <w:pPr>
        <w:rPr>
          <w:i/>
        </w:rPr>
      </w:pPr>
      <w:r w:rsidRPr="003F46ED">
        <w:t xml:space="preserve">There is </w:t>
      </w:r>
      <w:r w:rsidR="004C4537" w:rsidRPr="003F46ED">
        <w:t xml:space="preserve">strong </w:t>
      </w:r>
      <w:r w:rsidRPr="003F46ED">
        <w:t>national interest in collaborating on technology-based and immersion approaches to languages learning</w:t>
      </w:r>
      <w:r w:rsidR="004C4537" w:rsidRPr="003F46ED">
        <w:t xml:space="preserve"> to improve access and quality</w:t>
      </w:r>
      <w:r w:rsidRPr="003F46ED">
        <w:t xml:space="preserve">. Language hubs already established in some jurisdictions can inform implementation in others. Initial teacher </w:t>
      </w:r>
      <w:r w:rsidR="00F8216B" w:rsidRPr="003F46ED">
        <w:t>education</w:t>
      </w:r>
      <w:r w:rsidRPr="003F46ED">
        <w:t xml:space="preserve"> for languages </w:t>
      </w:r>
      <w:r w:rsidR="00732F5A" w:rsidRPr="003F46ED">
        <w:t>was</w:t>
      </w:r>
      <w:r w:rsidRPr="003F46ED">
        <w:t xml:space="preserve"> in the scope of the Teacher Education Ministerial Advisory Group. National professional standards for languages teachers</w:t>
      </w:r>
      <w:r w:rsidR="00732F5A" w:rsidRPr="003F46ED">
        <w:t>,</w:t>
      </w:r>
      <w:r w:rsidRPr="003F46ED">
        <w:t xml:space="preserve"> </w:t>
      </w:r>
      <w:r w:rsidR="00732F5A" w:rsidRPr="003F46ED">
        <w:t>developed by the peak professional body for languages teachers, have the capacity to</w:t>
      </w:r>
      <w:r w:rsidRPr="003F46ED">
        <w:t xml:space="preserve"> guide </w:t>
      </w:r>
      <w:r w:rsidR="00ED6C24" w:rsidRPr="003F46ED">
        <w:t xml:space="preserve">initial </w:t>
      </w:r>
      <w:r w:rsidRPr="003F46ED">
        <w:t xml:space="preserve">teacher </w:t>
      </w:r>
      <w:r w:rsidR="00ED6C24" w:rsidRPr="003F46ED">
        <w:t>education</w:t>
      </w:r>
      <w:r w:rsidRPr="003F46ED">
        <w:t xml:space="preserve"> and professional learning.</w:t>
      </w:r>
    </w:p>
    <w:p w14:paraId="5A52FBB7" w14:textId="77777777" w:rsidR="007B1D45" w:rsidRPr="003F46ED" w:rsidRDefault="002B7F8A" w:rsidP="00D0212E">
      <w:pPr>
        <w:pStyle w:val="Heading3"/>
      </w:pPr>
      <w:r w:rsidRPr="003F46ED">
        <w:t>3</w:t>
      </w:r>
      <w:r w:rsidRPr="003F46ED">
        <w:tab/>
      </w:r>
      <w:r w:rsidR="005575BA" w:rsidRPr="003F46ED">
        <w:t xml:space="preserve">Engage all stakeholders in </w:t>
      </w:r>
      <w:r w:rsidR="00293BB3" w:rsidRPr="003F46ED">
        <w:t>recognising and promoting</w:t>
      </w:r>
      <w:r w:rsidR="005575BA" w:rsidRPr="003F46ED">
        <w:t xml:space="preserve"> the value and utility of languages</w:t>
      </w:r>
    </w:p>
    <w:p w14:paraId="67F91ACF" w14:textId="77777777" w:rsidR="007B1D45" w:rsidRPr="003F46ED" w:rsidRDefault="008A50FC" w:rsidP="00B30583">
      <w:bookmarkStart w:id="42" w:name="_Toc402180261"/>
      <w:r w:rsidRPr="003F46ED">
        <w:t>Building student demand for languages requires a multi-dimensional strategy. This includes promotion of a co</w:t>
      </w:r>
      <w:r w:rsidR="001738B6" w:rsidRPr="003F46ED">
        <w:t>nvincing rationale for language</w:t>
      </w:r>
      <w:r w:rsidRPr="003F46ED">
        <w:t xml:space="preserve"> learning combined with access to high quality languages programmes and senior secondary certificat</w:t>
      </w:r>
      <w:r w:rsidR="007C3B53" w:rsidRPr="003F46ED">
        <w:t>ion structures that optimise students’ capacity to</w:t>
      </w:r>
      <w:r w:rsidRPr="003F46ED">
        <w:t xml:space="preserve"> cho</w:t>
      </w:r>
      <w:r w:rsidR="007C3B53" w:rsidRPr="003F46ED">
        <w:t>ose</w:t>
      </w:r>
      <w:r w:rsidRPr="003F46ED">
        <w:t xml:space="preserve"> languages.</w:t>
      </w:r>
      <w:r w:rsidR="00E86F18" w:rsidRPr="003F46ED">
        <w:t xml:space="preserve"> The rationale needs to be customised and widely promoted to</w:t>
      </w:r>
      <w:r w:rsidRPr="003F46ED">
        <w:t xml:space="preserve"> students</w:t>
      </w:r>
      <w:r w:rsidR="00870014" w:rsidRPr="003F46ED">
        <w:t>, parents</w:t>
      </w:r>
      <w:r w:rsidR="002C2389" w:rsidRPr="003F46ED">
        <w:t xml:space="preserve"> and</w:t>
      </w:r>
      <w:r w:rsidR="00870014" w:rsidRPr="003F46ED">
        <w:t xml:space="preserve"> </w:t>
      </w:r>
      <w:r w:rsidR="00760A5F" w:rsidRPr="003F46ED">
        <w:t xml:space="preserve">school and </w:t>
      </w:r>
      <w:r w:rsidR="00870014" w:rsidRPr="003F46ED">
        <w:t>community leaders</w:t>
      </w:r>
      <w:r w:rsidR="00E86F18" w:rsidRPr="003F46ED">
        <w:t>, focusing on</w:t>
      </w:r>
      <w:r w:rsidRPr="003F46ED">
        <w:t xml:space="preserve"> the utility and value of </w:t>
      </w:r>
      <w:r w:rsidR="003620C9" w:rsidRPr="003F46ED">
        <w:t>language</w:t>
      </w:r>
      <w:r w:rsidRPr="003F46ED">
        <w:t xml:space="preserve"> learning in the senior secondary years</w:t>
      </w:r>
      <w:r w:rsidR="00795AD6" w:rsidRPr="003F46ED">
        <w:t>.</w:t>
      </w:r>
      <w:bookmarkEnd w:id="42"/>
    </w:p>
    <w:p w14:paraId="70FEDA59" w14:textId="77777777" w:rsidR="007B1D45" w:rsidRPr="003F46ED" w:rsidRDefault="008A50FC" w:rsidP="00B30583">
      <w:pPr>
        <w:rPr>
          <w:rFonts w:cs="Calibri"/>
        </w:rPr>
      </w:pPr>
      <w:bookmarkStart w:id="43" w:name="_Toc402180262"/>
      <w:r w:rsidRPr="003F46ED">
        <w:t>The most likely profile of a language learner in Australia is female</w:t>
      </w:r>
      <w:r w:rsidR="00FA202D" w:rsidRPr="003F46ED">
        <w:t>,</w:t>
      </w:r>
      <w:r w:rsidRPr="003F46ED">
        <w:t xml:space="preserve"> with a parent born overseas in a non-English speaking country, </w:t>
      </w:r>
      <w:r w:rsidR="00FA202D" w:rsidRPr="003F46ED">
        <w:t xml:space="preserve">of </w:t>
      </w:r>
      <w:r w:rsidRPr="003F46ED">
        <w:t xml:space="preserve">high socio-economic status, </w:t>
      </w:r>
      <w:r w:rsidR="00FA202D" w:rsidRPr="003F46ED">
        <w:t xml:space="preserve">with </w:t>
      </w:r>
      <w:r w:rsidRPr="003F46ED">
        <w:t>high achievement in literacy and numeracy and attending an Independent school in a capital city. Gender is a known factor in subject choice</w:t>
      </w:r>
      <w:r w:rsidR="006C40D5" w:rsidRPr="003F46ED">
        <w:t>,</w:t>
      </w:r>
      <w:r w:rsidRPr="003F46ED">
        <w:t xml:space="preserve"> and studies show that boys in Australia perceive languages as a feminine subject.</w:t>
      </w:r>
      <w:bookmarkEnd w:id="43"/>
      <w:r w:rsidRPr="003F46ED">
        <w:rPr>
          <w:rFonts w:cs="Calibri"/>
        </w:rPr>
        <w:t xml:space="preserve"> </w:t>
      </w:r>
    </w:p>
    <w:p w14:paraId="6239B93D" w14:textId="77777777" w:rsidR="007B1D45" w:rsidRPr="003F46ED" w:rsidRDefault="008A50FC" w:rsidP="00B30583">
      <w:r w:rsidRPr="003F46ED">
        <w:t xml:space="preserve">Student choice around languages can reflect the attitudes of parents and the broader community. Parents who speak an additional language are much more emphatic about the importance of languages than those that do not. </w:t>
      </w:r>
      <w:r w:rsidRPr="003F46ED">
        <w:rPr>
          <w:rFonts w:cs="Calibri"/>
        </w:rPr>
        <w:t xml:space="preserve">Students are drawn to the utility of a subject and can be influenced by a national narrative on languages. Promotion of Asian languages as having economic and vocational value in the </w:t>
      </w:r>
      <w:proofErr w:type="spellStart"/>
      <w:r w:rsidRPr="003F46ED">
        <w:rPr>
          <w:rFonts w:cs="Calibri"/>
        </w:rPr>
        <w:t>1990s</w:t>
      </w:r>
      <w:proofErr w:type="spellEnd"/>
      <w:r w:rsidRPr="003F46ED">
        <w:rPr>
          <w:rFonts w:cs="Calibri"/>
        </w:rPr>
        <w:t xml:space="preserve"> resulted in a growth in enrolments in those languages. </w:t>
      </w:r>
      <w:r w:rsidRPr="003F46ED">
        <w:t xml:space="preserve">The business sector </w:t>
      </w:r>
      <w:r w:rsidR="00760A5F" w:rsidRPr="003F46ED">
        <w:t>require</w:t>
      </w:r>
      <w:r w:rsidR="00C24A30" w:rsidRPr="003F46ED">
        <w:t>s</w:t>
      </w:r>
      <w:r w:rsidR="00760A5F" w:rsidRPr="003F46ED">
        <w:t xml:space="preserve"> languages to service </w:t>
      </w:r>
      <w:r w:rsidR="00475D87" w:rsidRPr="003F46ED">
        <w:t xml:space="preserve">a </w:t>
      </w:r>
      <w:r w:rsidR="00760A5F" w:rsidRPr="003F46ED">
        <w:t>global market and workforce</w:t>
      </w:r>
      <w:r w:rsidR="00475D87" w:rsidRPr="003F46ED">
        <w:t xml:space="preserve"> that is increasingly mobile</w:t>
      </w:r>
      <w:r w:rsidR="00210AD6" w:rsidRPr="003F46ED">
        <w:t xml:space="preserve">. </w:t>
      </w:r>
      <w:r w:rsidR="00734107" w:rsidRPr="003F46ED">
        <w:t>Business</w:t>
      </w:r>
      <w:r w:rsidR="00760A5F" w:rsidRPr="003F46ED">
        <w:t xml:space="preserve"> </w:t>
      </w:r>
      <w:r w:rsidRPr="003F46ED">
        <w:t xml:space="preserve">has a key role to play in sending effective messages to students and their families about the value and utility of languages. </w:t>
      </w:r>
    </w:p>
    <w:p w14:paraId="7B5A4503" w14:textId="77777777" w:rsidR="007B1D45" w:rsidRPr="003F46ED" w:rsidRDefault="008A50FC" w:rsidP="00B30583">
      <w:r w:rsidRPr="003F46ED">
        <w:t>The educational benefits of studying languages need to be reinforced among school leaders and the community</w:t>
      </w:r>
      <w:r w:rsidR="00094FFE" w:rsidRPr="003F46ED">
        <w:t>,</w:t>
      </w:r>
      <w:r w:rsidRPr="003F46ED">
        <w:t xml:space="preserve"> including the cognitive benefits of lang</w:t>
      </w:r>
      <w:r w:rsidR="00094FFE" w:rsidRPr="003F46ED">
        <w:t>uage study for learning English</w:t>
      </w:r>
      <w:r w:rsidRPr="003F46ED">
        <w:t xml:space="preserve"> and gains for intercultural understanding arising from study of another language. Supportive school leadership and </w:t>
      </w:r>
      <w:r w:rsidRPr="003F46ED">
        <w:lastRenderedPageBreak/>
        <w:t xml:space="preserve">positive school culture are essential to build and sustain student demand for languages. When languages are portrayed in schools as a non-essential subject with poor time allocations and timetabling, students also see them as relatively unimportant. </w:t>
      </w:r>
    </w:p>
    <w:p w14:paraId="65E9D97E" w14:textId="77777777" w:rsidR="007B1D45" w:rsidRPr="003F46ED" w:rsidRDefault="008A50FC" w:rsidP="00B30583">
      <w:pPr>
        <w:rPr>
          <w:rFonts w:cs="Calibri"/>
        </w:rPr>
      </w:pPr>
      <w:r w:rsidRPr="003F46ED">
        <w:t>Language learners need recognition of progress and achievement to sustain their interest in</w:t>
      </w:r>
      <w:r w:rsidR="000D2310" w:rsidRPr="003F46ED">
        <w:t>,</w:t>
      </w:r>
      <w:r w:rsidRPr="003F46ED">
        <w:t xml:space="preserve"> </w:t>
      </w:r>
      <w:r w:rsidR="001C27B8" w:rsidRPr="003F46ED">
        <w:t xml:space="preserve">and persist </w:t>
      </w:r>
      <w:r w:rsidR="008D5D66" w:rsidRPr="003F46ED">
        <w:t>with</w:t>
      </w:r>
      <w:r w:rsidR="000D2310" w:rsidRPr="003F46ED">
        <w:t>,</w:t>
      </w:r>
      <w:r w:rsidRPr="003F46ED">
        <w:t xml:space="preserve"> languages. The European Union’s ‘Language Passport’ provides reco</w:t>
      </w:r>
      <w:r w:rsidR="009C7AEC" w:rsidRPr="003F46ED">
        <w:t>gnition of student achievement.</w:t>
      </w:r>
      <w:r w:rsidR="00732F5A" w:rsidRPr="003F46ED">
        <w:t xml:space="preserve"> Victoria has introduced a Language passport in eight languages provided to all Foundation to Year 4 students in the expectation that all young learners will be learning a language from their first year of schooling.</w:t>
      </w:r>
    </w:p>
    <w:p w14:paraId="347339A9" w14:textId="51167741" w:rsidR="008A50FC" w:rsidRPr="003F46ED" w:rsidRDefault="008A50FC" w:rsidP="00B30583">
      <w:bookmarkStart w:id="44" w:name="_Toc402180263"/>
      <w:r w:rsidRPr="003F46ED">
        <w:t>Strengthening future study pathways can support student choice of languages. Currently</w:t>
      </w:r>
      <w:r w:rsidR="00527BCB" w:rsidRPr="003F46ED">
        <w:t>,</w:t>
      </w:r>
      <w:r w:rsidRPr="003F46ED">
        <w:t xml:space="preserve"> few options fo</w:t>
      </w:r>
      <w:r w:rsidR="00930956" w:rsidRPr="003F46ED">
        <w:t>r students to continue language study</w:t>
      </w:r>
      <w:r w:rsidRPr="003F46ED">
        <w:t xml:space="preserve"> exist in most university and vocational courses. Some institutions have made impressive progress in increasing the number of students taking languages by opening up subject choices and providing options for concurrent languages study</w:t>
      </w:r>
      <w:r w:rsidR="0054600E" w:rsidRPr="003F46ED">
        <w:t xml:space="preserve"> with other subjects or courses</w:t>
      </w:r>
      <w:r w:rsidRPr="003F46ED">
        <w:t>.</w:t>
      </w:r>
      <w:bookmarkEnd w:id="44"/>
    </w:p>
    <w:p w14:paraId="037D2C16" w14:textId="77777777" w:rsidR="00E22FCF" w:rsidRPr="003F46ED" w:rsidRDefault="00E22FCF" w:rsidP="002F0716">
      <w:pPr>
        <w:pStyle w:val="Boxh4"/>
      </w:pPr>
      <w:r w:rsidRPr="003F46ED">
        <w:t>Recommendation 3</w:t>
      </w:r>
    </w:p>
    <w:p w14:paraId="74110535" w14:textId="77777777" w:rsidR="00E22FCF" w:rsidRPr="003F46ED" w:rsidRDefault="00E22FCF" w:rsidP="002F0716">
      <w:pPr>
        <w:pStyle w:val="Box"/>
      </w:pPr>
      <w:r w:rsidRPr="003F46ED">
        <w:t>3.1 Develop and promote a nationally agreed set of messages to build demand for languages that:</w:t>
      </w:r>
    </w:p>
    <w:p w14:paraId="4C01AB74" w14:textId="77777777" w:rsidR="00E22FCF" w:rsidRPr="003F46ED" w:rsidRDefault="00E22FCF" w:rsidP="002F0716">
      <w:pPr>
        <w:pStyle w:val="Box"/>
        <w:numPr>
          <w:ilvl w:val="0"/>
          <w:numId w:val="26"/>
        </w:numPr>
        <w:rPr>
          <w:bCs/>
        </w:rPr>
      </w:pPr>
      <w:r w:rsidRPr="003F46ED">
        <w:t>speak directly to the interests of senior secondary students</w:t>
      </w:r>
    </w:p>
    <w:p w14:paraId="771B5BE0" w14:textId="77777777" w:rsidR="00E22FCF" w:rsidRPr="003F46ED" w:rsidRDefault="00E22FCF" w:rsidP="002F0716">
      <w:pPr>
        <w:pStyle w:val="Box"/>
        <w:numPr>
          <w:ilvl w:val="0"/>
          <w:numId w:val="26"/>
        </w:numPr>
        <w:rPr>
          <w:bCs/>
        </w:rPr>
      </w:pPr>
      <w:r w:rsidRPr="003F46ED">
        <w:t>engage schools, business, community groups and tertiary education sector to ensure a consistent message and support</w:t>
      </w:r>
    </w:p>
    <w:p w14:paraId="6FA09F4D" w14:textId="77777777" w:rsidR="00E22FCF" w:rsidRPr="003F46ED" w:rsidRDefault="00E22FCF" w:rsidP="002F0716">
      <w:pPr>
        <w:pStyle w:val="Box"/>
        <w:numPr>
          <w:ilvl w:val="0"/>
          <w:numId w:val="26"/>
        </w:numPr>
        <w:rPr>
          <w:bCs/>
        </w:rPr>
      </w:pPr>
      <w:proofErr w:type="gramStart"/>
      <w:r w:rsidRPr="003F46ED">
        <w:t>adopt</w:t>
      </w:r>
      <w:proofErr w:type="gramEnd"/>
      <w:r w:rsidRPr="003F46ED">
        <w:t xml:space="preserve"> effective communication channels relevant to the target audience.</w:t>
      </w:r>
    </w:p>
    <w:p w14:paraId="000C41A4" w14:textId="77777777" w:rsidR="00E22FCF" w:rsidRPr="003F46ED" w:rsidRDefault="00E22FCF" w:rsidP="002F0716">
      <w:pPr>
        <w:pStyle w:val="Box"/>
      </w:pPr>
      <w:r w:rsidRPr="003F46ED">
        <w:t>3.2 Engage school leaders in promoting and supporting languages.</w:t>
      </w:r>
    </w:p>
    <w:p w14:paraId="713EDD02" w14:textId="77777777" w:rsidR="00E22FCF" w:rsidRPr="003F46ED" w:rsidRDefault="00E22FCF" w:rsidP="002F0716">
      <w:pPr>
        <w:pStyle w:val="Box"/>
      </w:pPr>
      <w:r w:rsidRPr="003F46ED">
        <w:t>3.3 Recognise student progress in languages at stages of learning prior to the senior secondary years (e.g. a Languages Passport).</w:t>
      </w:r>
    </w:p>
    <w:p w14:paraId="13B18AEB" w14:textId="77777777" w:rsidR="00E22FCF" w:rsidRPr="003F46ED" w:rsidRDefault="00E22FCF" w:rsidP="002F0716">
      <w:pPr>
        <w:pStyle w:val="Box"/>
      </w:pPr>
      <w:r w:rsidRPr="003F46ED">
        <w:t>3.4 Provide students with expanded post-secondary languages pathways in universities and VET.</w:t>
      </w:r>
    </w:p>
    <w:p w14:paraId="781A7760" w14:textId="77777777" w:rsidR="007B1D45" w:rsidRPr="003F46ED" w:rsidRDefault="008A50FC" w:rsidP="00B30583">
      <w:pPr>
        <w:rPr>
          <w:b/>
        </w:rPr>
      </w:pPr>
      <w:r w:rsidRPr="003F46ED">
        <w:t xml:space="preserve">The Education Council is an appropriate forum to agree on key messaging to build student demand for languages and to harness the support of school leaders, business, community and the tertiary </w:t>
      </w:r>
      <w:r w:rsidR="00835765" w:rsidRPr="003F46ED">
        <w:t xml:space="preserve">education </w:t>
      </w:r>
      <w:r w:rsidRPr="003F46ED">
        <w:t xml:space="preserve">sector. </w:t>
      </w:r>
    </w:p>
    <w:p w14:paraId="207A6381" w14:textId="77777777" w:rsidR="007B1D45" w:rsidRPr="003F46ED" w:rsidRDefault="002B7F8A" w:rsidP="00D0212E">
      <w:pPr>
        <w:pStyle w:val="Heading3"/>
      </w:pPr>
      <w:r w:rsidRPr="003F46ED">
        <w:t>4</w:t>
      </w:r>
      <w:r w:rsidRPr="003F46ED">
        <w:tab/>
      </w:r>
      <w:r w:rsidR="00556E8E" w:rsidRPr="003F46ED">
        <w:t>Collaborate nationally</w:t>
      </w:r>
      <w:r w:rsidR="008A50FC" w:rsidRPr="003F46ED">
        <w:t xml:space="preserve"> to support languages planning and implementation</w:t>
      </w:r>
    </w:p>
    <w:p w14:paraId="6FD09621" w14:textId="77777777" w:rsidR="007B1D45" w:rsidRPr="003F46ED" w:rsidRDefault="008A50FC" w:rsidP="00715217">
      <w:r w:rsidRPr="003F46ED">
        <w:t xml:space="preserve">Lack of robust national student participation data </w:t>
      </w:r>
      <w:r w:rsidR="00AF3BE1" w:rsidRPr="003F46ED">
        <w:t xml:space="preserve">on languages </w:t>
      </w:r>
      <w:r w:rsidRPr="003F46ED">
        <w:t>inhibits languages planning in Australia.</w:t>
      </w:r>
      <w:r w:rsidR="00AF3BE1" w:rsidRPr="003F46ED">
        <w:t xml:space="preserve"> Data collected </w:t>
      </w:r>
      <w:r w:rsidR="00BC2003" w:rsidRPr="003F46ED">
        <w:t>vary</w:t>
      </w:r>
      <w:r w:rsidR="00AF3BE1" w:rsidRPr="003F46ED">
        <w:t xml:space="preserve"> significantly </w:t>
      </w:r>
      <w:r w:rsidR="00554B67" w:rsidRPr="003F46ED">
        <w:t>among</w:t>
      </w:r>
      <w:r w:rsidR="00AF3BE1" w:rsidRPr="003F46ED">
        <w:t xml:space="preserve"> jurisdictions and is not nationally comparable. There is no national </w:t>
      </w:r>
      <w:r w:rsidR="00E13EC0" w:rsidRPr="003F46ED">
        <w:t>framework (co-created by states and territories)</w:t>
      </w:r>
      <w:r w:rsidR="00AF3BE1" w:rsidRPr="003F46ED">
        <w:t xml:space="preserve"> in place to track student enrolment and participation patterns in any language, at any level. </w:t>
      </w:r>
    </w:p>
    <w:p w14:paraId="498DED13" w14:textId="77777777" w:rsidR="007B1D45" w:rsidRPr="003F46ED" w:rsidRDefault="008A50FC" w:rsidP="00715217">
      <w:r w:rsidRPr="003F46ED">
        <w:t>Successful strategies in some jurisdictions and sectors to boost</w:t>
      </w:r>
      <w:r w:rsidR="00FF14A2" w:rsidRPr="003F46ED">
        <w:t xml:space="preserve"> senior secondary</w:t>
      </w:r>
      <w:r w:rsidRPr="003F46ED">
        <w:t xml:space="preserve"> language enrolments </w:t>
      </w:r>
      <w:r w:rsidR="00E13EC0" w:rsidRPr="003F46ED">
        <w:t>and to expand and strengthen the language student pipeline</w:t>
      </w:r>
      <w:r w:rsidRPr="003F46ED">
        <w:t xml:space="preserve"> </w:t>
      </w:r>
      <w:r w:rsidR="00801447" w:rsidRPr="003F46ED">
        <w:t>do not appear to be</w:t>
      </w:r>
      <w:r w:rsidRPr="003F46ED">
        <w:t xml:space="preserve"> informing practice nationally</w:t>
      </w:r>
      <w:r w:rsidR="00F54387" w:rsidRPr="003F46ED">
        <w:t>.</w:t>
      </w:r>
      <w:r w:rsidR="00AF3BE1" w:rsidRPr="003F46ED">
        <w:t xml:space="preserve"> </w:t>
      </w:r>
      <w:r w:rsidR="00F54387" w:rsidRPr="003F46ED">
        <w:t>T</w:t>
      </w:r>
      <w:r w:rsidR="00AF3BE1" w:rsidRPr="003F46ED">
        <w:t>here are few mechanisms in place to support this exchange</w:t>
      </w:r>
      <w:r w:rsidRPr="003F46ED">
        <w:t xml:space="preserve">. </w:t>
      </w:r>
    </w:p>
    <w:p w14:paraId="25DD8407" w14:textId="77777777" w:rsidR="00E22FCF" w:rsidRPr="003F46ED" w:rsidRDefault="00E22FCF" w:rsidP="002F0716">
      <w:pPr>
        <w:pStyle w:val="Boxh4"/>
      </w:pPr>
      <w:r w:rsidRPr="003F46ED">
        <w:lastRenderedPageBreak/>
        <w:t>Recommendation 4: The Education Council commits to national collaborative work to boost enrolments in languages at the senior secondary level and establishes mechanisms to:</w:t>
      </w:r>
    </w:p>
    <w:p w14:paraId="3E1EC0E8" w14:textId="77777777" w:rsidR="00E22FCF" w:rsidRPr="003F46ED" w:rsidRDefault="00E22FCF" w:rsidP="002F0716">
      <w:pPr>
        <w:pStyle w:val="Box"/>
        <w:numPr>
          <w:ilvl w:val="0"/>
          <w:numId w:val="27"/>
        </w:numPr>
        <w:rPr>
          <w:rFonts w:eastAsiaTheme="minorEastAsia"/>
        </w:rPr>
      </w:pPr>
      <w:r w:rsidRPr="003F46ED">
        <w:t>ensure a nationally consistent languages data collection and reporting framework</w:t>
      </w:r>
    </w:p>
    <w:p w14:paraId="3CDB5F3F" w14:textId="77777777" w:rsidR="00E22FCF" w:rsidRPr="003F46ED" w:rsidRDefault="00E22FCF" w:rsidP="002F0716">
      <w:pPr>
        <w:pStyle w:val="Box"/>
        <w:numPr>
          <w:ilvl w:val="0"/>
          <w:numId w:val="27"/>
        </w:numPr>
        <w:rPr>
          <w:rFonts w:eastAsiaTheme="minorEastAsia"/>
        </w:rPr>
      </w:pPr>
      <w:r w:rsidRPr="003F46ED">
        <w:t>share evidence of policies and strategies that boost student enrolment numbers</w:t>
      </w:r>
    </w:p>
    <w:p w14:paraId="46E1BAFE" w14:textId="77777777" w:rsidR="00E22FCF" w:rsidRPr="003F46ED" w:rsidRDefault="00E22FCF" w:rsidP="002F0716">
      <w:pPr>
        <w:pStyle w:val="Box"/>
        <w:numPr>
          <w:ilvl w:val="0"/>
          <w:numId w:val="27"/>
        </w:numPr>
        <w:rPr>
          <w:rFonts w:eastAsiaTheme="minorEastAsia"/>
        </w:rPr>
      </w:pPr>
      <w:r w:rsidRPr="003F46ED">
        <w:t>collaborate on strategies of national interest</w:t>
      </w:r>
    </w:p>
    <w:p w14:paraId="5CCF8A92" w14:textId="77777777" w:rsidR="00E22FCF" w:rsidRPr="003F46ED" w:rsidRDefault="00E22FCF" w:rsidP="002F0716">
      <w:pPr>
        <w:pStyle w:val="Box"/>
        <w:numPr>
          <w:ilvl w:val="0"/>
          <w:numId w:val="27"/>
        </w:numPr>
        <w:rPr>
          <w:rFonts w:eastAsiaTheme="minorEastAsia"/>
        </w:rPr>
      </w:pPr>
      <w:proofErr w:type="gramStart"/>
      <w:r w:rsidRPr="003F46ED">
        <w:t>further</w:t>
      </w:r>
      <w:proofErr w:type="gramEnd"/>
      <w:r w:rsidRPr="003F46ED">
        <w:t xml:space="preserve"> investigate ways to expand and strengthen the language student pipeline from the Early Years to Year 10.</w:t>
      </w:r>
    </w:p>
    <w:p w14:paraId="4F3DB06F" w14:textId="77777777" w:rsidR="007B1D45" w:rsidRPr="003F46ED" w:rsidRDefault="00AF3BE1" w:rsidP="00715217">
      <w:r w:rsidRPr="003F46ED">
        <w:t xml:space="preserve">A high degree of stakeholder interest in national collaboration to boost languages enrolments in the senior secondary years exists. </w:t>
      </w:r>
      <w:r w:rsidR="008A50FC" w:rsidRPr="003F46ED">
        <w:t>Jurisdictions already collect and own student participation data</w:t>
      </w:r>
      <w:r w:rsidRPr="003F46ED">
        <w:t>. N</w:t>
      </w:r>
      <w:r w:rsidR="008A50FC" w:rsidRPr="003F46ED">
        <w:t>ational data collection can build on that</w:t>
      </w:r>
      <w:r w:rsidRPr="003F46ED">
        <w:t xml:space="preserve"> and be</w:t>
      </w:r>
      <w:r w:rsidR="008A50FC" w:rsidRPr="003F46ED">
        <w:t xml:space="preserve"> facilitated through </w:t>
      </w:r>
      <w:r w:rsidR="00531164" w:rsidRPr="003F46ED">
        <w:t>the Australasian Curriculum, Assessment and Certification Authorities (</w:t>
      </w:r>
      <w:proofErr w:type="spellStart"/>
      <w:r w:rsidR="008A50FC" w:rsidRPr="003F46ED">
        <w:t>ACACA</w:t>
      </w:r>
      <w:proofErr w:type="spellEnd"/>
      <w:r w:rsidR="00531164" w:rsidRPr="003F46ED">
        <w:t>)</w:t>
      </w:r>
      <w:r w:rsidR="008A50FC" w:rsidRPr="003F46ED">
        <w:t xml:space="preserve"> and the Data Strategy Group of the Education Council</w:t>
      </w:r>
      <w:r w:rsidR="005266B7" w:rsidRPr="003F46ED">
        <w:t>.</w:t>
      </w:r>
    </w:p>
    <w:p w14:paraId="6D039DA4" w14:textId="09424AD6" w:rsidR="00D32AAC" w:rsidRPr="003F46ED" w:rsidRDefault="00D32AAC" w:rsidP="00B30583">
      <w:r w:rsidRPr="003F46ED">
        <w:br w:type="page"/>
      </w:r>
    </w:p>
    <w:p w14:paraId="36B6CBD5" w14:textId="3D1EDEFC" w:rsidR="00D32AAC" w:rsidRPr="003F46ED" w:rsidRDefault="00D32AAC" w:rsidP="00B30583">
      <w:pPr>
        <w:sectPr w:rsidR="00D32AAC" w:rsidRPr="003F46ED" w:rsidSect="00665CB6">
          <w:type w:val="continuous"/>
          <w:pgSz w:w="11900" w:h="16840"/>
          <w:pgMar w:top="1985" w:right="1134" w:bottom="1440" w:left="1134" w:header="709" w:footer="709" w:gutter="0"/>
          <w:cols w:space="720"/>
          <w:titlePg/>
        </w:sectPr>
      </w:pPr>
    </w:p>
    <w:p w14:paraId="24FF86B3" w14:textId="77777777" w:rsidR="007B1D45" w:rsidRPr="003F46ED" w:rsidRDefault="00EB127E" w:rsidP="00880FD8">
      <w:pPr>
        <w:pStyle w:val="Heading1"/>
      </w:pPr>
      <w:bookmarkStart w:id="45" w:name="_Toc273790527"/>
      <w:bookmarkStart w:id="46" w:name="_Toc402180264"/>
      <w:bookmarkStart w:id="47" w:name="_Toc276245081"/>
      <w:bookmarkStart w:id="48" w:name="_Toc445305251"/>
      <w:r w:rsidRPr="003F46ED">
        <w:lastRenderedPageBreak/>
        <w:t>Acknowledgements</w:t>
      </w:r>
      <w:bookmarkEnd w:id="45"/>
      <w:bookmarkEnd w:id="46"/>
      <w:bookmarkEnd w:id="47"/>
      <w:bookmarkEnd w:id="48"/>
    </w:p>
    <w:p w14:paraId="735DBE49" w14:textId="77777777" w:rsidR="00BF5D46" w:rsidRPr="003F46ED" w:rsidRDefault="00BF5D46" w:rsidP="00B30583">
      <w:bookmarkStart w:id="49" w:name="_Toc402180265"/>
      <w:r w:rsidRPr="003F46ED">
        <w:t xml:space="preserve">Asia Education Foundation (AEF) acknowledges the Australian Government Department of Education for commissioning the Senior Secondary Languages Education Research Project. We express our sincere gratitude to all </w:t>
      </w:r>
      <w:r w:rsidR="00243CCE" w:rsidRPr="003F46ED">
        <w:t xml:space="preserve">of the following </w:t>
      </w:r>
      <w:r w:rsidRPr="003F46ED">
        <w:t>research collaborators:</w:t>
      </w:r>
      <w:bookmarkEnd w:id="49"/>
    </w:p>
    <w:p w14:paraId="6E59FC1D" w14:textId="77777777" w:rsidR="00BF5D46" w:rsidRPr="003F46ED" w:rsidRDefault="00BF5D46" w:rsidP="00715217">
      <w:pPr>
        <w:pStyle w:val="ListParagraph"/>
        <w:ind w:left="360"/>
      </w:pPr>
      <w:bookmarkStart w:id="50" w:name="_Toc402180266"/>
      <w:r w:rsidRPr="003F46ED">
        <w:t>Dr Michelle Kohler and Dr Timothy Curnow (Research Centre for Languages and Cultures, University of South Australia) for their work on the policy and literature review</w:t>
      </w:r>
      <w:bookmarkEnd w:id="50"/>
    </w:p>
    <w:p w14:paraId="0D29DFA5" w14:textId="77777777" w:rsidR="00BF5D46" w:rsidRPr="003F46ED" w:rsidRDefault="00BF5D46" w:rsidP="00715217">
      <w:pPr>
        <w:pStyle w:val="ListParagraph"/>
        <w:ind w:left="360"/>
      </w:pPr>
      <w:bookmarkStart w:id="51" w:name="_Toc402180267"/>
      <w:r w:rsidRPr="003F46ED">
        <w:t>Dr Robyn Spence-Brown (School of Languages</w:t>
      </w:r>
      <w:r w:rsidR="00BE0BEE" w:rsidRPr="003F46ED">
        <w:t>,</w:t>
      </w:r>
      <w:r w:rsidRPr="003F46ED">
        <w:t xml:space="preserve"> Literatures</w:t>
      </w:r>
      <w:r w:rsidR="00BE0BEE" w:rsidRPr="003F46ED">
        <w:t>,</w:t>
      </w:r>
      <w:r w:rsidRPr="003F46ED">
        <w:t xml:space="preserve"> Cultures and Linguistics, Monash University) for her complementary research piece on the ‘</w:t>
      </w:r>
      <w:r w:rsidRPr="003F46ED">
        <w:rPr>
          <w:bCs/>
        </w:rPr>
        <w:t>Factors related to student continuation and discontinuation of Japanese in senior secondary school’</w:t>
      </w:r>
      <w:bookmarkEnd w:id="51"/>
    </w:p>
    <w:p w14:paraId="1A758134" w14:textId="77777777" w:rsidR="00BF5D46" w:rsidRPr="003F46ED" w:rsidRDefault="00BF5D46" w:rsidP="00715217">
      <w:pPr>
        <w:pStyle w:val="ListParagraph"/>
        <w:ind w:left="360"/>
      </w:pPr>
      <w:bookmarkStart w:id="52" w:name="_Toc402180268"/>
      <w:r w:rsidRPr="003F46ED">
        <w:t xml:space="preserve">Chris </w:t>
      </w:r>
      <w:proofErr w:type="spellStart"/>
      <w:r w:rsidRPr="003F46ED">
        <w:t>Wardlaw</w:t>
      </w:r>
      <w:proofErr w:type="spellEnd"/>
      <w:r w:rsidRPr="003F46ED">
        <w:t>, for his work during the consultation process, insight into the project’s overall approach and contribution to the final report</w:t>
      </w:r>
      <w:bookmarkEnd w:id="52"/>
    </w:p>
    <w:p w14:paraId="06F5FC1C" w14:textId="77777777" w:rsidR="007B1D45" w:rsidRPr="003F46ED" w:rsidRDefault="00C8285A" w:rsidP="00715217">
      <w:pPr>
        <w:pStyle w:val="ListParagraph"/>
        <w:ind w:left="360"/>
      </w:pPr>
      <w:bookmarkStart w:id="53" w:name="_Toc402180269"/>
      <w:r w:rsidRPr="003F46ED">
        <w:t>Dr Sam Rothman, Alison Lonsdale</w:t>
      </w:r>
      <w:r w:rsidR="00AF0651" w:rsidRPr="003F46ED">
        <w:t xml:space="preserve"> and Dr Yu Zhao from the </w:t>
      </w:r>
      <w:r w:rsidR="00BF5D46" w:rsidRPr="003F46ED">
        <w:t>Australian Council for Education Research (</w:t>
      </w:r>
      <w:r w:rsidR="00AF0651" w:rsidRPr="003F46ED">
        <w:t>ACER</w:t>
      </w:r>
      <w:r w:rsidR="00BF5D46" w:rsidRPr="003F46ED">
        <w:t>) for their survey work and analysis of survey findings</w:t>
      </w:r>
      <w:r w:rsidR="00323219" w:rsidRPr="003F46ED">
        <w:t>,</w:t>
      </w:r>
      <w:r w:rsidR="00F45D8F" w:rsidRPr="003F46ED">
        <w:t xml:space="preserve"> </w:t>
      </w:r>
      <w:r w:rsidR="006C0109" w:rsidRPr="003F46ED">
        <w:t xml:space="preserve">not forgetting </w:t>
      </w:r>
      <w:r w:rsidR="00F45D8F" w:rsidRPr="003F46ED">
        <w:t>the</w:t>
      </w:r>
      <w:r w:rsidR="00BF5D46" w:rsidRPr="003F46ED">
        <w:t xml:space="preserve"> initial contribution</w:t>
      </w:r>
      <w:r w:rsidR="00F45D8F" w:rsidRPr="003F46ED">
        <w:t>s</w:t>
      </w:r>
      <w:r w:rsidR="00BF5D46" w:rsidRPr="003F46ED">
        <w:t xml:space="preserve"> of Dr Adrian Beavis and Jenny Wilkinson.</w:t>
      </w:r>
      <w:bookmarkEnd w:id="53"/>
    </w:p>
    <w:p w14:paraId="0AE862C9" w14:textId="77777777" w:rsidR="007B1D45" w:rsidRPr="003F46ED" w:rsidRDefault="00BF5D46" w:rsidP="00B30583">
      <w:bookmarkStart w:id="54" w:name="_Toc402180270"/>
      <w:r w:rsidRPr="003F46ED">
        <w:t xml:space="preserve">AEF would like to acknowledge Dr </w:t>
      </w:r>
      <w:proofErr w:type="spellStart"/>
      <w:r w:rsidRPr="003F46ED">
        <w:t>Eeqbal</w:t>
      </w:r>
      <w:proofErr w:type="spellEnd"/>
      <w:r w:rsidRPr="003F46ED">
        <w:t xml:space="preserve"> </w:t>
      </w:r>
      <w:proofErr w:type="spellStart"/>
      <w:r w:rsidRPr="003F46ED">
        <w:t>Hassim</w:t>
      </w:r>
      <w:proofErr w:type="spellEnd"/>
      <w:r w:rsidRPr="003F46ED">
        <w:t xml:space="preserve"> (Project Director), Carole Egan</w:t>
      </w:r>
      <w:r w:rsidR="0012675D" w:rsidRPr="003F46ED">
        <w:t xml:space="preserve"> and </w:t>
      </w:r>
      <w:r w:rsidRPr="003F46ED">
        <w:t xml:space="preserve">Mario </w:t>
      </w:r>
      <w:proofErr w:type="spellStart"/>
      <w:r w:rsidRPr="003F46ED">
        <w:t>Peucker</w:t>
      </w:r>
      <w:proofErr w:type="spellEnd"/>
      <w:r w:rsidR="0012675D" w:rsidRPr="003F46ED">
        <w:t xml:space="preserve">. Intern, </w:t>
      </w:r>
      <w:r w:rsidRPr="003F46ED">
        <w:t xml:space="preserve">Dan </w:t>
      </w:r>
      <w:proofErr w:type="spellStart"/>
      <w:r w:rsidRPr="003F46ED">
        <w:t>Ednie</w:t>
      </w:r>
      <w:proofErr w:type="spellEnd"/>
      <w:r w:rsidR="007F4F67" w:rsidRPr="003F46ED">
        <w:t>,</w:t>
      </w:r>
      <w:r w:rsidRPr="003F46ED">
        <w:t xml:space="preserve"> assisted with data analysis</w:t>
      </w:r>
      <w:r w:rsidR="002F1460" w:rsidRPr="003F46ED">
        <w:t>.</w:t>
      </w:r>
      <w:bookmarkEnd w:id="54"/>
    </w:p>
    <w:p w14:paraId="16F0700C" w14:textId="77777777" w:rsidR="007B1D45" w:rsidRPr="003F46ED" w:rsidRDefault="003C7932" w:rsidP="00B30583">
      <w:bookmarkStart w:id="55" w:name="_Toc402180271"/>
      <w:r w:rsidRPr="003F46ED">
        <w:t xml:space="preserve">We </w:t>
      </w:r>
      <w:r w:rsidR="002F6F82" w:rsidRPr="003F46ED">
        <w:t xml:space="preserve">also </w:t>
      </w:r>
      <w:r w:rsidRPr="003F46ED">
        <w:t>acknowledge the</w:t>
      </w:r>
      <w:r w:rsidR="00010C76" w:rsidRPr="003F46ED">
        <w:t xml:space="preserve"> Project Advisory Group </w:t>
      </w:r>
      <w:r w:rsidRPr="003F46ED">
        <w:t>for providing</w:t>
      </w:r>
      <w:r w:rsidR="00010C76" w:rsidRPr="003F46ED">
        <w:t xml:space="preserve"> invaluable advice on the scoping and progress</w:t>
      </w:r>
      <w:r w:rsidR="006618FC" w:rsidRPr="003F46ED">
        <w:t xml:space="preserve"> of the research</w:t>
      </w:r>
      <w:r w:rsidR="00010C76" w:rsidRPr="003F46ED">
        <w:t xml:space="preserve"> (see Attachment 5).</w:t>
      </w:r>
      <w:bookmarkEnd w:id="55"/>
      <w:r w:rsidR="00010C76" w:rsidRPr="003F46ED">
        <w:t xml:space="preserve"> </w:t>
      </w:r>
    </w:p>
    <w:p w14:paraId="497AB9F5" w14:textId="10228261" w:rsidR="00EB127E" w:rsidRPr="003F46ED" w:rsidRDefault="00BF5D46" w:rsidP="00B30583">
      <w:bookmarkStart w:id="56" w:name="_Toc402180272"/>
      <w:r w:rsidRPr="003F46ED">
        <w:t>Finally, we thank all the organisations and individuals who contributed to the research</w:t>
      </w:r>
      <w:r w:rsidR="00983E77" w:rsidRPr="003F46ED">
        <w:t>,</w:t>
      </w:r>
      <w:r w:rsidRPr="003F46ED">
        <w:t xml:space="preserve"> </w:t>
      </w:r>
      <w:r w:rsidR="004E6337" w:rsidRPr="003F46ED">
        <w:t>through the scoping group and</w:t>
      </w:r>
      <w:r w:rsidR="00B05C39" w:rsidRPr="003F46ED">
        <w:t>/or the extensive</w:t>
      </w:r>
      <w:r w:rsidR="004E6337" w:rsidRPr="003F46ED">
        <w:t xml:space="preserve"> </w:t>
      </w:r>
      <w:r w:rsidRPr="003F46ED">
        <w:t>consultations</w:t>
      </w:r>
      <w:r w:rsidR="00B05C39" w:rsidRPr="003F46ED">
        <w:t xml:space="preserve"> undertaken</w:t>
      </w:r>
      <w:r w:rsidRPr="003F46ED">
        <w:t>. There are too many to list here, but their goodwill, cooperation, wisdom and valuable input</w:t>
      </w:r>
      <w:r w:rsidR="000B3F69" w:rsidRPr="003F46ED">
        <w:t xml:space="preserve"> is greatly appreciated</w:t>
      </w:r>
      <w:r w:rsidRPr="003F46ED">
        <w:t>.</w:t>
      </w:r>
      <w:bookmarkEnd w:id="56"/>
    </w:p>
    <w:p w14:paraId="2F550D4A" w14:textId="77777777" w:rsidR="007B1D45" w:rsidRPr="003F46ED" w:rsidRDefault="00080DA3" w:rsidP="00880FD8">
      <w:pPr>
        <w:pStyle w:val="Heading1"/>
      </w:pPr>
      <w:r w:rsidRPr="003F46ED">
        <w:rPr>
          <w:sz w:val="18"/>
        </w:rPr>
        <w:t xml:space="preserve"> </w:t>
      </w:r>
      <w:r w:rsidRPr="003F46ED">
        <w:rPr>
          <w:sz w:val="18"/>
        </w:rPr>
        <w:br w:type="page"/>
      </w:r>
      <w:bookmarkStart w:id="57" w:name="_Toc273790528"/>
      <w:bookmarkStart w:id="58" w:name="_Toc402180273"/>
      <w:bookmarkStart w:id="59" w:name="_Toc276245082"/>
      <w:bookmarkStart w:id="60" w:name="_Toc445305252"/>
      <w:r w:rsidR="0012059A" w:rsidRPr="003F46ED">
        <w:lastRenderedPageBreak/>
        <w:t>1. I</w:t>
      </w:r>
      <w:r w:rsidR="00FF6421" w:rsidRPr="003F46ED">
        <w:t>ntroduction</w:t>
      </w:r>
      <w:bookmarkEnd w:id="57"/>
      <w:bookmarkEnd w:id="58"/>
      <w:bookmarkEnd w:id="59"/>
      <w:bookmarkEnd w:id="60"/>
    </w:p>
    <w:p w14:paraId="26DDFB43" w14:textId="77777777" w:rsidR="007B1D45" w:rsidRPr="003F46ED" w:rsidRDefault="00FF6421" w:rsidP="00E22FCF">
      <w:pPr>
        <w:pStyle w:val="Heading2"/>
      </w:pPr>
      <w:bookmarkStart w:id="61" w:name="_Toc273790529"/>
      <w:bookmarkStart w:id="62" w:name="_Toc402180274"/>
      <w:bookmarkStart w:id="63" w:name="_Toc276245083"/>
      <w:bookmarkStart w:id="64" w:name="_Toc445305253"/>
      <w:r w:rsidRPr="003F46ED">
        <w:t>Background to the research</w:t>
      </w:r>
      <w:bookmarkEnd w:id="61"/>
      <w:bookmarkEnd w:id="62"/>
      <w:bookmarkEnd w:id="63"/>
      <w:bookmarkEnd w:id="64"/>
      <w:r w:rsidR="00080DA3" w:rsidRPr="003F46ED">
        <w:t xml:space="preserve"> </w:t>
      </w:r>
    </w:p>
    <w:p w14:paraId="009F8260" w14:textId="77777777" w:rsidR="007B1D45" w:rsidRPr="003F46ED" w:rsidRDefault="00ED0265" w:rsidP="00B30583">
      <w:bookmarkStart w:id="65" w:name="_Toc402180275"/>
      <w:r w:rsidRPr="003F46ED">
        <w:t>This research is part of the Australian Government’s ‘Strengthening the Australian Curriculum’ initiative. Through its findings and recommendations, the research will support t</w:t>
      </w:r>
      <w:r w:rsidR="00213584" w:rsidRPr="003F46ED">
        <w:t>he Government’s efforts to reviv</w:t>
      </w:r>
      <w:r w:rsidRPr="003F46ED">
        <w:t xml:space="preserve">e the teaching of languages to ensure that at least 40 per cent of Year 12 students are studying a language in addition to English within a decade </w:t>
      </w:r>
      <w:r w:rsidR="009807B3" w:rsidRPr="003F46ED">
        <w:t>(Australian Government Department of Education, 2014)</w:t>
      </w:r>
      <w:r w:rsidRPr="003F46ED">
        <w:t>.</w:t>
      </w:r>
      <w:bookmarkEnd w:id="65"/>
      <w:r w:rsidRPr="003F46ED">
        <w:t xml:space="preserve"> </w:t>
      </w:r>
    </w:p>
    <w:p w14:paraId="35C2F182" w14:textId="77777777" w:rsidR="007B1D45" w:rsidRPr="003F46ED" w:rsidRDefault="008F08CB" w:rsidP="00B30583">
      <w:pPr>
        <w:rPr>
          <w:bCs/>
        </w:rPr>
      </w:pPr>
      <w:bookmarkStart w:id="66" w:name="_Toc402180276"/>
      <w:r w:rsidRPr="003F46ED">
        <w:t>The research</w:t>
      </w:r>
      <w:r w:rsidR="00ED0265" w:rsidRPr="003F46ED">
        <w:t xml:space="preserve"> complements the continued development of the Australian Curriculum: Languages for </w:t>
      </w:r>
      <w:r w:rsidR="00ED0265" w:rsidRPr="003F46ED">
        <w:rPr>
          <w:iCs/>
        </w:rPr>
        <w:t>Aboriginal Languages and Torres Strait Islander Languages</w:t>
      </w:r>
      <w:r w:rsidR="00ED0265" w:rsidRPr="003F46ED">
        <w:t xml:space="preserve"> (the </w:t>
      </w:r>
      <w:r w:rsidR="00ED0265" w:rsidRPr="003F46ED">
        <w:rPr>
          <w:iCs/>
        </w:rPr>
        <w:t>Framework</w:t>
      </w:r>
      <w:r w:rsidR="00ED0265" w:rsidRPr="003F46ED">
        <w:t>), Chinese, French, German, Indonesian, Italian, Japanese, Korean, Modern Greek, Spanish, Arabic, Vietnamese, Hind</w:t>
      </w:r>
      <w:r w:rsidR="007F62A5" w:rsidRPr="003F46ED">
        <w:t>i, Turkish, classical languages</w:t>
      </w:r>
      <w:r w:rsidR="00ED0265" w:rsidRPr="003F46ED">
        <w:t xml:space="preserve"> and </w:t>
      </w:r>
      <w:proofErr w:type="spellStart"/>
      <w:r w:rsidR="00ED0265" w:rsidRPr="003F46ED">
        <w:t>Auslan</w:t>
      </w:r>
      <w:proofErr w:type="spellEnd"/>
      <w:r w:rsidR="00ED0265" w:rsidRPr="003F46ED">
        <w:t xml:space="preserve"> </w:t>
      </w:r>
      <w:r w:rsidR="00946288" w:rsidRPr="003F46ED">
        <w:t>(Australian Government Department of Education, 2014).</w:t>
      </w:r>
      <w:r w:rsidR="007F62A5" w:rsidRPr="003F46ED">
        <w:t xml:space="preserve"> It complements </w:t>
      </w:r>
      <w:r w:rsidR="00ED0265" w:rsidRPr="003F46ED">
        <w:rPr>
          <w:bCs/>
        </w:rPr>
        <w:t>other Aus</w:t>
      </w:r>
      <w:r w:rsidRPr="003F46ED">
        <w:rPr>
          <w:bCs/>
        </w:rPr>
        <w:t>tralian Government commitments,</w:t>
      </w:r>
      <w:r w:rsidRPr="003F46ED">
        <w:t xml:space="preserve"> </w:t>
      </w:r>
      <w:r w:rsidR="00590DCB" w:rsidRPr="003F46ED">
        <w:t>such as</w:t>
      </w:r>
      <w:r w:rsidRPr="003F46ED">
        <w:t xml:space="preserve"> </w:t>
      </w:r>
      <w:r w:rsidRPr="003F46ED">
        <w:rPr>
          <w:bCs/>
        </w:rPr>
        <w:t>the language-learning trial for pre-schoolers, a focus on languages in initial teacher education (through the Teacher Education Ministerial Advisory Group and Teach for Australia)</w:t>
      </w:r>
      <w:r w:rsidRPr="003F46ED">
        <w:t xml:space="preserve"> and the ability </w:t>
      </w:r>
      <w:r w:rsidR="00376B43" w:rsidRPr="003F46ED">
        <w:t xml:space="preserve">for tertiary students </w:t>
      </w:r>
      <w:r w:rsidRPr="003F46ED">
        <w:t>to access intensive language training through the New Colombo Plan</w:t>
      </w:r>
      <w:r w:rsidRPr="003F46ED">
        <w:rPr>
          <w:bCs/>
        </w:rPr>
        <w:t>.</w:t>
      </w:r>
      <w:bookmarkEnd w:id="66"/>
    </w:p>
    <w:p w14:paraId="57C95F03" w14:textId="02594544" w:rsidR="00ED0265" w:rsidRPr="003F46ED" w:rsidRDefault="00ED0265" w:rsidP="00B30583">
      <w:bookmarkStart w:id="67" w:name="_Toc402180277"/>
      <w:r w:rsidRPr="003F46ED">
        <w:t>‘Languages</w:t>
      </w:r>
      <w:r w:rsidR="00827E09" w:rsidRPr="003F46ED">
        <w:t>’ can be</w:t>
      </w:r>
      <w:r w:rsidRPr="003F46ED">
        <w:t xml:space="preserve"> a broad term. In Australi</w:t>
      </w:r>
      <w:r w:rsidR="00100E7A" w:rsidRPr="003F46ED">
        <w:t>a, it can include</w:t>
      </w:r>
      <w:r w:rsidRPr="003F46ED">
        <w:t xml:space="preserve"> Aboriginal and Torres Strait Islander Languages and </w:t>
      </w:r>
      <w:proofErr w:type="spellStart"/>
      <w:r w:rsidRPr="003F46ED">
        <w:t>Auslan</w:t>
      </w:r>
      <w:proofErr w:type="spellEnd"/>
      <w:r w:rsidRPr="003F46ED">
        <w:t xml:space="preserve">, both of which are part of Australian Curriculum development. </w:t>
      </w:r>
      <w:r w:rsidR="004A0AFE" w:rsidRPr="003F46ED">
        <w:t>While some of its findings and recommendations apply to these languages, this research</w:t>
      </w:r>
      <w:r w:rsidRPr="003F46ED">
        <w:t xml:space="preserve"> focus</w:t>
      </w:r>
      <w:r w:rsidR="004A0AFE" w:rsidRPr="003F46ED">
        <w:t>es</w:t>
      </w:r>
      <w:r w:rsidRPr="003F46ED">
        <w:t xml:space="preserve"> on </w:t>
      </w:r>
      <w:r w:rsidRPr="003F46ED">
        <w:rPr>
          <w:i/>
        </w:rPr>
        <w:t>all other</w:t>
      </w:r>
      <w:r w:rsidRPr="003F46ED">
        <w:t xml:space="preserve"> languages in addition to English</w:t>
      </w:r>
      <w:r w:rsidR="001F4873" w:rsidRPr="003F46ED">
        <w:t xml:space="preserve"> – </w:t>
      </w:r>
      <w:r w:rsidRPr="003F46ED">
        <w:t>incl</w:t>
      </w:r>
      <w:r w:rsidR="008B121E" w:rsidRPr="003F46ED">
        <w:t>uding classical languages (</w:t>
      </w:r>
      <w:r w:rsidRPr="003F46ED">
        <w:t>Latin and Ancient Greek</w:t>
      </w:r>
      <w:r w:rsidR="001F4873" w:rsidRPr="003F46ED">
        <w:t>) – </w:t>
      </w:r>
      <w:r w:rsidRPr="003F46ED">
        <w:t>regardless of whether these are studied:</w:t>
      </w:r>
      <w:bookmarkEnd w:id="67"/>
    </w:p>
    <w:p w14:paraId="634EE176" w14:textId="77777777" w:rsidR="00ED0265" w:rsidRPr="003F46ED" w:rsidRDefault="001D366C" w:rsidP="00715217">
      <w:pPr>
        <w:pStyle w:val="ListParagraph"/>
        <w:ind w:left="360"/>
      </w:pPr>
      <w:bookmarkStart w:id="68" w:name="_Toc402180278"/>
      <w:r w:rsidRPr="003F46ED">
        <w:t>b</w:t>
      </w:r>
      <w:r w:rsidR="00ED0265" w:rsidRPr="003F46ED">
        <w:t>y second language learners, background language learners or first language learners (where these categorisations are applicable)</w:t>
      </w:r>
      <w:bookmarkEnd w:id="68"/>
    </w:p>
    <w:p w14:paraId="347AE488" w14:textId="77777777" w:rsidR="007B1D45" w:rsidRPr="003F46ED" w:rsidRDefault="001D366C" w:rsidP="00715217">
      <w:pPr>
        <w:pStyle w:val="ListParagraph"/>
        <w:ind w:left="360"/>
      </w:pPr>
      <w:bookmarkStart w:id="69" w:name="_Toc402180279"/>
      <w:proofErr w:type="gramStart"/>
      <w:r w:rsidRPr="003F46ED">
        <w:t>v</w:t>
      </w:r>
      <w:r w:rsidR="00ED0265" w:rsidRPr="003F46ED">
        <w:t>ia</w:t>
      </w:r>
      <w:proofErr w:type="gramEnd"/>
      <w:r w:rsidR="00ED0265" w:rsidRPr="003F46ED">
        <w:t xml:space="preserve"> school, complementary providers or community-based language programmes.</w:t>
      </w:r>
      <w:bookmarkEnd w:id="69"/>
    </w:p>
    <w:p w14:paraId="700F11CE" w14:textId="77777777" w:rsidR="007B1D45" w:rsidRPr="003F46ED" w:rsidRDefault="00B46CB5" w:rsidP="00B30583">
      <w:bookmarkStart w:id="70" w:name="_Toc402180280"/>
      <w:r w:rsidRPr="003F46ED">
        <w:t>The focused</w:t>
      </w:r>
      <w:r w:rsidR="00ED0265" w:rsidRPr="003F46ED">
        <w:t xml:space="preserve"> languages are referred to simply as ‘languages’ or ‘languages in</w:t>
      </w:r>
      <w:r w:rsidR="00E1478E" w:rsidRPr="003F46ED">
        <w:t xml:space="preserve"> addition to English’. Note</w:t>
      </w:r>
      <w:r w:rsidR="00ED0265" w:rsidRPr="003F46ED">
        <w:t xml:space="preserve"> the term ‘Languages other than English (</w:t>
      </w:r>
      <w:proofErr w:type="spellStart"/>
      <w:r w:rsidR="00ED0265" w:rsidRPr="003F46ED">
        <w:t>LOTE</w:t>
      </w:r>
      <w:proofErr w:type="spellEnd"/>
      <w:r w:rsidR="00ED0265" w:rsidRPr="003F46ED">
        <w:t>)’ is not used in this research. It is terminology that arose in the absence of scoped an</w:t>
      </w:r>
      <w:r w:rsidR="00032205" w:rsidRPr="003F46ED">
        <w:t>d sequenced languages curricula</w:t>
      </w:r>
      <w:r w:rsidR="00ED0265" w:rsidRPr="003F46ED">
        <w:t xml:space="preserve"> and is not aligned with the agreed position for the Australian Curriculum: Languages. ‘Additional’ is a more appropriate descriptor, recognising English as the language that every student in Australia studies at school, whether as a first language or </w:t>
      </w:r>
      <w:r w:rsidR="007873CD" w:rsidRPr="003F46ED">
        <w:t>not</w:t>
      </w:r>
      <w:r w:rsidR="005B5607" w:rsidRPr="003F46ED">
        <w:t>.</w:t>
      </w:r>
      <w:bookmarkEnd w:id="70"/>
    </w:p>
    <w:p w14:paraId="46BED5B6" w14:textId="77777777" w:rsidR="007B1D45" w:rsidRPr="003F46ED" w:rsidRDefault="00ED0265" w:rsidP="00B30583">
      <w:bookmarkStart w:id="71" w:name="_Toc402180281"/>
      <w:r w:rsidRPr="003F46ED">
        <w:t>Nationally</w:t>
      </w:r>
      <w:r w:rsidR="009C0549" w:rsidRPr="003F46ED">
        <w:t>, it is estimated that around 11</w:t>
      </w:r>
      <w:r w:rsidRPr="003F46ED">
        <w:t xml:space="preserve"> per cent of senior secondary students study a l</w:t>
      </w:r>
      <w:r w:rsidR="00581513" w:rsidRPr="003F46ED">
        <w:t>anguage</w:t>
      </w:r>
      <w:r w:rsidR="00406AD6" w:rsidRPr="003F46ED">
        <w:t xml:space="preserve"> in addition to English</w:t>
      </w:r>
      <w:r w:rsidRPr="003F46ED">
        <w:t xml:space="preserve">. </w:t>
      </w:r>
      <w:r w:rsidR="00B62620" w:rsidRPr="003F46ED">
        <w:t>T</w:t>
      </w:r>
      <w:r w:rsidRPr="003F46ED">
        <w:t>he percentages vary considerably from jur</w:t>
      </w:r>
      <w:r w:rsidR="00A60900" w:rsidRPr="003F46ED">
        <w:t>isdiction to jurisdiction (</w:t>
      </w:r>
      <w:r w:rsidR="003B0AE8" w:rsidRPr="003F46ED">
        <w:t xml:space="preserve">between 4 and </w:t>
      </w:r>
      <w:r w:rsidR="00A60900" w:rsidRPr="003F46ED">
        <w:t>19 per cent</w:t>
      </w:r>
      <w:r w:rsidRPr="003F46ED">
        <w:t xml:space="preserve">), which is evidence of the </w:t>
      </w:r>
      <w:r w:rsidR="00EF7784" w:rsidRPr="003F46ED">
        <w:t>highly diverse</w:t>
      </w:r>
      <w:r w:rsidRPr="003F46ED">
        <w:t xml:space="preserve"> nature of senior secondary languages education in Australia.</w:t>
      </w:r>
      <w:bookmarkEnd w:id="71"/>
      <w:r w:rsidRPr="003F46ED">
        <w:t xml:space="preserve"> </w:t>
      </w:r>
    </w:p>
    <w:p w14:paraId="02E5BDF1" w14:textId="0D2B072C" w:rsidR="00ED0265" w:rsidRPr="003F46ED" w:rsidRDefault="00ED0265" w:rsidP="00B30583">
      <w:bookmarkStart w:id="72" w:name="_Toc402180282"/>
      <w:r w:rsidRPr="003F46ED">
        <w:t>Year 12 data</w:t>
      </w:r>
      <w:r w:rsidR="001D3D39" w:rsidRPr="003F46ED">
        <w:t xml:space="preserve"> from curriculum and certification authorities</w:t>
      </w:r>
      <w:r w:rsidR="00EB4B6B" w:rsidRPr="003F46ED">
        <w:t xml:space="preserve"> in Australia</w:t>
      </w:r>
      <w:r w:rsidRPr="003F46ED">
        <w:t xml:space="preserve"> </w:t>
      </w:r>
      <w:r w:rsidR="007C3188" w:rsidRPr="003F46ED">
        <w:t>suggest</w:t>
      </w:r>
      <w:r w:rsidR="00955B83" w:rsidRPr="003F46ED">
        <w:t xml:space="preserve"> that</w:t>
      </w:r>
      <w:r w:rsidRPr="003F46ED">
        <w:t xml:space="preserve"> the proportion of students studying a language at Years 11 and 12 has remained relativel</w:t>
      </w:r>
      <w:r w:rsidR="002C17B7" w:rsidRPr="003F46ED">
        <w:t>y stable, both nationally and within</w:t>
      </w:r>
      <w:r w:rsidR="00DD5B08" w:rsidRPr="003F46ED">
        <w:t xml:space="preserve"> </w:t>
      </w:r>
      <w:r w:rsidR="000C189E" w:rsidRPr="003F46ED">
        <w:t>jurisdictions</w:t>
      </w:r>
      <w:r w:rsidR="00C914F5" w:rsidRPr="003F46ED">
        <w:t>,</w:t>
      </w:r>
      <w:r w:rsidR="00DC0765" w:rsidRPr="003F46ED">
        <w:t xml:space="preserve"> for some 20 years</w:t>
      </w:r>
      <w:r w:rsidRPr="003F46ED">
        <w:t xml:space="preserve">. </w:t>
      </w:r>
      <w:r w:rsidR="00581994" w:rsidRPr="003F46ED">
        <w:t>E</w:t>
      </w:r>
      <w:r w:rsidRPr="003F46ED">
        <w:t>fforts to ramp up the teaching of languages</w:t>
      </w:r>
      <w:r w:rsidR="001F4873" w:rsidRPr="003F46ED">
        <w:t xml:space="preserve"> – </w:t>
      </w:r>
      <w:r w:rsidRPr="003F46ED">
        <w:t>especially Asian lan</w:t>
      </w:r>
      <w:r w:rsidR="002C17B7" w:rsidRPr="003F46ED">
        <w:t>guages</w:t>
      </w:r>
      <w:r w:rsidR="001F4873" w:rsidRPr="003F46ED">
        <w:t xml:space="preserve"> –</w:t>
      </w:r>
      <w:r w:rsidR="00950A33" w:rsidRPr="003F46ED">
        <w:t xml:space="preserve"> </w:t>
      </w:r>
      <w:r w:rsidR="002C17B7" w:rsidRPr="003F46ED">
        <w:t>since 2008</w:t>
      </w:r>
      <w:r w:rsidR="00581994" w:rsidRPr="003F46ED">
        <w:t xml:space="preserve"> </w:t>
      </w:r>
      <w:r w:rsidR="002C17B7" w:rsidRPr="003F46ED">
        <w:t>have not</w:t>
      </w:r>
      <w:r w:rsidRPr="003F46ED">
        <w:t xml:space="preserve"> impact</w:t>
      </w:r>
      <w:r w:rsidR="002C17B7" w:rsidRPr="003F46ED">
        <w:t>ed significantly on senior secondary languages</w:t>
      </w:r>
      <w:r w:rsidRPr="003F46ED">
        <w:t xml:space="preserve"> enrolments</w:t>
      </w:r>
      <w:r w:rsidR="002C17B7" w:rsidRPr="003F46ED">
        <w:t xml:space="preserve">. </w:t>
      </w:r>
      <w:r w:rsidR="00413D8E" w:rsidRPr="003F46ED">
        <w:t xml:space="preserve">This is the case despite some </w:t>
      </w:r>
      <w:r w:rsidR="006C0518" w:rsidRPr="003F46ED">
        <w:t>jurisdictions</w:t>
      </w:r>
      <w:r w:rsidR="00413D8E" w:rsidRPr="003F46ED">
        <w:t xml:space="preserve"> and languages witnessing a significant rise in the number of students studying languages in Foundation to Year 10 (F</w:t>
      </w:r>
      <w:r w:rsidR="001F4873" w:rsidRPr="003F46ED">
        <w:t>–</w:t>
      </w:r>
      <w:r w:rsidR="00413D8E" w:rsidRPr="003F46ED">
        <w:t>10)</w:t>
      </w:r>
      <w:r w:rsidR="00341EE1" w:rsidRPr="003F46ED">
        <w:t>.</w:t>
      </w:r>
      <w:r w:rsidR="00413D8E" w:rsidRPr="003F46ED">
        <w:t xml:space="preserve"> Chinese language</w:t>
      </w:r>
      <w:r w:rsidR="00413D8E" w:rsidRPr="003F46ED" w:rsidDel="002B1292">
        <w:t xml:space="preserve"> </w:t>
      </w:r>
      <w:r w:rsidR="00413D8E" w:rsidRPr="003F46ED">
        <w:t xml:space="preserve">in </w:t>
      </w:r>
      <w:r w:rsidR="00EB5C58" w:rsidRPr="003F46ED">
        <w:t>Vic</w:t>
      </w:r>
      <w:r w:rsidR="00DE682C" w:rsidRPr="003F46ED">
        <w:t>toria (Vic)</w:t>
      </w:r>
      <w:r w:rsidR="00413D8E" w:rsidRPr="003F46ED">
        <w:t xml:space="preserve"> is an example of this.</w:t>
      </w:r>
      <w:bookmarkEnd w:id="72"/>
    </w:p>
    <w:p w14:paraId="4749EA9E" w14:textId="77777777" w:rsidR="007B1D45" w:rsidRPr="003F46ED" w:rsidRDefault="006F3822" w:rsidP="00E22FCF">
      <w:pPr>
        <w:pStyle w:val="Heading2"/>
      </w:pPr>
      <w:bookmarkStart w:id="73" w:name="_Toc402180283"/>
      <w:bookmarkStart w:id="74" w:name="_Toc276245084"/>
      <w:bookmarkStart w:id="75" w:name="_Toc445305254"/>
      <w:r w:rsidRPr="003F46ED">
        <w:lastRenderedPageBreak/>
        <w:t>Rationale for the research</w:t>
      </w:r>
      <w:bookmarkEnd w:id="73"/>
      <w:bookmarkEnd w:id="74"/>
      <w:bookmarkEnd w:id="75"/>
    </w:p>
    <w:p w14:paraId="01E27559" w14:textId="77777777" w:rsidR="007B1D45" w:rsidRPr="003F46ED" w:rsidRDefault="001D6C5D" w:rsidP="00B30583">
      <w:bookmarkStart w:id="76" w:name="_Toc402180284"/>
      <w:r w:rsidRPr="003F46ED">
        <w:t>A basic premise underpinning the research is that the study of languages is potentially for everyone. This premise</w:t>
      </w:r>
      <w:r w:rsidR="00863F24" w:rsidRPr="003F46ED">
        <w:t xml:space="preserve"> is</w:t>
      </w:r>
      <w:r w:rsidRPr="003F46ED">
        <w:t xml:space="preserve"> adopted in most other high-performing education systems internationally. The messaging around language learning </w:t>
      </w:r>
      <w:r w:rsidR="001C099D" w:rsidRPr="003F46ED">
        <w:t xml:space="preserve">in Australia </w:t>
      </w:r>
      <w:r w:rsidRPr="003F46ED">
        <w:t>needs to be inclusive of learners of all backgrounds and all languages.</w:t>
      </w:r>
      <w:bookmarkEnd w:id="76"/>
      <w:r w:rsidRPr="003F46ED">
        <w:t xml:space="preserve"> </w:t>
      </w:r>
    </w:p>
    <w:p w14:paraId="47373819" w14:textId="77777777" w:rsidR="007B1D45" w:rsidRPr="003F46ED" w:rsidRDefault="001D6C5D" w:rsidP="00B30583">
      <w:bookmarkStart w:id="77" w:name="_Toc402180285"/>
      <w:r w:rsidRPr="003F46ED">
        <w:t xml:space="preserve">In a globally connected world, languages are valuable and useful as tools for communication, relationship building and the transfer and advancement of knowledge. </w:t>
      </w:r>
      <w:r w:rsidR="00047344" w:rsidRPr="003F46ED">
        <w:t>The ability to speak a language in addition to English enhances Australia’s competitive edge in a global economy. Australians are becoming increasingly connected i</w:t>
      </w:r>
      <w:r w:rsidR="009E0DFD" w:rsidRPr="003F46ED">
        <w:t>nternationally, with more than two</w:t>
      </w:r>
      <w:r w:rsidR="00047344" w:rsidRPr="003F46ED">
        <w:t xml:space="preserve"> million Australians speaking an Asian </w:t>
      </w:r>
      <w:r w:rsidR="009E0DFD" w:rsidRPr="003F46ED">
        <w:t>language at home and more than one</w:t>
      </w:r>
      <w:r w:rsidR="00047344" w:rsidRPr="003F46ED">
        <w:t xml:space="preserve"> million speaking a European language (</w:t>
      </w:r>
      <w:r w:rsidR="00385AD1" w:rsidRPr="003F46ED">
        <w:t>Australian Government Department of Prime Minister and Cabinet, 2014).</w:t>
      </w:r>
      <w:bookmarkEnd w:id="77"/>
    </w:p>
    <w:p w14:paraId="5D270328" w14:textId="77777777" w:rsidR="007B1D45" w:rsidRPr="003F46ED" w:rsidRDefault="00950A33" w:rsidP="00B30583">
      <w:bookmarkStart w:id="78" w:name="_Toc402180286"/>
      <w:r w:rsidRPr="003F46ED">
        <w:t>Close to 70 policy-related reports and investigations have been undertaken into languages education in Australia over more than two decades. Yet, senior secondary languages enrolments, as a measure of systemic change, have not increased.</w:t>
      </w:r>
      <w:bookmarkEnd w:id="78"/>
      <w:r w:rsidRPr="003F46ED">
        <w:t xml:space="preserve"> </w:t>
      </w:r>
    </w:p>
    <w:p w14:paraId="6B743A54" w14:textId="77777777" w:rsidR="007B1D45" w:rsidRPr="003F46ED" w:rsidRDefault="006D610F" w:rsidP="00B30583">
      <w:bookmarkStart w:id="79" w:name="_Toc402180287"/>
      <w:r w:rsidRPr="003F46ED">
        <w:t>AEF was commissioned by the Australian Government Department o</w:t>
      </w:r>
      <w:r w:rsidR="006C33C7" w:rsidRPr="003F46ED">
        <w:t>f Education to conduct research and report</w:t>
      </w:r>
      <w:r w:rsidRPr="003F46ED">
        <w:t xml:space="preserve"> on ways to encourage and enable more secondary students to </w:t>
      </w:r>
      <w:r w:rsidR="007D205E" w:rsidRPr="003F46ED">
        <w:t>study languages</w:t>
      </w:r>
      <w:r w:rsidRPr="003F46ED">
        <w:t xml:space="preserve"> in Years 11 and 12. The research </w:t>
      </w:r>
      <w:r w:rsidR="000C2FB9" w:rsidRPr="003F46ED">
        <w:t>is intended to</w:t>
      </w:r>
      <w:r w:rsidR="00A8509F" w:rsidRPr="003F46ED">
        <w:t xml:space="preserve"> inform all Australian g</w:t>
      </w:r>
      <w:r w:rsidRPr="003F46ED">
        <w:t>overnments on practical, implementable ways they could work with stakeholders to enable and encourage students to study languages in the senior secondary years. This guidance establishes the scope and nature of the proposed recommendations for the research.</w:t>
      </w:r>
      <w:bookmarkEnd w:id="79"/>
    </w:p>
    <w:p w14:paraId="2EBDBB34" w14:textId="77777777" w:rsidR="007B1D45" w:rsidRPr="003F46ED" w:rsidRDefault="00BE54FE" w:rsidP="00B30583">
      <w:bookmarkStart w:id="80" w:name="_Toc402180288"/>
      <w:r w:rsidRPr="003F46ED">
        <w:t xml:space="preserve">The relatively stable enrolment numbers for </w:t>
      </w:r>
      <w:r w:rsidR="005C181D" w:rsidRPr="003F46ED">
        <w:t xml:space="preserve">senior secondary </w:t>
      </w:r>
      <w:r w:rsidRPr="003F46ED">
        <w:t xml:space="preserve">languages </w:t>
      </w:r>
      <w:r w:rsidR="005C181D" w:rsidRPr="003F46ED">
        <w:t>nationally</w:t>
      </w:r>
      <w:r w:rsidRPr="003F46ED">
        <w:t xml:space="preserve"> indicates that current conditions</w:t>
      </w:r>
      <w:r w:rsidR="00433F2E" w:rsidRPr="003F46ED">
        <w:t xml:space="preserve"> in systems and schools</w:t>
      </w:r>
      <w:r w:rsidRPr="003F46ED">
        <w:t xml:space="preserve"> are not</w:t>
      </w:r>
      <w:r w:rsidR="001B59E5" w:rsidRPr="003F46ED">
        <w:t xml:space="preserve"> conducive to building and sustaining student demand for languages.</w:t>
      </w:r>
      <w:r w:rsidRPr="003F46ED">
        <w:t xml:space="preserve"> </w:t>
      </w:r>
      <w:r w:rsidR="0049000D" w:rsidRPr="003F46ED">
        <w:t>This</w:t>
      </w:r>
      <w:r w:rsidR="001B59E5" w:rsidRPr="003F46ED">
        <w:t xml:space="preserve"> research </w:t>
      </w:r>
      <w:r w:rsidR="0049000D" w:rsidRPr="003F46ED">
        <w:t>argues</w:t>
      </w:r>
      <w:r w:rsidR="001B59E5" w:rsidRPr="003F46ED">
        <w:t xml:space="preserve"> that student demand for languages at Year</w:t>
      </w:r>
      <w:r w:rsidR="00247845" w:rsidRPr="003F46ED">
        <w:t>s</w:t>
      </w:r>
      <w:r w:rsidR="001B59E5" w:rsidRPr="003F46ED">
        <w:t xml:space="preserve"> 11 and 12 is inextricably linked to senior secondary </w:t>
      </w:r>
      <w:r w:rsidR="0013540A" w:rsidRPr="003F46ED">
        <w:t xml:space="preserve">certification </w:t>
      </w:r>
      <w:r w:rsidR="001B59E5" w:rsidRPr="003F46ED">
        <w:t>structures in Australia. The creation of optimum conditions for students to select languages at the point of senior secondary subject choice will be essential to scaling up enrolments.</w:t>
      </w:r>
      <w:bookmarkEnd w:id="80"/>
    </w:p>
    <w:p w14:paraId="4BB12DFF" w14:textId="77777777" w:rsidR="007B1D45" w:rsidRPr="003F46ED" w:rsidRDefault="00BE54FE" w:rsidP="00B30583">
      <w:bookmarkStart w:id="81" w:name="_Toc402180289"/>
      <w:r w:rsidRPr="003F46ED">
        <w:t xml:space="preserve">New multi-dimensional action is required to resolve the problem of </w:t>
      </w:r>
      <w:r w:rsidR="006549B2" w:rsidRPr="003F46ED">
        <w:t>low</w:t>
      </w:r>
      <w:r w:rsidRPr="003F46ED">
        <w:t xml:space="preserve"> languages enrolments at senior secondary level. </w:t>
      </w:r>
      <w:r w:rsidR="001C099D" w:rsidRPr="003F46ED">
        <w:t>T</w:t>
      </w:r>
      <w:r w:rsidRPr="003F46ED">
        <w:t xml:space="preserve">his research looks at the interaction of senior secondary subject choice </w:t>
      </w:r>
      <w:r w:rsidRPr="003F46ED">
        <w:rPr>
          <w:i/>
        </w:rPr>
        <w:t>with</w:t>
      </w:r>
      <w:r w:rsidRPr="003F46ED">
        <w:t xml:space="preserve"> known factors influencing </w:t>
      </w:r>
      <w:r w:rsidR="003A51C5" w:rsidRPr="003F46ED">
        <w:t xml:space="preserve">language </w:t>
      </w:r>
      <w:r w:rsidRPr="003F46ED">
        <w:t xml:space="preserve">study at school to develop recommendations aimed at </w:t>
      </w:r>
      <w:r w:rsidR="00770D0B" w:rsidRPr="003F46ED">
        <w:t>resolving</w:t>
      </w:r>
      <w:r w:rsidRPr="003F46ED">
        <w:t xml:space="preserve"> </w:t>
      </w:r>
      <w:r w:rsidR="00F8503D" w:rsidRPr="003F46ED">
        <w:t xml:space="preserve">the </w:t>
      </w:r>
      <w:r w:rsidRPr="003F46ED">
        <w:t>problem.</w:t>
      </w:r>
      <w:bookmarkEnd w:id="81"/>
    </w:p>
    <w:p w14:paraId="0071EFC3" w14:textId="77777777" w:rsidR="005F0317" w:rsidRDefault="005F0317">
      <w:pPr>
        <w:spacing w:after="0"/>
        <w:rPr>
          <w:b/>
          <w:sz w:val="28"/>
          <w:szCs w:val="28"/>
        </w:rPr>
      </w:pPr>
      <w:bookmarkStart w:id="82" w:name="_Toc273790531"/>
      <w:bookmarkStart w:id="83" w:name="_Toc402180290"/>
      <w:bookmarkStart w:id="84" w:name="_Toc276245085"/>
      <w:r>
        <w:br w:type="page"/>
      </w:r>
    </w:p>
    <w:p w14:paraId="5F10EE1F" w14:textId="575C067E" w:rsidR="007B1D45" w:rsidRPr="003F46ED" w:rsidRDefault="00B4265F" w:rsidP="00E22FCF">
      <w:pPr>
        <w:pStyle w:val="Heading2"/>
      </w:pPr>
      <w:bookmarkStart w:id="85" w:name="_Toc445305255"/>
      <w:r w:rsidRPr="003F46ED">
        <w:lastRenderedPageBreak/>
        <w:t>Aim and objectives</w:t>
      </w:r>
      <w:bookmarkEnd w:id="82"/>
      <w:bookmarkEnd w:id="83"/>
      <w:bookmarkEnd w:id="84"/>
      <w:bookmarkEnd w:id="85"/>
    </w:p>
    <w:p w14:paraId="4279F342" w14:textId="77777777" w:rsidR="007B1D45" w:rsidRPr="003F46ED" w:rsidRDefault="003A51C5" w:rsidP="00B30583">
      <w:bookmarkStart w:id="86" w:name="_Toc402180291"/>
      <w:r w:rsidRPr="003F46ED">
        <w:t>T</w:t>
      </w:r>
      <w:r w:rsidR="00B4265F" w:rsidRPr="003F46ED">
        <w:t xml:space="preserve">he research </w:t>
      </w:r>
      <w:r w:rsidRPr="003F46ED">
        <w:t>sought</w:t>
      </w:r>
      <w:r w:rsidR="00B4265F" w:rsidRPr="003F46ED">
        <w:t xml:space="preserve"> to identify ways to enable and encourage more students to stu</w:t>
      </w:r>
      <w:r w:rsidR="00EC790B" w:rsidRPr="003F46ED">
        <w:t>dy languages at Years 11 and 12, with a view to</w:t>
      </w:r>
      <w:r w:rsidR="00B4265F" w:rsidRPr="003F46ED">
        <w:t xml:space="preserve"> develop</w:t>
      </w:r>
      <w:r w:rsidR="00D26874" w:rsidRPr="003F46ED">
        <w:t>ing</w:t>
      </w:r>
      <w:r w:rsidR="00B4265F" w:rsidRPr="003F46ED">
        <w:t xml:space="preserve"> practical and impl</w:t>
      </w:r>
      <w:r w:rsidR="00D344D6" w:rsidRPr="003F46ED">
        <w:t xml:space="preserve">ementable recommendations to </w:t>
      </w:r>
      <w:r w:rsidR="00A8509F" w:rsidRPr="003F46ED">
        <w:t>inform all Australian g</w:t>
      </w:r>
      <w:r w:rsidR="00B4265F" w:rsidRPr="003F46ED">
        <w:t>overnment</w:t>
      </w:r>
      <w:r w:rsidR="00D344D6" w:rsidRPr="003F46ED">
        <w:t xml:space="preserve">s on how to tackle this </w:t>
      </w:r>
      <w:r w:rsidR="00B4265F" w:rsidRPr="003F46ED">
        <w:t>issue.</w:t>
      </w:r>
      <w:bookmarkEnd w:id="86"/>
    </w:p>
    <w:p w14:paraId="6A113B98" w14:textId="278C0A75" w:rsidR="00B4265F" w:rsidRPr="003F46ED" w:rsidRDefault="00B4265F" w:rsidP="00B30583">
      <w:bookmarkStart w:id="87" w:name="_Toc402180292"/>
      <w:r w:rsidRPr="003F46ED">
        <w:t xml:space="preserve">As specified by the Australian Government Department of Education, </w:t>
      </w:r>
      <w:r w:rsidR="003A1B56" w:rsidRPr="003F46ED">
        <w:t xml:space="preserve">this </w:t>
      </w:r>
      <w:r w:rsidRPr="003F46ED">
        <w:t>report</w:t>
      </w:r>
      <w:r w:rsidR="003A1B56" w:rsidRPr="003F46ED">
        <w:t xml:space="preserve"> an</w:t>
      </w:r>
      <w:r w:rsidR="00572DFD" w:rsidRPr="003F46ED">
        <w:t>d its corresponding attachments</w:t>
      </w:r>
      <w:r w:rsidRPr="003F46ED">
        <w:t xml:space="preserve"> </w:t>
      </w:r>
      <w:r w:rsidR="003A27C7" w:rsidRPr="003F46ED">
        <w:t>presents</w:t>
      </w:r>
      <w:r w:rsidR="00FC4FC8" w:rsidRPr="003F46ED">
        <w:t xml:space="preserve"> the</w:t>
      </w:r>
      <w:r w:rsidRPr="003F46ED">
        <w:t>:</w:t>
      </w:r>
      <w:bookmarkEnd w:id="87"/>
    </w:p>
    <w:p w14:paraId="32283586" w14:textId="77777777" w:rsidR="00B4265F" w:rsidRPr="003F46ED" w:rsidRDefault="00B4265F" w:rsidP="006E7371">
      <w:pPr>
        <w:pStyle w:val="ListParagraph"/>
        <w:numPr>
          <w:ilvl w:val="0"/>
          <w:numId w:val="1"/>
        </w:numPr>
        <w:ind w:left="360"/>
      </w:pPr>
      <w:bookmarkStart w:id="88" w:name="_Toc402180293"/>
      <w:r w:rsidRPr="003F46ED">
        <w:t>issues affecting the take up of languages study in the senior secondary years, including differences that exist between languages and jurisdictions</w:t>
      </w:r>
      <w:bookmarkEnd w:id="88"/>
    </w:p>
    <w:p w14:paraId="4B9A2075" w14:textId="77777777" w:rsidR="00B4265F" w:rsidRPr="003F46ED" w:rsidRDefault="00B4265F" w:rsidP="006E7371">
      <w:pPr>
        <w:pStyle w:val="ListParagraph"/>
        <w:numPr>
          <w:ilvl w:val="0"/>
          <w:numId w:val="1"/>
        </w:numPr>
        <w:ind w:left="360"/>
      </w:pPr>
      <w:bookmarkStart w:id="89" w:name="_Toc402180294"/>
      <w:r w:rsidRPr="003F46ED">
        <w:t>current policy environment and activities in Australia and any planned future policy initiatives that influence senior secondary languages study, including the factors affecting the demand for languages study</w:t>
      </w:r>
      <w:bookmarkEnd w:id="89"/>
    </w:p>
    <w:p w14:paraId="72DC0CFB" w14:textId="77777777" w:rsidR="00B4265F" w:rsidRPr="003F46ED" w:rsidRDefault="00B4265F" w:rsidP="006E7371">
      <w:pPr>
        <w:pStyle w:val="ListParagraph"/>
        <w:numPr>
          <w:ilvl w:val="0"/>
          <w:numId w:val="1"/>
        </w:numPr>
        <w:ind w:left="360"/>
      </w:pPr>
      <w:bookmarkStart w:id="90" w:name="_Toc402180295"/>
      <w:r w:rsidRPr="003F46ED">
        <w:t>results of other relevant research</w:t>
      </w:r>
      <w:bookmarkEnd w:id="90"/>
    </w:p>
    <w:p w14:paraId="7EEAE946" w14:textId="77777777" w:rsidR="00B4265F" w:rsidRPr="003F46ED" w:rsidRDefault="00B4265F" w:rsidP="006E7371">
      <w:pPr>
        <w:pStyle w:val="ListParagraph"/>
        <w:numPr>
          <w:ilvl w:val="0"/>
          <w:numId w:val="1"/>
        </w:numPr>
        <w:ind w:left="360"/>
      </w:pPr>
      <w:bookmarkStart w:id="91" w:name="_Toc402180296"/>
      <w:r w:rsidRPr="003F46ED">
        <w:t>consultation processes and collaboration undertaken as part of the research project</w:t>
      </w:r>
      <w:bookmarkEnd w:id="91"/>
    </w:p>
    <w:p w14:paraId="5BC89EE5" w14:textId="77777777" w:rsidR="007B1D45" w:rsidRPr="003F46ED" w:rsidRDefault="00FC4FC8" w:rsidP="006E7371">
      <w:pPr>
        <w:pStyle w:val="ListParagraph"/>
        <w:numPr>
          <w:ilvl w:val="0"/>
          <w:numId w:val="1"/>
        </w:numPr>
        <w:ind w:left="360"/>
      </w:pPr>
      <w:bookmarkStart w:id="92" w:name="_Toc402180297"/>
      <w:proofErr w:type="gramStart"/>
      <w:r w:rsidRPr="003F46ED">
        <w:t>practical</w:t>
      </w:r>
      <w:proofErr w:type="gramEnd"/>
      <w:r w:rsidRPr="003F46ED">
        <w:t xml:space="preserve"> </w:t>
      </w:r>
      <w:r w:rsidR="00B4265F" w:rsidRPr="003F46ED">
        <w:t>measures</w:t>
      </w:r>
      <w:r w:rsidR="0072489B" w:rsidRPr="003F46ED">
        <w:t xml:space="preserve"> (tested with stakeholders)</w:t>
      </w:r>
      <w:r w:rsidR="00B4265F" w:rsidRPr="003F46ED">
        <w:t xml:space="preserve"> that can be implemented in states and territories to </w:t>
      </w:r>
      <w:r w:rsidR="00DA2C2C" w:rsidRPr="003F46ED">
        <w:t xml:space="preserve">enable and </w:t>
      </w:r>
      <w:r w:rsidR="00B4265F" w:rsidRPr="003F46ED">
        <w:t xml:space="preserve">encourage </w:t>
      </w:r>
      <w:r w:rsidR="004629F5" w:rsidRPr="003F46ED">
        <w:t>more</w:t>
      </w:r>
      <w:r w:rsidR="00B4265F" w:rsidRPr="003F46ED">
        <w:t xml:space="preserve"> students to </w:t>
      </w:r>
      <w:r w:rsidR="00D36D25" w:rsidRPr="003F46ED">
        <w:t>study languages</w:t>
      </w:r>
      <w:r w:rsidR="00B4265F" w:rsidRPr="003F46ED">
        <w:t xml:space="preserve"> in </w:t>
      </w:r>
      <w:r w:rsidR="00CB7A12" w:rsidRPr="003F46ED">
        <w:t xml:space="preserve">the </w:t>
      </w:r>
      <w:r w:rsidR="00B4265F" w:rsidRPr="003F46ED">
        <w:t>senior secondary years</w:t>
      </w:r>
      <w:r w:rsidR="0072489B" w:rsidRPr="003F46ED">
        <w:t>.</w:t>
      </w:r>
      <w:bookmarkEnd w:id="92"/>
    </w:p>
    <w:p w14:paraId="0D71726A" w14:textId="77777777" w:rsidR="007B1D45" w:rsidRPr="003F46ED" w:rsidRDefault="001531E6" w:rsidP="00B30583">
      <w:bookmarkStart w:id="93" w:name="_Toc402180298"/>
      <w:r w:rsidRPr="003F46ED">
        <w:t>The research</w:t>
      </w:r>
      <w:r w:rsidR="00B4265F" w:rsidRPr="003F46ED">
        <w:t xml:space="preserve"> </w:t>
      </w:r>
      <w:r w:rsidR="00693153" w:rsidRPr="003F46ED">
        <w:t>provides</w:t>
      </w:r>
      <w:r w:rsidRPr="003F46ED">
        <w:t xml:space="preserve"> </w:t>
      </w:r>
      <w:r w:rsidR="00B4265F" w:rsidRPr="003F46ED">
        <w:t>a comprehensive national snapshot of senior secondary languages education in Australia (see ‘National snapshot of senior secondary languages education’ below and the ‘</w:t>
      </w:r>
      <w:r w:rsidR="00B30419" w:rsidRPr="003F46ED">
        <w:t>Policy and literature</w:t>
      </w:r>
      <w:r w:rsidR="00B4265F" w:rsidRPr="003F46ED">
        <w:t xml:space="preserve"> review’ in Attachment 1).</w:t>
      </w:r>
      <w:bookmarkEnd w:id="93"/>
    </w:p>
    <w:p w14:paraId="1081D1A0" w14:textId="77777777" w:rsidR="007B1D45" w:rsidRPr="003F46ED" w:rsidRDefault="00CF5866" w:rsidP="00E22FCF">
      <w:pPr>
        <w:pStyle w:val="Heading2"/>
      </w:pPr>
      <w:bookmarkStart w:id="94" w:name="_Toc402180299"/>
      <w:bookmarkStart w:id="95" w:name="_Toc276245086"/>
      <w:bookmarkStart w:id="96" w:name="_Toc445305256"/>
      <w:r w:rsidRPr="003F46ED">
        <w:t>Research questions</w:t>
      </w:r>
      <w:bookmarkEnd w:id="94"/>
      <w:bookmarkEnd w:id="95"/>
      <w:bookmarkEnd w:id="96"/>
    </w:p>
    <w:p w14:paraId="284D15DD" w14:textId="77777777" w:rsidR="007B1D45" w:rsidRPr="003F46ED" w:rsidRDefault="00B4265F" w:rsidP="00B30583">
      <w:bookmarkStart w:id="97" w:name="_Toc402180300"/>
      <w:r w:rsidRPr="003F46ED">
        <w:t>The research used the following questions as a guide.</w:t>
      </w:r>
      <w:r w:rsidR="007E0FAC" w:rsidRPr="003F46ED">
        <w:t xml:space="preserve"> It has indicated that increasing senior secondary languages </w:t>
      </w:r>
      <w:r w:rsidR="008A748B" w:rsidRPr="003F46ED">
        <w:t xml:space="preserve">enrolments does not involve </w:t>
      </w:r>
      <w:r w:rsidR="007E0FAC" w:rsidRPr="003F46ED">
        <w:t>a one-dimensional solution of simply encouraging more students to choose languages at Years 11 and 12. Rather, it involves both bu</w:t>
      </w:r>
      <w:r w:rsidR="000F0B61" w:rsidRPr="003F46ED">
        <w:t>ilding demand and supply</w:t>
      </w:r>
      <w:r w:rsidR="007E0FAC" w:rsidRPr="003F46ED">
        <w:t>, recognising these as interlinked.</w:t>
      </w:r>
      <w:bookmarkEnd w:id="97"/>
    </w:p>
    <w:p w14:paraId="05535589" w14:textId="77777777" w:rsidR="007B1D45" w:rsidRPr="003F46ED" w:rsidRDefault="006C0E73" w:rsidP="00B30583">
      <w:bookmarkStart w:id="98" w:name="_Toc402180301"/>
      <w:r w:rsidRPr="003F46ED">
        <w:t>Key questions and sub-questions</w:t>
      </w:r>
      <w:bookmarkEnd w:id="98"/>
    </w:p>
    <w:p w14:paraId="16F9C8ED" w14:textId="304C9741" w:rsidR="00B4265F" w:rsidRPr="003F46ED" w:rsidRDefault="00B4265F" w:rsidP="006E7371">
      <w:pPr>
        <w:pStyle w:val="ListParagraph"/>
        <w:numPr>
          <w:ilvl w:val="0"/>
          <w:numId w:val="2"/>
        </w:numPr>
      </w:pPr>
      <w:bookmarkStart w:id="99" w:name="_Toc402180302"/>
      <w:r w:rsidRPr="003F46ED">
        <w:t>How do factors, both intrinsic and extrinsic to a student, interplay to influence enrolment in senior secondary languages?</w:t>
      </w:r>
      <w:bookmarkEnd w:id="99"/>
      <w:r w:rsidRPr="003F46ED">
        <w:t xml:space="preserve"> </w:t>
      </w:r>
    </w:p>
    <w:p w14:paraId="079DE0C7" w14:textId="77777777" w:rsidR="00D6504A" w:rsidRPr="003F46ED" w:rsidRDefault="00D6504A" w:rsidP="00F666F6">
      <w:pPr>
        <w:pStyle w:val="ListParagraph"/>
        <w:numPr>
          <w:ilvl w:val="1"/>
          <w:numId w:val="20"/>
        </w:numPr>
        <w:ind w:left="432"/>
      </w:pPr>
      <w:bookmarkStart w:id="100" w:name="_Toc402180303"/>
      <w:r w:rsidRPr="003F46ED">
        <w:t>What does the research literature say about the take up of languages study in schools and student subject choice in Years 11 and 12?</w:t>
      </w:r>
      <w:bookmarkEnd w:id="100"/>
    </w:p>
    <w:p w14:paraId="4EC4DA01" w14:textId="77777777" w:rsidR="00D6504A" w:rsidRPr="003F46ED" w:rsidRDefault="00D6504A" w:rsidP="00F666F6">
      <w:pPr>
        <w:pStyle w:val="ListParagraph"/>
        <w:numPr>
          <w:ilvl w:val="1"/>
          <w:numId w:val="20"/>
        </w:numPr>
        <w:ind w:left="432"/>
      </w:pPr>
      <w:bookmarkStart w:id="101" w:name="_Toc402180304"/>
      <w:r w:rsidRPr="003F46ED">
        <w:t>What are the main barriers for Australian students to undertake languages study in Years 11 and 12?</w:t>
      </w:r>
      <w:bookmarkEnd w:id="101"/>
    </w:p>
    <w:p w14:paraId="70EC3C8A" w14:textId="77777777" w:rsidR="00D6504A" w:rsidRPr="003F46ED" w:rsidRDefault="00D6504A" w:rsidP="00F666F6">
      <w:pPr>
        <w:pStyle w:val="ListParagraph"/>
        <w:numPr>
          <w:ilvl w:val="1"/>
          <w:numId w:val="20"/>
        </w:numPr>
        <w:ind w:left="432"/>
      </w:pPr>
      <w:bookmarkStart w:id="102" w:name="_Toc402180305"/>
      <w:r w:rsidRPr="003F46ED">
        <w:t>What are the main enablers for Australian students to undertake languages study in Years 11 and 12? How have these been supported in state/territory jurisdictions so far?</w:t>
      </w:r>
      <w:bookmarkEnd w:id="102"/>
    </w:p>
    <w:p w14:paraId="31DB74B7" w14:textId="77777777" w:rsidR="00D6504A" w:rsidRPr="003F46ED" w:rsidRDefault="00D6504A" w:rsidP="00F666F6">
      <w:pPr>
        <w:pStyle w:val="ListParagraph"/>
        <w:numPr>
          <w:ilvl w:val="1"/>
          <w:numId w:val="20"/>
        </w:numPr>
        <w:ind w:left="432"/>
      </w:pPr>
      <w:bookmarkStart w:id="103" w:name="_Toc402180306"/>
      <w:r w:rsidRPr="003F46ED">
        <w:t>What can be said about the efficacy of relevant policies and initiatives to improve the take up of senior secondary languages study?</w:t>
      </w:r>
      <w:bookmarkEnd w:id="103"/>
    </w:p>
    <w:p w14:paraId="4B19709D" w14:textId="77777777" w:rsidR="00D6504A" w:rsidRPr="003F46ED" w:rsidRDefault="00D6504A" w:rsidP="00F666F6">
      <w:pPr>
        <w:pStyle w:val="ListParagraph"/>
        <w:numPr>
          <w:ilvl w:val="1"/>
          <w:numId w:val="20"/>
        </w:numPr>
        <w:ind w:left="432"/>
      </w:pPr>
      <w:bookmarkStart w:id="104" w:name="_Toc402180307"/>
      <w:r w:rsidRPr="003F46ED">
        <w:t>How are the demand and supply sides of languages education connected in Australia?</w:t>
      </w:r>
      <w:bookmarkEnd w:id="104"/>
    </w:p>
    <w:p w14:paraId="02396429" w14:textId="77777777" w:rsidR="007B1D45" w:rsidRPr="003F46ED" w:rsidRDefault="00A8509F" w:rsidP="006E7371">
      <w:pPr>
        <w:pStyle w:val="ListParagraph"/>
        <w:numPr>
          <w:ilvl w:val="0"/>
          <w:numId w:val="2"/>
        </w:numPr>
      </w:pPr>
      <w:bookmarkStart w:id="105" w:name="_Toc402180308"/>
      <w:r w:rsidRPr="003F46ED">
        <w:t>How can Australian g</w:t>
      </w:r>
      <w:r w:rsidR="00B4265F" w:rsidRPr="003F46ED">
        <w:t xml:space="preserve">overnments work </w:t>
      </w:r>
      <w:r w:rsidR="00E461E4" w:rsidRPr="003F46ED">
        <w:t xml:space="preserve">practically with key </w:t>
      </w:r>
      <w:r w:rsidR="00B4265F" w:rsidRPr="003F46ED">
        <w:t>stakeholders</w:t>
      </w:r>
      <w:r w:rsidR="007306B3" w:rsidRPr="003F46ED">
        <w:t xml:space="preserve"> (</w:t>
      </w:r>
      <w:r w:rsidR="00B4265F" w:rsidRPr="003F46ED">
        <w:t xml:space="preserve">including principals and teachers, high school students, parents, business, tertiary </w:t>
      </w:r>
      <w:r w:rsidR="00E461E4" w:rsidRPr="003F46ED">
        <w:t xml:space="preserve">education </w:t>
      </w:r>
      <w:r w:rsidR="00B4265F" w:rsidRPr="003F46ED">
        <w:t>sect</w:t>
      </w:r>
      <w:r w:rsidR="00E461E4" w:rsidRPr="003F46ED">
        <w:t>or</w:t>
      </w:r>
      <w:r w:rsidR="00B4265F" w:rsidRPr="003F46ED">
        <w:t xml:space="preserve"> and the broader community) to encourage and enable more students to </w:t>
      </w:r>
      <w:r w:rsidR="009C7DF9" w:rsidRPr="003F46ED">
        <w:t>study languages in the senior secondary years</w:t>
      </w:r>
      <w:r w:rsidR="00B4265F" w:rsidRPr="003F46ED">
        <w:t>?</w:t>
      </w:r>
      <w:bookmarkEnd w:id="105"/>
    </w:p>
    <w:p w14:paraId="767CAEF8" w14:textId="77777777" w:rsidR="007B1D45" w:rsidRPr="003F46ED" w:rsidRDefault="007D205E" w:rsidP="00B30583">
      <w:bookmarkStart w:id="106" w:name="_Toc402180309"/>
      <w:r w:rsidRPr="003F46ED">
        <w:t xml:space="preserve">Increasing senior secondary languages enrolments – more than </w:t>
      </w:r>
      <w:r w:rsidR="00425019" w:rsidRPr="003F46ED">
        <w:t xml:space="preserve">student </w:t>
      </w:r>
      <w:r w:rsidR="00CE415A" w:rsidRPr="003F46ED">
        <w:t>‘continuity’ and</w:t>
      </w:r>
      <w:r w:rsidRPr="003F46ED">
        <w:t xml:space="preserve"> ‘retention’</w:t>
      </w:r>
      <w:bookmarkEnd w:id="106"/>
    </w:p>
    <w:p w14:paraId="65418F0F" w14:textId="6EC42998" w:rsidR="00785833" w:rsidRPr="003F46ED" w:rsidRDefault="00BB47C5" w:rsidP="00B30583">
      <w:bookmarkStart w:id="107" w:name="_Toc402180310"/>
      <w:r w:rsidRPr="003F46ED">
        <w:lastRenderedPageBreak/>
        <w:t xml:space="preserve">In this research, </w:t>
      </w:r>
      <w:r w:rsidR="00FE04DE" w:rsidRPr="003F46ED">
        <w:t xml:space="preserve">encouraging and </w:t>
      </w:r>
      <w:r w:rsidRPr="003F46ED">
        <w:t>e</w:t>
      </w:r>
      <w:r w:rsidR="007D205E" w:rsidRPr="003F46ED">
        <w:t xml:space="preserve">nabling more senior secondary students to study languages is </w:t>
      </w:r>
      <w:r w:rsidRPr="003F46ED">
        <w:t xml:space="preserve">seen as being </w:t>
      </w:r>
      <w:r w:rsidR="007D205E" w:rsidRPr="003F46ED">
        <w:t xml:space="preserve">broader than the notion of student ‘continuity’ from the Early Years to Year 10 or </w:t>
      </w:r>
      <w:r w:rsidRPr="003F46ED">
        <w:t xml:space="preserve">student </w:t>
      </w:r>
      <w:r w:rsidR="007D205E" w:rsidRPr="003F46ED">
        <w:t xml:space="preserve">‘retention’ </w:t>
      </w:r>
      <w:r w:rsidRPr="003F46ED">
        <w:t>in languages</w:t>
      </w:r>
      <w:r w:rsidR="00A43F0F" w:rsidRPr="003F46ED">
        <w:t xml:space="preserve"> at school</w:t>
      </w:r>
      <w:r w:rsidRPr="003F46ED">
        <w:t xml:space="preserve"> </w:t>
      </w:r>
      <w:r w:rsidR="007D205E" w:rsidRPr="003F46ED">
        <w:t xml:space="preserve">into </w:t>
      </w:r>
      <w:r w:rsidR="00FE04DE" w:rsidRPr="003F46ED">
        <w:t xml:space="preserve">the </w:t>
      </w:r>
      <w:r w:rsidR="007D205E" w:rsidRPr="003F46ED">
        <w:t>senior secondary</w:t>
      </w:r>
      <w:r w:rsidR="00FE04DE" w:rsidRPr="003F46ED">
        <w:t xml:space="preserve"> years</w:t>
      </w:r>
      <w:r w:rsidR="007D205E" w:rsidRPr="003F46ED">
        <w:t xml:space="preserve">. </w:t>
      </w:r>
      <w:r w:rsidR="00FE04DE" w:rsidRPr="003F46ED">
        <w:t xml:space="preserve">Focusing on </w:t>
      </w:r>
      <w:r w:rsidR="00785833" w:rsidRPr="003F46ED">
        <w:t>continuity and</w:t>
      </w:r>
      <w:r w:rsidR="00FE04DE" w:rsidRPr="003F46ED">
        <w:t xml:space="preserve"> retention</w:t>
      </w:r>
      <w:r w:rsidR="00785833" w:rsidRPr="003F46ED">
        <w:t xml:space="preserve"> only</w:t>
      </w:r>
      <w:r w:rsidR="00FE04DE" w:rsidRPr="003F46ED">
        <w:t xml:space="preserve"> excludes particular groups of students who </w:t>
      </w:r>
      <w:r w:rsidR="002512CD" w:rsidRPr="003F46ED">
        <w:t xml:space="preserve">might or could be </w:t>
      </w:r>
      <w:r w:rsidR="00FE04DE" w:rsidRPr="003F46ED">
        <w:t>studying languages for senior certification.</w:t>
      </w:r>
      <w:bookmarkEnd w:id="107"/>
      <w:r w:rsidR="00FE04DE" w:rsidRPr="003F46ED">
        <w:t xml:space="preserve"> </w:t>
      </w:r>
    </w:p>
    <w:p w14:paraId="52643253" w14:textId="77777777" w:rsidR="007B1D45" w:rsidRPr="003F46ED" w:rsidRDefault="00785833" w:rsidP="00B30583">
      <w:bookmarkStart w:id="108" w:name="_Toc402180311"/>
      <w:r w:rsidRPr="003F46ED">
        <w:t>In this research, o</w:t>
      </w:r>
      <w:r w:rsidR="007D205E" w:rsidRPr="003F46ED">
        <w:t>pportunities for students to recommence, start a completely new language</w:t>
      </w:r>
      <w:r w:rsidR="00973BA0" w:rsidRPr="003F46ED">
        <w:t xml:space="preserve"> </w:t>
      </w:r>
      <w:r w:rsidR="007D205E" w:rsidRPr="003F46ED">
        <w:t>or gain specific language accreditation in a non-school context</w:t>
      </w:r>
      <w:r w:rsidR="000D0188" w:rsidRPr="003F46ED">
        <w:t xml:space="preserve"> </w:t>
      </w:r>
      <w:r w:rsidR="00607356" w:rsidRPr="003F46ED">
        <w:t xml:space="preserve">– </w:t>
      </w:r>
      <w:r w:rsidR="000D0188" w:rsidRPr="003F46ED">
        <w:t>for</w:t>
      </w:r>
      <w:r w:rsidR="00607356" w:rsidRPr="003F46ED">
        <w:t xml:space="preserve"> </w:t>
      </w:r>
      <w:r w:rsidR="000D0188" w:rsidRPr="003F46ED">
        <w:t xml:space="preserve">senior </w:t>
      </w:r>
      <w:r w:rsidR="00A1236E" w:rsidRPr="003F46ED">
        <w:t xml:space="preserve">secondary </w:t>
      </w:r>
      <w:r w:rsidR="0042035F" w:rsidRPr="003F46ED">
        <w:t>certification</w:t>
      </w:r>
      <w:r w:rsidR="00607356" w:rsidRPr="003F46ED">
        <w:t xml:space="preserve"> –</w:t>
      </w:r>
      <w:r w:rsidR="007D205E" w:rsidRPr="003F46ED">
        <w:t xml:space="preserve"> have</w:t>
      </w:r>
      <w:r w:rsidR="00607356" w:rsidRPr="003F46ED">
        <w:t xml:space="preserve"> </w:t>
      </w:r>
      <w:r w:rsidR="007D205E" w:rsidRPr="003F46ED">
        <w:t>also been taken into account</w:t>
      </w:r>
      <w:r w:rsidR="0042035F" w:rsidRPr="003F46ED">
        <w:t xml:space="preserve">. </w:t>
      </w:r>
      <w:r w:rsidR="00BC2F4D" w:rsidRPr="003F46ED">
        <w:t>This broader view is required to scale up senior secondary languages enrolments substantially over time</w:t>
      </w:r>
      <w:r w:rsidR="001A16EF" w:rsidRPr="003F46ED">
        <w:t>.</w:t>
      </w:r>
      <w:bookmarkEnd w:id="108"/>
    </w:p>
    <w:p w14:paraId="2D23B98F" w14:textId="77777777" w:rsidR="007B1D45" w:rsidRPr="003F46ED" w:rsidRDefault="00F968CE" w:rsidP="00E22FCF">
      <w:pPr>
        <w:pStyle w:val="Heading2"/>
      </w:pPr>
      <w:bookmarkStart w:id="109" w:name="_Toc402180312"/>
      <w:bookmarkStart w:id="110" w:name="_Toc276245087"/>
      <w:bookmarkStart w:id="111" w:name="_Toc445305257"/>
      <w:r w:rsidRPr="003F46ED">
        <w:t>Scope of the recommendations</w:t>
      </w:r>
      <w:bookmarkEnd w:id="109"/>
      <w:bookmarkEnd w:id="110"/>
      <w:bookmarkEnd w:id="111"/>
    </w:p>
    <w:p w14:paraId="603837B0" w14:textId="77777777" w:rsidR="007B1D45" w:rsidRPr="003F46ED" w:rsidRDefault="003C4B7F" w:rsidP="00B30583">
      <w:bookmarkStart w:id="112" w:name="_Toc402180313"/>
      <w:r w:rsidRPr="003F46ED">
        <w:t xml:space="preserve">The recommendations proposed in this research are intended for </w:t>
      </w:r>
      <w:r w:rsidR="00A8509F" w:rsidRPr="003F46ED">
        <w:t>Australian g</w:t>
      </w:r>
      <w:r w:rsidRPr="003F46ED">
        <w:t>overnments to consider and act upon. The role of the Commonwealth and state/territory governments will differ depending on the recommendation. Some recommendations will require a high level of commitment and support in order to be implemented. It is also understood that some of the recommendations will require commitment</w:t>
      </w:r>
      <w:r w:rsidR="002E29D0" w:rsidRPr="003F46ED">
        <w:t xml:space="preserve"> and collaborative work</w:t>
      </w:r>
      <w:r w:rsidRPr="003F46ED">
        <w:t xml:space="preserve"> across governments and school communities.</w:t>
      </w:r>
      <w:r w:rsidR="002E29D0" w:rsidRPr="003F46ED">
        <w:t xml:space="preserve"> This will involve further and different action through the relevant channels, such as the Education Council and state/territory education </w:t>
      </w:r>
      <w:r w:rsidR="00780090" w:rsidRPr="003F46ED">
        <w:t>authorities</w:t>
      </w:r>
      <w:r w:rsidR="002E29D0" w:rsidRPr="003F46ED">
        <w:t>.</w:t>
      </w:r>
      <w:bookmarkEnd w:id="112"/>
    </w:p>
    <w:p w14:paraId="64B1F905" w14:textId="77777777" w:rsidR="007B1D45" w:rsidRPr="003F46ED" w:rsidRDefault="00430953" w:rsidP="00B30583">
      <w:r w:rsidRPr="003F46ED">
        <w:t xml:space="preserve">All recommendations (except for Recommendation 2.3, which was developed later) have been socialised with state/territory education </w:t>
      </w:r>
      <w:r w:rsidR="00E25A68" w:rsidRPr="003F46ED">
        <w:t>departments and curriculum authorities</w:t>
      </w:r>
      <w:r w:rsidRPr="003F46ED">
        <w:t xml:space="preserve">, </w:t>
      </w:r>
      <w:r w:rsidR="00E25A68" w:rsidRPr="003F46ED">
        <w:t xml:space="preserve">the </w:t>
      </w:r>
      <w:r w:rsidR="00101D25" w:rsidRPr="003F46ED">
        <w:t xml:space="preserve">Catholic and Independent </w:t>
      </w:r>
      <w:r w:rsidRPr="003F46ED">
        <w:t xml:space="preserve">sectors, </w:t>
      </w:r>
      <w:r w:rsidR="002678CC" w:rsidRPr="003F46ED">
        <w:t>the Australian Institute for Teaching and School Leadership (</w:t>
      </w:r>
      <w:r w:rsidRPr="003F46ED">
        <w:t>AITSL</w:t>
      </w:r>
      <w:r w:rsidR="002678CC" w:rsidRPr="003F46ED">
        <w:t>)</w:t>
      </w:r>
      <w:r w:rsidRPr="003F46ED">
        <w:t xml:space="preserve">, ESA, </w:t>
      </w:r>
      <w:r w:rsidR="007522A8" w:rsidRPr="003F46ED">
        <w:rPr>
          <w:rFonts w:cs="Calibri"/>
        </w:rPr>
        <w:t>the Australian Federation of Modern Language Teachers Associations (</w:t>
      </w:r>
      <w:proofErr w:type="spellStart"/>
      <w:r w:rsidR="007522A8" w:rsidRPr="003F46ED">
        <w:rPr>
          <w:rFonts w:cs="Calibri"/>
        </w:rPr>
        <w:t>AFMLTA</w:t>
      </w:r>
      <w:proofErr w:type="spellEnd"/>
      <w:r w:rsidR="007522A8" w:rsidRPr="003F46ED">
        <w:rPr>
          <w:rFonts w:cs="Calibri"/>
        </w:rPr>
        <w:t>) and the Australian Professional Teachers Association (</w:t>
      </w:r>
      <w:proofErr w:type="spellStart"/>
      <w:r w:rsidR="007522A8" w:rsidRPr="003F46ED">
        <w:rPr>
          <w:rFonts w:cs="Calibri"/>
        </w:rPr>
        <w:t>APTA</w:t>
      </w:r>
      <w:proofErr w:type="spellEnd"/>
      <w:r w:rsidR="007522A8" w:rsidRPr="003F46ED">
        <w:rPr>
          <w:rFonts w:cs="Calibri"/>
        </w:rPr>
        <w:t>)</w:t>
      </w:r>
      <w:r w:rsidRPr="003F46ED">
        <w:t>. This socialisation process occurred during the final round of</w:t>
      </w:r>
      <w:r w:rsidR="00F5386F" w:rsidRPr="003F46ED">
        <w:t xml:space="preserve"> </w:t>
      </w:r>
      <w:r w:rsidR="00E4369B" w:rsidRPr="003F46ED">
        <w:t>consultations conducted for the</w:t>
      </w:r>
      <w:r w:rsidR="00F5386F" w:rsidRPr="003F46ED">
        <w:t xml:space="preserve"> research</w:t>
      </w:r>
      <w:r w:rsidRPr="003F46ED">
        <w:t xml:space="preserve">. They represent </w:t>
      </w:r>
      <w:r w:rsidR="004C171C" w:rsidRPr="003F46ED">
        <w:t>shared</w:t>
      </w:r>
      <w:r w:rsidRPr="003F46ED">
        <w:t xml:space="preserve"> issues of interest and concern.</w:t>
      </w:r>
    </w:p>
    <w:p w14:paraId="25C69CD3" w14:textId="67BD4FF9" w:rsidR="00F968CE" w:rsidRPr="003F46ED" w:rsidRDefault="00F968CE" w:rsidP="00B30583">
      <w:pPr>
        <w:sectPr w:rsidR="00F968CE" w:rsidRPr="003F46ED" w:rsidSect="00665CB6">
          <w:pgSz w:w="11900" w:h="16840"/>
          <w:pgMar w:top="1985" w:right="1134" w:bottom="1440" w:left="1134" w:header="709" w:footer="709" w:gutter="0"/>
          <w:cols w:space="720"/>
          <w:docGrid w:linePitch="299"/>
        </w:sectPr>
      </w:pPr>
    </w:p>
    <w:p w14:paraId="2F557518" w14:textId="77777777" w:rsidR="007B1D45" w:rsidRPr="003F46ED" w:rsidRDefault="0012059A" w:rsidP="00880FD8">
      <w:pPr>
        <w:pStyle w:val="Heading1"/>
      </w:pPr>
      <w:bookmarkStart w:id="113" w:name="_Toc273790532"/>
      <w:bookmarkStart w:id="114" w:name="_Toc402180314"/>
      <w:bookmarkStart w:id="115" w:name="_Toc276245088"/>
      <w:bookmarkStart w:id="116" w:name="_Toc445305258"/>
      <w:r w:rsidRPr="003F46ED">
        <w:lastRenderedPageBreak/>
        <w:t>2. R</w:t>
      </w:r>
      <w:r w:rsidR="00B00CC2" w:rsidRPr="003F46ED">
        <w:t>esearch design</w:t>
      </w:r>
      <w:bookmarkEnd w:id="113"/>
      <w:bookmarkEnd w:id="114"/>
      <w:bookmarkEnd w:id="115"/>
      <w:bookmarkEnd w:id="116"/>
    </w:p>
    <w:p w14:paraId="0B7819EF" w14:textId="77777777" w:rsidR="00EC3A4D" w:rsidRPr="003F46ED" w:rsidRDefault="00BB3F07" w:rsidP="00B30583">
      <w:bookmarkStart w:id="117" w:name="_Toc402180315"/>
      <w:r w:rsidRPr="003F46ED">
        <w:t xml:space="preserve">This section </w:t>
      </w:r>
      <w:r w:rsidR="00EC3A4D" w:rsidRPr="003F46ED">
        <w:t>explains</w:t>
      </w:r>
      <w:r w:rsidRPr="003F46ED">
        <w:t xml:space="preserve"> the overall design of the research and the rationale for its particular approach. </w:t>
      </w:r>
      <w:r w:rsidR="00EC3A4D" w:rsidRPr="003F46ED">
        <w:t>It incorporates discussion on:</w:t>
      </w:r>
      <w:bookmarkEnd w:id="117"/>
      <w:r w:rsidR="00EC3A4D" w:rsidRPr="003F46ED">
        <w:t xml:space="preserve"> </w:t>
      </w:r>
    </w:p>
    <w:p w14:paraId="1987AEA8" w14:textId="77777777" w:rsidR="00BB3F07" w:rsidRPr="003F46ED" w:rsidRDefault="00EC3A4D" w:rsidP="00715217">
      <w:pPr>
        <w:pStyle w:val="ListParagraph"/>
        <w:ind w:left="360"/>
      </w:pPr>
      <w:bookmarkStart w:id="118" w:name="_Toc402180316"/>
      <w:r w:rsidRPr="003F46ED">
        <w:t>research methodology (standpoint)</w:t>
      </w:r>
      <w:r w:rsidR="009A08E6" w:rsidRPr="003F46ED">
        <w:t xml:space="preserve"> and </w:t>
      </w:r>
      <w:r w:rsidRPr="003F46ED">
        <w:t>conceptual framework (lens through which the topic of the research is viewed and deconstructed)</w:t>
      </w:r>
      <w:bookmarkEnd w:id="118"/>
    </w:p>
    <w:p w14:paraId="05442BCA" w14:textId="77777777" w:rsidR="00EC3A4D" w:rsidRPr="003F46ED" w:rsidRDefault="009A08E6" w:rsidP="00715217">
      <w:pPr>
        <w:pStyle w:val="ListParagraph"/>
        <w:ind w:left="360"/>
      </w:pPr>
      <w:bookmarkStart w:id="119" w:name="_Toc402180317"/>
      <w:proofErr w:type="gramStart"/>
      <w:r w:rsidRPr="003F46ED">
        <w:t>data</w:t>
      </w:r>
      <w:proofErr w:type="gramEnd"/>
      <w:r w:rsidRPr="003F46ED">
        <w:t xml:space="preserve"> collection and analysis methods</w:t>
      </w:r>
      <w:r w:rsidR="00895A85" w:rsidRPr="003F46ED">
        <w:t>, including</w:t>
      </w:r>
      <w:r w:rsidR="00966917" w:rsidRPr="003F46ED">
        <w:t xml:space="preserve"> </w:t>
      </w:r>
      <w:r w:rsidR="00CD5233" w:rsidRPr="003F46ED">
        <w:t xml:space="preserve">details on </w:t>
      </w:r>
      <w:r w:rsidR="00966917" w:rsidRPr="003F46ED">
        <w:t xml:space="preserve">qualitative and quantitative data generated, research collaborators, phases of data collection and generation, survey design, sampling (quantitative) and recruitment (qualitative), </w:t>
      </w:r>
      <w:r w:rsidR="00445B0F" w:rsidRPr="003F46ED">
        <w:t xml:space="preserve">and </w:t>
      </w:r>
      <w:r w:rsidR="00CD5233" w:rsidRPr="003F46ED">
        <w:t xml:space="preserve">the </w:t>
      </w:r>
      <w:r w:rsidR="00445B0F" w:rsidRPr="003F46ED">
        <w:t>data analysis</w:t>
      </w:r>
      <w:r w:rsidR="00B33AE0" w:rsidRPr="003F46ED">
        <w:t xml:space="preserve"> framework</w:t>
      </w:r>
      <w:r w:rsidR="00CD5233" w:rsidRPr="003F46ED">
        <w:t xml:space="preserve"> used</w:t>
      </w:r>
      <w:r w:rsidR="00445B0F" w:rsidRPr="003F46ED">
        <w:t>.</w:t>
      </w:r>
      <w:bookmarkEnd w:id="119"/>
    </w:p>
    <w:p w14:paraId="698AD445" w14:textId="77777777" w:rsidR="007B1D45" w:rsidRPr="003F46ED" w:rsidRDefault="00851A81" w:rsidP="00B30583">
      <w:bookmarkStart w:id="120" w:name="_Toc402180318"/>
      <w:r w:rsidRPr="003F46ED">
        <w:t xml:space="preserve">As part of the research, </w:t>
      </w:r>
      <w:r w:rsidR="00EB7EA9" w:rsidRPr="003F46ED">
        <w:t>Asia Education Foundation (</w:t>
      </w:r>
      <w:r w:rsidR="00231596" w:rsidRPr="003F46ED">
        <w:t>AEF</w:t>
      </w:r>
      <w:r w:rsidR="00EB7EA9" w:rsidRPr="003F46ED">
        <w:t>)</w:t>
      </w:r>
      <w:r w:rsidR="00231596" w:rsidRPr="003F46ED">
        <w:t xml:space="preserve"> was required to consult with the Australasian Curriculum, Assessment and Certification Authorities (</w:t>
      </w:r>
      <w:proofErr w:type="spellStart"/>
      <w:r w:rsidR="00231596" w:rsidRPr="003F46ED">
        <w:t>ACACA</w:t>
      </w:r>
      <w:proofErr w:type="spellEnd"/>
      <w:r w:rsidR="00231596" w:rsidRPr="003F46ED">
        <w:t xml:space="preserve">), state/territory education departments, non-government education authorities, </w:t>
      </w:r>
      <w:proofErr w:type="spellStart"/>
      <w:r w:rsidR="00231596" w:rsidRPr="003F46ED">
        <w:t>AFMLTA</w:t>
      </w:r>
      <w:proofErr w:type="spellEnd"/>
      <w:r w:rsidR="007522A8" w:rsidRPr="003F46ED">
        <w:t xml:space="preserve">, </w:t>
      </w:r>
      <w:proofErr w:type="spellStart"/>
      <w:r w:rsidR="00231596" w:rsidRPr="003F46ED">
        <w:t>APTA</w:t>
      </w:r>
      <w:proofErr w:type="spellEnd"/>
      <w:r w:rsidR="00231596" w:rsidRPr="003F46ED">
        <w:t xml:space="preserve"> and any other relevant stakeholders.</w:t>
      </w:r>
      <w:bookmarkEnd w:id="120"/>
    </w:p>
    <w:p w14:paraId="717BFDAF" w14:textId="77777777" w:rsidR="007B1D45" w:rsidRPr="003F46ED" w:rsidRDefault="00B00CC2" w:rsidP="00B30583">
      <w:bookmarkStart w:id="121" w:name="_Toc402180319"/>
      <w:r w:rsidRPr="003F46ED">
        <w:t xml:space="preserve">AEF employed a collaborative approach to scoping the research. An initial scoping group met in Melbourne on 11 February 2014 to assist in refining a research plan. The group included representatives from the Australian Government Department of Education, ACER, </w:t>
      </w:r>
      <w:proofErr w:type="spellStart"/>
      <w:r w:rsidRPr="003F46ED">
        <w:t>AFMLTA</w:t>
      </w:r>
      <w:proofErr w:type="spellEnd"/>
      <w:r w:rsidRPr="003F46ED">
        <w:t>, University of South Australia, Monash Un</w:t>
      </w:r>
      <w:r w:rsidR="00C36BDB" w:rsidRPr="003F46ED">
        <w:t>iversity</w:t>
      </w:r>
      <w:r w:rsidRPr="003F46ED">
        <w:t xml:space="preserve"> and the Australian Parents Council. For more information about this initial scoping group, </w:t>
      </w:r>
      <w:r w:rsidR="00C36BDB" w:rsidRPr="003F46ED">
        <w:t>see</w:t>
      </w:r>
      <w:r w:rsidRPr="003F46ED">
        <w:t xml:space="preserve"> Attachment 5.</w:t>
      </w:r>
      <w:bookmarkEnd w:id="121"/>
    </w:p>
    <w:p w14:paraId="5DBA7CDC" w14:textId="0DFE57D3" w:rsidR="00B00CC2" w:rsidRPr="003F46ED" w:rsidRDefault="00496464" w:rsidP="00B30583">
      <w:bookmarkStart w:id="122" w:name="_Toc402180320"/>
      <w:r w:rsidRPr="003F46ED">
        <w:t>Feedback from the scoping group suggested a multi-faceted approach. Considerations informing development of the research design included:</w:t>
      </w:r>
      <w:bookmarkEnd w:id="122"/>
    </w:p>
    <w:p w14:paraId="5654E6C0" w14:textId="77777777" w:rsidR="00B00CC2" w:rsidRPr="003F46ED" w:rsidRDefault="00A74198" w:rsidP="00715217">
      <w:pPr>
        <w:pStyle w:val="ListParagraph"/>
        <w:ind w:left="360"/>
      </w:pPr>
      <w:bookmarkStart w:id="123" w:name="_Toc402180321"/>
      <w:r w:rsidRPr="003F46ED">
        <w:t>m</w:t>
      </w:r>
      <w:r w:rsidR="00B00CC2" w:rsidRPr="003F46ED">
        <w:t>ultiple stakeholder perspectives</w:t>
      </w:r>
      <w:bookmarkEnd w:id="123"/>
    </w:p>
    <w:p w14:paraId="122543FF" w14:textId="77777777" w:rsidR="00B00CC2" w:rsidRPr="003F46ED" w:rsidRDefault="00A74198" w:rsidP="00715217">
      <w:pPr>
        <w:pStyle w:val="ListParagraph"/>
        <w:ind w:left="360"/>
      </w:pPr>
      <w:bookmarkStart w:id="124" w:name="_Toc402180322"/>
      <w:r w:rsidRPr="003F46ED">
        <w:t>m</w:t>
      </w:r>
      <w:r w:rsidR="00B00CC2" w:rsidRPr="003F46ED">
        <w:t>ixed methods (quantitative and qualitative)</w:t>
      </w:r>
      <w:bookmarkEnd w:id="124"/>
    </w:p>
    <w:p w14:paraId="319B82B2" w14:textId="77777777" w:rsidR="007B1D45" w:rsidRPr="003F46ED" w:rsidRDefault="00A74198" w:rsidP="00715217">
      <w:pPr>
        <w:pStyle w:val="ListParagraph"/>
        <w:ind w:left="360"/>
      </w:pPr>
      <w:bookmarkStart w:id="125" w:name="_Toc402180323"/>
      <w:proofErr w:type="gramStart"/>
      <w:r w:rsidRPr="003F46ED">
        <w:t>a</w:t>
      </w:r>
      <w:proofErr w:type="gramEnd"/>
      <w:r w:rsidR="00B00CC2" w:rsidRPr="003F46ED">
        <w:t xml:space="preserve"> focus on both demand </w:t>
      </w:r>
      <w:r w:rsidR="00B00CC2" w:rsidRPr="003F46ED">
        <w:rPr>
          <w:i/>
        </w:rPr>
        <w:t>and</w:t>
      </w:r>
      <w:r w:rsidR="00B00CC2" w:rsidRPr="003F46ED">
        <w:t xml:space="preserve"> supply issues</w:t>
      </w:r>
      <w:r w:rsidR="009735A9" w:rsidRPr="003F46ED">
        <w:t>.</w:t>
      </w:r>
      <w:bookmarkEnd w:id="125"/>
    </w:p>
    <w:p w14:paraId="16A98415" w14:textId="77777777" w:rsidR="007B1D45" w:rsidRPr="003F46ED" w:rsidRDefault="00B00CC2" w:rsidP="00E22FCF">
      <w:pPr>
        <w:pStyle w:val="Heading2"/>
      </w:pPr>
      <w:bookmarkStart w:id="126" w:name="_Toc273790533"/>
      <w:bookmarkStart w:id="127" w:name="_Toc402180324"/>
      <w:bookmarkStart w:id="128" w:name="_Toc276245089"/>
      <w:bookmarkStart w:id="129" w:name="_Toc445305259"/>
      <w:r w:rsidRPr="003F46ED">
        <w:t>Methodology</w:t>
      </w:r>
      <w:bookmarkEnd w:id="126"/>
      <w:bookmarkEnd w:id="127"/>
      <w:bookmarkEnd w:id="128"/>
      <w:bookmarkEnd w:id="129"/>
    </w:p>
    <w:p w14:paraId="3747B9F9" w14:textId="77777777" w:rsidR="007B1D45" w:rsidRPr="003F46ED" w:rsidRDefault="00B3089E" w:rsidP="00B30583">
      <w:bookmarkStart w:id="130" w:name="_Toc402180325"/>
      <w:r w:rsidRPr="003F46ED">
        <w:t>Conceptual framework</w:t>
      </w:r>
      <w:bookmarkEnd w:id="130"/>
    </w:p>
    <w:p w14:paraId="4FCEEE0A" w14:textId="77777777" w:rsidR="007B1D45" w:rsidRPr="003F46ED" w:rsidRDefault="000248EC" w:rsidP="00B30583">
      <w:bookmarkStart w:id="131" w:name="_Toc402180326"/>
      <w:r w:rsidRPr="003F46ED">
        <w:t>The conceptual framework used in this research</w:t>
      </w:r>
      <w:r w:rsidR="001E349C" w:rsidRPr="003F46ED">
        <w:t xml:space="preserve"> –</w:t>
      </w:r>
      <w:r w:rsidRPr="003F46ED">
        <w:t xml:space="preserve"> to</w:t>
      </w:r>
      <w:r w:rsidR="001E349C" w:rsidRPr="003F46ED">
        <w:t xml:space="preserve"> </w:t>
      </w:r>
      <w:r w:rsidRPr="003F46ED">
        <w:t xml:space="preserve">view and deconstruct the problem of senior secondary languages enrolments </w:t>
      </w:r>
      <w:r w:rsidR="001E349C" w:rsidRPr="003F46ED">
        <w:t xml:space="preserve">– </w:t>
      </w:r>
      <w:r w:rsidR="00C430DE" w:rsidRPr="003F46ED">
        <w:t>is</w:t>
      </w:r>
      <w:r w:rsidR="001E349C" w:rsidRPr="003F46ED">
        <w:t xml:space="preserve"> </w:t>
      </w:r>
      <w:r w:rsidR="00C430DE" w:rsidRPr="003F46ED">
        <w:t>based on</w:t>
      </w:r>
      <w:r w:rsidR="0048226D" w:rsidRPr="003F46ED">
        <w:t xml:space="preserve"> the factors influencing </w:t>
      </w:r>
      <w:r w:rsidR="00840644" w:rsidRPr="003F46ED">
        <w:t xml:space="preserve">student </w:t>
      </w:r>
      <w:r w:rsidR="00B00CC2" w:rsidRPr="003F46ED">
        <w:t xml:space="preserve">subject choice </w:t>
      </w:r>
      <w:r w:rsidR="00B00CC2" w:rsidRPr="003F46ED">
        <w:rPr>
          <w:i/>
        </w:rPr>
        <w:t xml:space="preserve">combined with </w:t>
      </w:r>
      <w:r w:rsidR="00B00CC2" w:rsidRPr="003F46ED">
        <w:t>factors known to influence the study, or non-study, of languages at school</w:t>
      </w:r>
      <w:r w:rsidR="00F8562C" w:rsidRPr="003F46ED">
        <w:t>.</w:t>
      </w:r>
      <w:r w:rsidR="00B00CC2" w:rsidRPr="003F46ED">
        <w:t xml:space="preserve"> </w:t>
      </w:r>
      <w:r w:rsidR="00BD29D1" w:rsidRPr="003F46ED">
        <w:t>Subject c</w:t>
      </w:r>
      <w:r w:rsidR="00AD1CB0" w:rsidRPr="003F46ED">
        <w:t>hoice in this case refers to how</w:t>
      </w:r>
      <w:r w:rsidR="00D634F6" w:rsidRPr="003F46ED">
        <w:t xml:space="preserve"> and why</w:t>
      </w:r>
      <w:r w:rsidR="00BD29D1" w:rsidRPr="003F46ED">
        <w:t xml:space="preserve"> students choose </w:t>
      </w:r>
      <w:r w:rsidR="00C8561B" w:rsidRPr="003F46ED">
        <w:t xml:space="preserve">particular </w:t>
      </w:r>
      <w:r w:rsidR="00BD29D1" w:rsidRPr="003F46ED">
        <w:t>subjects for senior secondary certification.</w:t>
      </w:r>
      <w:bookmarkEnd w:id="131"/>
      <w:r w:rsidR="002D378C" w:rsidRPr="003F46ED">
        <w:t xml:space="preserve"> </w:t>
      </w:r>
    </w:p>
    <w:p w14:paraId="786ECD2D" w14:textId="77777777" w:rsidR="005F0317" w:rsidRDefault="005F0317">
      <w:pPr>
        <w:spacing w:after="0"/>
      </w:pPr>
      <w:bookmarkStart w:id="132" w:name="_Toc402180327"/>
      <w:r>
        <w:br w:type="page"/>
      </w:r>
    </w:p>
    <w:p w14:paraId="44CEF180" w14:textId="2E07B31B" w:rsidR="00C27F4B" w:rsidRPr="003F46ED" w:rsidRDefault="001044BB" w:rsidP="00B30583">
      <w:r w:rsidRPr="003F46ED">
        <w:lastRenderedPageBreak/>
        <w:t>Research indicates that</w:t>
      </w:r>
      <w:r w:rsidR="00AD1CB0" w:rsidRPr="003F46ED">
        <w:t xml:space="preserve"> s</w:t>
      </w:r>
      <w:r w:rsidR="00C27F4B" w:rsidRPr="003F46ED">
        <w:t>enior secondary subject choice reflects:</w:t>
      </w:r>
      <w:bookmarkEnd w:id="132"/>
    </w:p>
    <w:p w14:paraId="5213915E" w14:textId="77777777" w:rsidR="00C27F4B" w:rsidRPr="003F46ED" w:rsidRDefault="00B67E78" w:rsidP="00715217">
      <w:pPr>
        <w:pStyle w:val="ListParagraph"/>
        <w:ind w:left="360"/>
      </w:pPr>
      <w:bookmarkStart w:id="133" w:name="_Toc402180328"/>
      <w:r w:rsidRPr="003F46ED">
        <w:t xml:space="preserve">a student’s </w:t>
      </w:r>
      <w:r w:rsidR="00C27F4B" w:rsidRPr="003F46ED">
        <w:t>gradual focusing on a subject over time, reflected in progressive decision-making through school leading up to Years 11 and 12</w:t>
      </w:r>
      <w:bookmarkEnd w:id="133"/>
    </w:p>
    <w:p w14:paraId="53BCA321" w14:textId="77777777" w:rsidR="00C27F4B" w:rsidRPr="003F46ED" w:rsidRDefault="00C27F4B" w:rsidP="00715217">
      <w:pPr>
        <w:pStyle w:val="ListParagraph"/>
        <w:ind w:left="360"/>
      </w:pPr>
      <w:bookmarkStart w:id="134" w:name="_Toc402180329"/>
      <w:r w:rsidRPr="003F46ED">
        <w:t xml:space="preserve">the choices available and </w:t>
      </w:r>
      <w:r w:rsidR="00241630" w:rsidRPr="003F46ED">
        <w:t xml:space="preserve">the </w:t>
      </w:r>
      <w:r w:rsidRPr="003F46ED">
        <w:t>subject combinations possible</w:t>
      </w:r>
      <w:bookmarkEnd w:id="134"/>
    </w:p>
    <w:p w14:paraId="06CB1CFB" w14:textId="77777777" w:rsidR="00C27F4B" w:rsidRPr="003F46ED" w:rsidRDefault="00877C38" w:rsidP="00715217">
      <w:pPr>
        <w:pStyle w:val="ListParagraph"/>
        <w:ind w:left="360"/>
      </w:pPr>
      <w:bookmarkStart w:id="135" w:name="_Toc402180330"/>
      <w:r w:rsidRPr="003F46ED">
        <w:t xml:space="preserve">student </w:t>
      </w:r>
      <w:r w:rsidR="00C27F4B" w:rsidRPr="003F46ED">
        <w:t>ambitions, interests, aptitudes and competencies developed over time as a response to influences and experiences at school and beyond</w:t>
      </w:r>
      <w:bookmarkEnd w:id="135"/>
    </w:p>
    <w:p w14:paraId="3923838E" w14:textId="77777777" w:rsidR="00C27F4B" w:rsidRPr="003F46ED" w:rsidRDefault="00C27F4B" w:rsidP="00715217">
      <w:pPr>
        <w:pStyle w:val="ListParagraph"/>
        <w:ind w:left="360"/>
      </w:pPr>
      <w:bookmarkStart w:id="136" w:name="_Toc402180331"/>
      <w:r w:rsidRPr="003F46ED">
        <w:t>social groups and demographics, such as peer</w:t>
      </w:r>
      <w:r w:rsidR="00877C38" w:rsidRPr="003F46ED">
        <w:t>s</w:t>
      </w:r>
      <w:r w:rsidRPr="003F46ED">
        <w:t xml:space="preserve">, family, community, gender, culture, </w:t>
      </w:r>
      <w:r w:rsidR="00877C38" w:rsidRPr="003F46ED">
        <w:t xml:space="preserve">and </w:t>
      </w:r>
      <w:r w:rsidRPr="003F46ED">
        <w:t>ethno-linguistic and socio-economic background</w:t>
      </w:r>
      <w:bookmarkEnd w:id="136"/>
    </w:p>
    <w:p w14:paraId="227AA52C" w14:textId="77777777" w:rsidR="00C27F4B" w:rsidRPr="003F46ED" w:rsidRDefault="00C27F4B" w:rsidP="00715217">
      <w:pPr>
        <w:pStyle w:val="ListParagraph"/>
        <w:ind w:left="360"/>
      </w:pPr>
      <w:bookmarkStart w:id="137" w:name="_Toc402180332"/>
      <w:r w:rsidRPr="003F46ED">
        <w:t xml:space="preserve">concurrent constraints that operate within a school (including perceptions of teaching quality) and broader systemic issues </w:t>
      </w:r>
      <w:r w:rsidR="00657FEA" w:rsidRPr="003F46ED">
        <w:t>that</w:t>
      </w:r>
      <w:r w:rsidRPr="003F46ED">
        <w:t xml:space="preserve"> can differ from school to school and jurisdiction to jurisdiction</w:t>
      </w:r>
      <w:r w:rsidR="00080539" w:rsidRPr="003F46ED">
        <w:t xml:space="preserve"> (including particular cer</w:t>
      </w:r>
      <w:r w:rsidR="009972B2" w:rsidRPr="003F46ED">
        <w:t xml:space="preserve">tification </w:t>
      </w:r>
      <w:r w:rsidR="00080539" w:rsidRPr="003F46ED">
        <w:t>requirements within a state/territory)</w:t>
      </w:r>
      <w:bookmarkEnd w:id="137"/>
    </w:p>
    <w:p w14:paraId="11A6078A" w14:textId="77777777" w:rsidR="007B1D45" w:rsidRPr="003F46ED" w:rsidRDefault="00C27F4B" w:rsidP="00715217">
      <w:pPr>
        <w:pStyle w:val="ListParagraph"/>
        <w:ind w:left="360"/>
      </w:pPr>
      <w:bookmarkStart w:id="138" w:name="_Toc402180333"/>
      <w:proofErr w:type="gramStart"/>
      <w:r w:rsidRPr="003F46ED">
        <w:t>perception</w:t>
      </w:r>
      <w:proofErr w:type="gramEnd"/>
      <w:r w:rsidRPr="003F46ED">
        <w:t xml:space="preserve"> of a subject’s utility, in daily life and for future study/career (see, for example, </w:t>
      </w:r>
      <w:proofErr w:type="spellStart"/>
      <w:r w:rsidRPr="003F46ED">
        <w:t>Ainley</w:t>
      </w:r>
      <w:proofErr w:type="spellEnd"/>
      <w:r w:rsidRPr="003F46ED">
        <w:t xml:space="preserve"> et al.</w:t>
      </w:r>
      <w:r w:rsidR="00F0554A" w:rsidRPr="003F46ED">
        <w:t>,</w:t>
      </w:r>
      <w:r w:rsidRPr="003F46ED">
        <w:t xml:space="preserve"> 1994; Davies et al., 2008)</w:t>
      </w:r>
      <w:r w:rsidR="009949FD" w:rsidRPr="003F46ED">
        <w:t>.</w:t>
      </w:r>
      <w:bookmarkEnd w:id="138"/>
    </w:p>
    <w:p w14:paraId="10B29F8C" w14:textId="77777777" w:rsidR="007B1D45" w:rsidRPr="003F46ED" w:rsidRDefault="00B67E78" w:rsidP="00B30583">
      <w:bookmarkStart w:id="139" w:name="_Toc402180334"/>
      <w:r w:rsidRPr="003F46ED">
        <w:t xml:space="preserve">Many of these factors have been identified through longitudinal research on how and why students select particular subjects for senior secondary certification, </w:t>
      </w:r>
      <w:r w:rsidR="00046D67" w:rsidRPr="003F46ED">
        <w:t>such as</w:t>
      </w:r>
      <w:r w:rsidR="00512937" w:rsidRPr="003F46ED">
        <w:t xml:space="preserve"> </w:t>
      </w:r>
      <w:r w:rsidRPr="003F46ED">
        <w:t xml:space="preserve">the </w:t>
      </w:r>
      <w:r w:rsidR="00512937" w:rsidRPr="003F46ED">
        <w:t>Longitudinal Surveys of Australian Youth (</w:t>
      </w:r>
      <w:proofErr w:type="spellStart"/>
      <w:r w:rsidR="00512937" w:rsidRPr="003F46ED">
        <w:t>LSAY</w:t>
      </w:r>
      <w:proofErr w:type="spellEnd"/>
      <w:r w:rsidR="00512937" w:rsidRPr="003F46ED">
        <w:t>)</w:t>
      </w:r>
      <w:r w:rsidR="00AA0787" w:rsidRPr="003F46ED">
        <w:t xml:space="preserve"> conducted</w:t>
      </w:r>
      <w:r w:rsidR="00512937" w:rsidRPr="003F46ED">
        <w:t xml:space="preserve"> by ACER.</w:t>
      </w:r>
      <w:bookmarkEnd w:id="139"/>
    </w:p>
    <w:p w14:paraId="14610FAF" w14:textId="77777777" w:rsidR="007B1D45" w:rsidRPr="003F46ED" w:rsidRDefault="002D378C" w:rsidP="00B30583">
      <w:bookmarkStart w:id="140" w:name="_Toc402180335"/>
      <w:r w:rsidRPr="003F46ED">
        <w:t>The decision to use this</w:t>
      </w:r>
      <w:r w:rsidR="0002761A" w:rsidRPr="003F46ED">
        <w:t xml:space="preserve"> conceptual</w:t>
      </w:r>
      <w:r w:rsidRPr="003F46ED">
        <w:t xml:space="preserve"> framework</w:t>
      </w:r>
      <w:r w:rsidR="00293E1A" w:rsidRPr="003F46ED">
        <w:t xml:space="preserve"> </w:t>
      </w:r>
      <w:r w:rsidR="00B00CC2" w:rsidRPr="003F46ED">
        <w:t>was driven</w:t>
      </w:r>
      <w:r w:rsidR="00F8562C" w:rsidRPr="003F46ED">
        <w:t xml:space="preserve"> </w:t>
      </w:r>
      <w:r w:rsidR="00B00CC2" w:rsidRPr="003F46ED">
        <w:t>by</w:t>
      </w:r>
      <w:r w:rsidR="00F8562C" w:rsidRPr="003F46ED">
        <w:t xml:space="preserve"> the </w:t>
      </w:r>
      <w:r w:rsidR="00293E1A" w:rsidRPr="003F46ED">
        <w:t xml:space="preserve">research </w:t>
      </w:r>
      <w:r w:rsidR="00F8562C" w:rsidRPr="003F46ED">
        <w:t>focus on senior secondary languages enrolments.</w:t>
      </w:r>
      <w:r w:rsidR="00B1767B" w:rsidRPr="003F46ED">
        <w:t xml:space="preserve"> It is an </w:t>
      </w:r>
      <w:r w:rsidR="00B00CC2" w:rsidRPr="003F46ED">
        <w:t>acknowledge</w:t>
      </w:r>
      <w:r w:rsidR="00B1767B" w:rsidRPr="003F46ED">
        <w:t>ment of</w:t>
      </w:r>
      <w:r w:rsidR="00B00CC2" w:rsidRPr="003F46ED">
        <w:t xml:space="preserve"> the particular dynamics that affect students’ choice of subjects at Years 11 and 12. Regardless of the language learning experience prior to </w:t>
      </w:r>
      <w:r w:rsidR="00B979FB" w:rsidRPr="003F46ED">
        <w:t xml:space="preserve">the </w:t>
      </w:r>
      <w:r w:rsidR="00B00CC2" w:rsidRPr="003F46ED">
        <w:t xml:space="preserve">senior secondary </w:t>
      </w:r>
      <w:r w:rsidR="00B979FB" w:rsidRPr="003F46ED">
        <w:t>years</w:t>
      </w:r>
      <w:r w:rsidR="009F617A" w:rsidRPr="003F46ED">
        <w:t>,</w:t>
      </w:r>
      <w:r w:rsidR="00B979FB" w:rsidRPr="003F46ED">
        <w:t xml:space="preserve"> </w:t>
      </w:r>
      <w:r w:rsidR="00B00CC2" w:rsidRPr="003F46ED">
        <w:t xml:space="preserve">these dynamics interact to </w:t>
      </w:r>
      <w:r w:rsidR="00583C17" w:rsidRPr="003F46ED">
        <w:t>determine</w:t>
      </w:r>
      <w:r w:rsidR="00B00CC2" w:rsidRPr="003F46ED">
        <w:t xml:space="preserve"> whether s</w:t>
      </w:r>
      <w:r w:rsidR="00583C17" w:rsidRPr="003F46ED">
        <w:t>tudy of a language features in students’</w:t>
      </w:r>
      <w:r w:rsidR="00B00CC2" w:rsidRPr="003F46ED">
        <w:t xml:space="preserve"> final combination of subjects.</w:t>
      </w:r>
      <w:bookmarkEnd w:id="140"/>
    </w:p>
    <w:p w14:paraId="17BFCEDF" w14:textId="77777777" w:rsidR="007B1D45" w:rsidRPr="003F46ED" w:rsidRDefault="00D07858" w:rsidP="00B30583">
      <w:bookmarkStart w:id="141" w:name="_Toc402180336"/>
      <w:r w:rsidRPr="003F46ED">
        <w:t>U</w:t>
      </w:r>
      <w:r w:rsidR="00F46538" w:rsidRPr="003F46ED">
        <w:t>se of the</w:t>
      </w:r>
      <w:r w:rsidR="00C34FA4" w:rsidRPr="003F46ED">
        <w:t xml:space="preserve"> chosen</w:t>
      </w:r>
      <w:r w:rsidR="00B00CC2" w:rsidRPr="003F46ED">
        <w:t xml:space="preserve"> </w:t>
      </w:r>
      <w:r w:rsidR="004F6295" w:rsidRPr="003F46ED">
        <w:t>conceptual</w:t>
      </w:r>
      <w:r w:rsidR="00B00CC2" w:rsidRPr="003F46ED">
        <w:t xml:space="preserve"> framework avoids need </w:t>
      </w:r>
      <w:r w:rsidR="00131C02" w:rsidRPr="003F46ED">
        <w:t>for</w:t>
      </w:r>
      <w:r w:rsidR="00B00CC2" w:rsidRPr="003F46ED">
        <w:t xml:space="preserve"> differentiated data collection methods</w:t>
      </w:r>
      <w:r w:rsidR="004F6295" w:rsidRPr="003F46ED">
        <w:t>,</w:t>
      </w:r>
      <w:r w:rsidR="00B00CC2" w:rsidRPr="003F46ED">
        <w:t xml:space="preserve"> given the experiences of </w:t>
      </w:r>
      <w:r w:rsidR="00A51299" w:rsidRPr="003F46ED">
        <w:t xml:space="preserve">particular </w:t>
      </w:r>
      <w:r w:rsidR="00B00CC2" w:rsidRPr="003F46ED">
        <w:t xml:space="preserve">languages and/or jurisdictions that </w:t>
      </w:r>
      <w:r w:rsidR="002B3978" w:rsidRPr="003F46ED">
        <w:t>have been</w:t>
      </w:r>
      <w:r w:rsidR="00B00CC2" w:rsidRPr="003F46ED">
        <w:t xml:space="preserve"> well documented</w:t>
      </w:r>
      <w:r w:rsidR="006425D3" w:rsidRPr="003F46ED">
        <w:t xml:space="preserve">, such as by the </w:t>
      </w:r>
      <w:proofErr w:type="spellStart"/>
      <w:r w:rsidR="006425D3" w:rsidRPr="003F46ED">
        <w:rPr>
          <w:i/>
          <w:iCs/>
        </w:rPr>
        <w:t>The</w:t>
      </w:r>
      <w:proofErr w:type="spellEnd"/>
      <w:r w:rsidR="006425D3" w:rsidRPr="003F46ED">
        <w:rPr>
          <w:i/>
          <w:iCs/>
        </w:rPr>
        <w:t xml:space="preserve"> Current State of Chinese, Indonesian, Japanese and Korean Language Education in Australian Schools: Four Languages, Four Stories </w:t>
      </w:r>
      <w:r w:rsidR="006425D3" w:rsidRPr="003F46ED">
        <w:rPr>
          <w:iCs/>
        </w:rPr>
        <w:t>report</w:t>
      </w:r>
      <w:r w:rsidR="00B00CC2" w:rsidRPr="003F46ED">
        <w:t xml:space="preserve"> (AEF, 2010). This is because the groups of factors influencing subject choice at senior secondary </w:t>
      </w:r>
      <w:r w:rsidR="00A56B41" w:rsidRPr="003F46ED">
        <w:t xml:space="preserve">level </w:t>
      </w:r>
      <w:r w:rsidR="00B00CC2" w:rsidRPr="003F46ED">
        <w:t>are well established and applicable to all student cohorts.</w:t>
      </w:r>
      <w:bookmarkEnd w:id="141"/>
    </w:p>
    <w:p w14:paraId="49F9E36E" w14:textId="77777777" w:rsidR="007B1D45" w:rsidRPr="003F46ED" w:rsidRDefault="00B00CC2" w:rsidP="00B30583">
      <w:bookmarkStart w:id="142" w:name="_Toc402180337"/>
      <w:r w:rsidRPr="003F46ED">
        <w:t xml:space="preserve">Research </w:t>
      </w:r>
      <w:r w:rsidR="00540B35" w:rsidRPr="003F46ED">
        <w:t>on</w:t>
      </w:r>
      <w:r w:rsidRPr="003F46ED">
        <w:t xml:space="preserve"> </w:t>
      </w:r>
      <w:r w:rsidR="00595618" w:rsidRPr="003F46ED">
        <w:t>students’</w:t>
      </w:r>
      <w:r w:rsidR="00DF7B73" w:rsidRPr="003F46ED">
        <w:t xml:space="preserve"> senior secondary </w:t>
      </w:r>
      <w:r w:rsidRPr="003F46ED">
        <w:t xml:space="preserve">subject choice </w:t>
      </w:r>
      <w:r w:rsidR="00540B35" w:rsidRPr="003F46ED">
        <w:t xml:space="preserve">suggests that </w:t>
      </w:r>
      <w:r w:rsidR="00595618" w:rsidRPr="003F46ED">
        <w:t>their choice</w:t>
      </w:r>
      <w:r w:rsidR="00540B35" w:rsidRPr="003F46ED">
        <w:t xml:space="preserve"> </w:t>
      </w:r>
      <w:r w:rsidRPr="003F46ED">
        <w:t>is shaped by the interplay of 1) general orientation (demand) and 2) opportunities (supply</w:t>
      </w:r>
      <w:r w:rsidR="000B333E" w:rsidRPr="003F46ED">
        <w:t>)</w:t>
      </w:r>
      <w:r w:rsidRPr="003F46ED">
        <w:t xml:space="preserve"> (Fullarton &amp; </w:t>
      </w:r>
      <w:proofErr w:type="spellStart"/>
      <w:r w:rsidRPr="003F46ED">
        <w:t>Ainley</w:t>
      </w:r>
      <w:proofErr w:type="spellEnd"/>
      <w:r w:rsidRPr="003F46ED">
        <w:t xml:space="preserve">, 2000; </w:t>
      </w:r>
      <w:proofErr w:type="spellStart"/>
      <w:r w:rsidRPr="003F46ED">
        <w:t>Ainley</w:t>
      </w:r>
      <w:proofErr w:type="spellEnd"/>
      <w:r w:rsidRPr="003F46ED">
        <w:t xml:space="preserve"> et al.</w:t>
      </w:r>
      <w:r w:rsidR="00A47E9E" w:rsidRPr="003F46ED">
        <w:t xml:space="preserve">, </w:t>
      </w:r>
      <w:r w:rsidRPr="003F46ED">
        <w:t xml:space="preserve">1994; Oakes, 1990). </w:t>
      </w:r>
      <w:r w:rsidR="009F5AA3" w:rsidRPr="003F46ED">
        <w:t>Figure 2</w:t>
      </w:r>
      <w:r w:rsidRPr="003F46ED">
        <w:t xml:space="preserve">.1 illustrates this </w:t>
      </w:r>
      <w:r w:rsidR="0012031D" w:rsidRPr="003F46ED">
        <w:t xml:space="preserve">conceptual </w:t>
      </w:r>
      <w:r w:rsidRPr="003F46ED">
        <w:t xml:space="preserve">framework and incorporates factors </w:t>
      </w:r>
      <w:r w:rsidR="002C26FE" w:rsidRPr="003F46ED">
        <w:t xml:space="preserve">known to </w:t>
      </w:r>
      <w:r w:rsidRPr="003F46ED">
        <w:t>influenc</w:t>
      </w:r>
      <w:r w:rsidR="002C26FE" w:rsidRPr="003F46ED">
        <w:t>e students’</w:t>
      </w:r>
      <w:r w:rsidR="00510BEA" w:rsidRPr="003F46ED">
        <w:t xml:space="preserve"> language study at school that have been </w:t>
      </w:r>
      <w:r w:rsidRPr="003F46ED">
        <w:t>identified through the ‘Policy and literature review’</w:t>
      </w:r>
      <w:r w:rsidR="00510BEA" w:rsidRPr="003F46ED">
        <w:t xml:space="preserve"> (see </w:t>
      </w:r>
      <w:r w:rsidRPr="003F46ED">
        <w:t>Attachment 1).</w:t>
      </w:r>
      <w:bookmarkEnd w:id="142"/>
    </w:p>
    <w:p w14:paraId="684E1064" w14:textId="77777777" w:rsidR="007B1D45" w:rsidRPr="003F46ED" w:rsidRDefault="00CF1124" w:rsidP="00B30583">
      <w:bookmarkStart w:id="143" w:name="_Toc402180338"/>
      <w:r w:rsidRPr="003F46ED">
        <w:t>A</w:t>
      </w:r>
      <w:r w:rsidR="00B00CC2" w:rsidRPr="003F46ED">
        <w:t>ctual enrolment in languages at senior secondary</w:t>
      </w:r>
      <w:r w:rsidR="00F61324" w:rsidRPr="003F46ED">
        <w:t xml:space="preserve"> level</w:t>
      </w:r>
      <w:r w:rsidR="00B00CC2" w:rsidRPr="003F46ED">
        <w:t xml:space="preserve"> is the product of a combination of factors that fall under ‘general orientation’ and ‘opportunities’. These factors, however, are not weighted equally, with some being more influential than others (see ‘Key findings and recommendations’ section).</w:t>
      </w:r>
      <w:bookmarkEnd w:id="143"/>
    </w:p>
    <w:p w14:paraId="149CC528" w14:textId="77777777" w:rsidR="00F666F6" w:rsidRDefault="00F666F6">
      <w:pPr>
        <w:spacing w:after="0"/>
      </w:pPr>
      <w:bookmarkStart w:id="144" w:name="_Toc402180340"/>
      <w:r>
        <w:br w:type="page"/>
      </w:r>
    </w:p>
    <w:p w14:paraId="77AF4083" w14:textId="7769E57F" w:rsidR="007B1D45" w:rsidRPr="00F74E23" w:rsidRDefault="00F666F6" w:rsidP="00F74E23">
      <w:pPr>
        <w:pStyle w:val="Caption"/>
        <w:rPr>
          <w:b/>
        </w:rPr>
      </w:pPr>
      <w:r w:rsidRPr="00F74E23">
        <w:rPr>
          <w:b/>
          <w:noProof/>
          <w:lang w:eastAsia="en-AU"/>
        </w:rPr>
        <w:lastRenderedPageBreak/>
        <w:drawing>
          <wp:anchor distT="0" distB="0" distL="114300" distR="114300" simplePos="0" relativeHeight="251660288" behindDoc="0" locked="0" layoutInCell="1" allowOverlap="1" wp14:anchorId="106695BE" wp14:editId="21A011D6">
            <wp:simplePos x="0" y="0"/>
            <wp:positionH relativeFrom="column">
              <wp:posOffset>708660</wp:posOffset>
            </wp:positionH>
            <wp:positionV relativeFrom="paragraph">
              <wp:posOffset>396875</wp:posOffset>
            </wp:positionV>
            <wp:extent cx="4724400" cy="3646479"/>
            <wp:effectExtent l="0" t="0" r="0" b="0"/>
            <wp:wrapNone/>
            <wp:docPr id="1" name="Picture 1" descr="Figure 2.1 shows the two components, general orientation and opportunities, that influence the actual enrolment in languages at Years 11 and 12. Under the component of &quot;General orientation&quot;, the explanatory oints are: 1. shaped by interests and aptitudes/competencies developed over time, as a response to influences and experiences at school and beyond, advice from a range of sources (including parents) and social group factors 2. linked to a student's identity 3. manifested in a series of subject choices leading up to senior secondary. &#10;Under the component of &quot;Opportunities&quot;, the explanatory points are: 1. constraints operating within a school 2. Broader systemic/structural issues that are policy malleable 3. tension between curriculum policy and implementation 4. push-up/pipeline factors (Early Years to Year 10) 5. pull-up factors (usefulness for future study/career, including demand from business) 6. incentives (e.g. ATAR bonuses) and disincentives; analysis of input (effort) vs. output 7. impact of senior secondary structurres on subject cho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 a Venn diagram.png"/>
                    <pic:cNvPicPr/>
                  </pic:nvPicPr>
                  <pic:blipFill>
                    <a:blip r:embed="rId16">
                      <a:extLst>
                        <a:ext uri="{28A0092B-C50C-407E-A947-70E740481C1C}">
                          <a14:useLocalDpi xmlns:a14="http://schemas.microsoft.com/office/drawing/2010/main" val="0"/>
                        </a:ext>
                      </a:extLst>
                    </a:blip>
                    <a:stretch>
                      <a:fillRect/>
                    </a:stretch>
                  </pic:blipFill>
                  <pic:spPr>
                    <a:xfrm>
                      <a:off x="0" y="0"/>
                      <a:ext cx="4724400" cy="3646479"/>
                    </a:xfrm>
                    <a:prstGeom prst="rect">
                      <a:avLst/>
                    </a:prstGeom>
                  </pic:spPr>
                </pic:pic>
              </a:graphicData>
            </a:graphic>
            <wp14:sizeRelH relativeFrom="page">
              <wp14:pctWidth>0</wp14:pctWidth>
            </wp14:sizeRelH>
            <wp14:sizeRelV relativeFrom="page">
              <wp14:pctHeight>0</wp14:pctHeight>
            </wp14:sizeRelV>
          </wp:anchor>
        </w:drawing>
      </w:r>
      <w:r w:rsidR="009F5AA3" w:rsidRPr="00F74E23" w:rsidDel="00BA068C">
        <w:rPr>
          <w:b/>
        </w:rPr>
        <w:t>Figure 2</w:t>
      </w:r>
      <w:r w:rsidR="00B00CC2" w:rsidRPr="00F74E23" w:rsidDel="00BA068C">
        <w:rPr>
          <w:b/>
        </w:rPr>
        <w:t xml:space="preserve">.1: Subject choice </w:t>
      </w:r>
      <w:r w:rsidR="006E0F59" w:rsidRPr="00F74E23">
        <w:rPr>
          <w:b/>
        </w:rPr>
        <w:t xml:space="preserve">conceptual </w:t>
      </w:r>
      <w:r w:rsidR="00B00CC2" w:rsidRPr="00F74E23" w:rsidDel="00BA068C">
        <w:rPr>
          <w:b/>
        </w:rPr>
        <w:t>framework combined with factors influencing language study at school</w:t>
      </w:r>
      <w:bookmarkEnd w:id="144"/>
    </w:p>
    <w:p w14:paraId="401B2D34" w14:textId="77777777" w:rsidR="00F666F6" w:rsidRPr="00F666F6" w:rsidRDefault="00F666F6" w:rsidP="00F666F6">
      <w:pPr>
        <w:rPr>
          <w:color w:val="FFFFFF" w:themeColor="background1"/>
        </w:rPr>
      </w:pPr>
      <w:r w:rsidRPr="00F666F6">
        <w:rPr>
          <w:color w:val="FFFFFF" w:themeColor="background1"/>
        </w:rPr>
        <w:t>General orientation</w:t>
      </w:r>
    </w:p>
    <w:p w14:paraId="6DA2024C" w14:textId="77777777" w:rsidR="00F666F6" w:rsidRPr="00F666F6" w:rsidRDefault="00F666F6" w:rsidP="00F666F6">
      <w:pPr>
        <w:pStyle w:val="ListParagraph"/>
        <w:numPr>
          <w:ilvl w:val="0"/>
          <w:numId w:val="47"/>
        </w:numPr>
        <w:rPr>
          <w:color w:val="FFFFFF" w:themeColor="background1"/>
        </w:rPr>
      </w:pPr>
      <w:r w:rsidRPr="00F666F6">
        <w:rPr>
          <w:color w:val="FFFFFF" w:themeColor="background1"/>
        </w:rPr>
        <w:t>shaped by interests and aptitudes/competencies developed over time, as a response to influences and experiences at school and beyond, advice from a range of sources (including parents) and social group factors</w:t>
      </w:r>
    </w:p>
    <w:p w14:paraId="7B3F18B7" w14:textId="77777777" w:rsidR="00F666F6" w:rsidRPr="00F666F6" w:rsidRDefault="00F666F6" w:rsidP="00F666F6">
      <w:pPr>
        <w:pStyle w:val="ListParagraph"/>
        <w:numPr>
          <w:ilvl w:val="0"/>
          <w:numId w:val="47"/>
        </w:numPr>
        <w:rPr>
          <w:color w:val="FFFFFF" w:themeColor="background1"/>
        </w:rPr>
      </w:pPr>
      <w:r w:rsidRPr="00F666F6">
        <w:rPr>
          <w:color w:val="FFFFFF" w:themeColor="background1"/>
        </w:rPr>
        <w:t xml:space="preserve">linked to a student's identity </w:t>
      </w:r>
    </w:p>
    <w:p w14:paraId="3EA40F1B" w14:textId="77777777" w:rsidR="00F666F6" w:rsidRPr="00F666F6" w:rsidRDefault="00F666F6" w:rsidP="00F666F6">
      <w:pPr>
        <w:pStyle w:val="ListParagraph"/>
        <w:numPr>
          <w:ilvl w:val="0"/>
          <w:numId w:val="47"/>
        </w:numPr>
        <w:rPr>
          <w:color w:val="FFFFFF" w:themeColor="background1"/>
        </w:rPr>
      </w:pPr>
      <w:proofErr w:type="gramStart"/>
      <w:r w:rsidRPr="00F666F6">
        <w:rPr>
          <w:color w:val="FFFFFF" w:themeColor="background1"/>
        </w:rPr>
        <w:t>manifested</w:t>
      </w:r>
      <w:proofErr w:type="gramEnd"/>
      <w:r w:rsidRPr="00F666F6">
        <w:rPr>
          <w:color w:val="FFFFFF" w:themeColor="background1"/>
        </w:rPr>
        <w:t xml:space="preserve"> in a series of subject choices leading up to senior secondary.</w:t>
      </w:r>
    </w:p>
    <w:p w14:paraId="36E44491" w14:textId="77777777" w:rsidR="00F666F6" w:rsidRPr="00F666F6" w:rsidRDefault="00F666F6" w:rsidP="00F666F6">
      <w:pPr>
        <w:rPr>
          <w:color w:val="FFFFFF" w:themeColor="background1"/>
        </w:rPr>
      </w:pPr>
      <w:proofErr w:type="gramStart"/>
      <w:r w:rsidRPr="00F666F6">
        <w:rPr>
          <w:color w:val="FFFFFF" w:themeColor="background1"/>
        </w:rPr>
        <w:t>Actual enrolment in languages at Years 11 and 12.</w:t>
      </w:r>
      <w:proofErr w:type="gramEnd"/>
    </w:p>
    <w:p w14:paraId="6E274CA2" w14:textId="77777777" w:rsidR="00F666F6" w:rsidRPr="00F666F6" w:rsidRDefault="00F666F6" w:rsidP="00F666F6">
      <w:pPr>
        <w:rPr>
          <w:color w:val="FFFFFF" w:themeColor="background1"/>
        </w:rPr>
      </w:pPr>
      <w:r w:rsidRPr="00F666F6">
        <w:rPr>
          <w:color w:val="FFFFFF" w:themeColor="background1"/>
        </w:rPr>
        <w:t>Opportunities</w:t>
      </w:r>
    </w:p>
    <w:p w14:paraId="74B3DA82" w14:textId="77777777" w:rsidR="00F666F6" w:rsidRPr="00F666F6" w:rsidRDefault="00F666F6" w:rsidP="00F666F6">
      <w:pPr>
        <w:pStyle w:val="ListParagraph"/>
        <w:numPr>
          <w:ilvl w:val="0"/>
          <w:numId w:val="48"/>
        </w:numPr>
        <w:rPr>
          <w:color w:val="FFFFFF" w:themeColor="background1"/>
        </w:rPr>
      </w:pPr>
      <w:r w:rsidRPr="00F666F6">
        <w:rPr>
          <w:color w:val="FFFFFF" w:themeColor="background1"/>
        </w:rPr>
        <w:t>constraints operating within a school</w:t>
      </w:r>
    </w:p>
    <w:p w14:paraId="32D2B094" w14:textId="77777777" w:rsidR="00F666F6" w:rsidRPr="00F666F6" w:rsidRDefault="00F666F6" w:rsidP="00F666F6">
      <w:pPr>
        <w:pStyle w:val="ListParagraph"/>
        <w:numPr>
          <w:ilvl w:val="0"/>
          <w:numId w:val="48"/>
        </w:numPr>
        <w:rPr>
          <w:color w:val="FFFFFF" w:themeColor="background1"/>
        </w:rPr>
      </w:pPr>
      <w:r w:rsidRPr="00F666F6">
        <w:rPr>
          <w:color w:val="FFFFFF" w:themeColor="background1"/>
        </w:rPr>
        <w:t>broader systemic/structural issues that are policy malleable</w:t>
      </w:r>
    </w:p>
    <w:p w14:paraId="57CCE146" w14:textId="77777777" w:rsidR="00F666F6" w:rsidRPr="00F666F6" w:rsidRDefault="00F666F6" w:rsidP="00F666F6">
      <w:pPr>
        <w:pStyle w:val="ListParagraph"/>
        <w:numPr>
          <w:ilvl w:val="0"/>
          <w:numId w:val="48"/>
        </w:numPr>
        <w:rPr>
          <w:color w:val="FFFFFF" w:themeColor="background1"/>
        </w:rPr>
      </w:pPr>
      <w:r w:rsidRPr="00F666F6">
        <w:rPr>
          <w:color w:val="FFFFFF" w:themeColor="background1"/>
        </w:rPr>
        <w:t>tension between curriculum policy and implementation</w:t>
      </w:r>
    </w:p>
    <w:p w14:paraId="69EB2D84" w14:textId="77777777" w:rsidR="00F666F6" w:rsidRPr="00F666F6" w:rsidRDefault="00F666F6" w:rsidP="00F666F6">
      <w:pPr>
        <w:pStyle w:val="ListParagraph"/>
        <w:numPr>
          <w:ilvl w:val="0"/>
          <w:numId w:val="48"/>
        </w:numPr>
        <w:rPr>
          <w:color w:val="FFFFFF" w:themeColor="background1"/>
        </w:rPr>
      </w:pPr>
      <w:r w:rsidRPr="00F666F6">
        <w:rPr>
          <w:color w:val="FFFFFF" w:themeColor="background1"/>
        </w:rPr>
        <w:t>push-up/pipeline factors (Early Years to Year 10)</w:t>
      </w:r>
    </w:p>
    <w:p w14:paraId="7E3E2127" w14:textId="77777777" w:rsidR="00F666F6" w:rsidRPr="00F666F6" w:rsidRDefault="00F666F6" w:rsidP="00F666F6">
      <w:pPr>
        <w:pStyle w:val="ListParagraph"/>
        <w:numPr>
          <w:ilvl w:val="0"/>
          <w:numId w:val="48"/>
        </w:numPr>
        <w:rPr>
          <w:color w:val="FFFFFF" w:themeColor="background1"/>
        </w:rPr>
      </w:pPr>
      <w:r w:rsidRPr="00F666F6">
        <w:rPr>
          <w:color w:val="FFFFFF" w:themeColor="background1"/>
        </w:rPr>
        <w:t>pull-up factors (usefulness for future study/career, including demand from business)</w:t>
      </w:r>
    </w:p>
    <w:p w14:paraId="308ACD34" w14:textId="77777777" w:rsidR="00F666F6" w:rsidRPr="00F666F6" w:rsidRDefault="00F666F6" w:rsidP="00F666F6">
      <w:pPr>
        <w:pStyle w:val="ListParagraph"/>
        <w:numPr>
          <w:ilvl w:val="0"/>
          <w:numId w:val="48"/>
        </w:numPr>
        <w:rPr>
          <w:color w:val="FFFFFF" w:themeColor="background1"/>
        </w:rPr>
      </w:pPr>
      <w:r w:rsidRPr="00F666F6">
        <w:rPr>
          <w:color w:val="FFFFFF" w:themeColor="background1"/>
        </w:rPr>
        <w:t xml:space="preserve">incentives (e.g. </w:t>
      </w:r>
      <w:proofErr w:type="spellStart"/>
      <w:r w:rsidRPr="00F666F6">
        <w:rPr>
          <w:color w:val="FFFFFF" w:themeColor="background1"/>
        </w:rPr>
        <w:t>ATAR</w:t>
      </w:r>
      <w:proofErr w:type="spellEnd"/>
      <w:r w:rsidRPr="00F666F6">
        <w:rPr>
          <w:color w:val="FFFFFF" w:themeColor="background1"/>
        </w:rPr>
        <w:t xml:space="preserve"> bonuses) and disincentives; analysis of input (effort) vs. output</w:t>
      </w:r>
    </w:p>
    <w:p w14:paraId="57EF1D47" w14:textId="77777777" w:rsidR="00F666F6" w:rsidRPr="00F666F6" w:rsidRDefault="00F666F6" w:rsidP="00F666F6">
      <w:pPr>
        <w:pStyle w:val="ListParagraph"/>
        <w:numPr>
          <w:ilvl w:val="0"/>
          <w:numId w:val="48"/>
        </w:numPr>
        <w:rPr>
          <w:color w:val="FFFFFF" w:themeColor="background1"/>
        </w:rPr>
      </w:pPr>
      <w:proofErr w:type="gramStart"/>
      <w:r w:rsidRPr="00F666F6">
        <w:rPr>
          <w:color w:val="FFFFFF" w:themeColor="background1"/>
        </w:rPr>
        <w:t>impact</w:t>
      </w:r>
      <w:proofErr w:type="gramEnd"/>
      <w:r w:rsidRPr="00F666F6">
        <w:rPr>
          <w:color w:val="FFFFFF" w:themeColor="background1"/>
        </w:rPr>
        <w:t xml:space="preserve"> of senior secondary structures on subject choice.</w:t>
      </w:r>
    </w:p>
    <w:p w14:paraId="6826E187" w14:textId="0EABFF32" w:rsidR="007B1D45" w:rsidRPr="003F46ED" w:rsidRDefault="002130C8" w:rsidP="00B30583">
      <w:bookmarkStart w:id="145" w:name="_Toc402180341"/>
      <w:r w:rsidRPr="003F46ED">
        <w:t xml:space="preserve">Based on this view of how and why students choose to study, or not study, languages in </w:t>
      </w:r>
      <w:r w:rsidR="00FF0284" w:rsidRPr="003F46ED">
        <w:t xml:space="preserve">the senior </w:t>
      </w:r>
      <w:r w:rsidRPr="003F46ED">
        <w:t>secondary</w:t>
      </w:r>
      <w:r w:rsidR="00FF0284" w:rsidRPr="003F46ED">
        <w:t xml:space="preserve"> years</w:t>
      </w:r>
      <w:r w:rsidRPr="003F46ED">
        <w:t>,</w:t>
      </w:r>
      <w:r w:rsidR="00B00CC2" w:rsidRPr="003F46ED">
        <w:t xml:space="preserve"> it is not sufficient to study enrolment patterns</w:t>
      </w:r>
      <w:r w:rsidR="008413C3" w:rsidRPr="003F46ED">
        <w:t xml:space="preserve"> only</w:t>
      </w:r>
      <w:r w:rsidR="00B00CC2" w:rsidRPr="003F46ED">
        <w:t xml:space="preserve"> in order to understand subject choice dynamics. Attention </w:t>
      </w:r>
      <w:r w:rsidR="00877BB2" w:rsidRPr="003F46ED">
        <w:t xml:space="preserve">also </w:t>
      </w:r>
      <w:r w:rsidR="00B00CC2" w:rsidRPr="003F46ED">
        <w:t>must be paid to student interests, competencies and</w:t>
      </w:r>
      <w:r w:rsidR="005F4361" w:rsidRPr="003F46ED">
        <w:t xml:space="preserve"> opportunities, which encompass and are influenced by</w:t>
      </w:r>
      <w:r w:rsidR="00B00CC2" w:rsidRPr="003F46ED">
        <w:t xml:space="preserve"> a wide range of factors. Hence, subject choice may be seen as reflecting the particular characteristics of students and their school communities (</w:t>
      </w:r>
      <w:proofErr w:type="spellStart"/>
      <w:r w:rsidR="00B00CC2" w:rsidRPr="003F46ED">
        <w:t>Ainley</w:t>
      </w:r>
      <w:proofErr w:type="spellEnd"/>
      <w:r w:rsidR="00B00CC2" w:rsidRPr="003F46ED">
        <w:t xml:space="preserve"> et al., 1994)</w:t>
      </w:r>
      <w:r w:rsidR="00E924C7" w:rsidRPr="003F46ED">
        <w:t xml:space="preserve">, noting that </w:t>
      </w:r>
      <w:r w:rsidR="00015398" w:rsidRPr="003F46ED">
        <w:t>schools</w:t>
      </w:r>
      <w:r w:rsidR="00E924C7" w:rsidRPr="003F46ED">
        <w:t xml:space="preserve"> reflect the education system</w:t>
      </w:r>
      <w:r w:rsidR="00C56C37" w:rsidRPr="003F46ED">
        <w:t xml:space="preserve"> in which they function</w:t>
      </w:r>
      <w:r w:rsidR="00E924C7" w:rsidRPr="003F46ED">
        <w:t xml:space="preserve"> and broader </w:t>
      </w:r>
      <w:r w:rsidR="00015398" w:rsidRPr="003F46ED">
        <w:t xml:space="preserve">community </w:t>
      </w:r>
      <w:r w:rsidR="00E924C7" w:rsidRPr="003F46ED">
        <w:t>attitudes towards education</w:t>
      </w:r>
      <w:r w:rsidR="00B00CC2" w:rsidRPr="003F46ED">
        <w:t>.</w:t>
      </w:r>
      <w:bookmarkEnd w:id="145"/>
      <w:r w:rsidR="00B00CC2" w:rsidRPr="003F46ED">
        <w:t xml:space="preserve"> </w:t>
      </w:r>
    </w:p>
    <w:p w14:paraId="3DF6016A" w14:textId="77777777" w:rsidR="007B1D45" w:rsidRPr="003F46ED" w:rsidRDefault="003B1FCA" w:rsidP="00B30583">
      <w:bookmarkStart w:id="146" w:name="_Toc402180342"/>
      <w:r w:rsidRPr="003F46ED">
        <w:t>In addition, t</w:t>
      </w:r>
      <w:r w:rsidR="00B00CC2" w:rsidRPr="003F46ED">
        <w:t xml:space="preserve">he choice to study, or not study, a language needs to be examined in the broader context of </w:t>
      </w:r>
      <w:r w:rsidR="00B00CC2" w:rsidRPr="003F46ED">
        <w:rPr>
          <w:i/>
        </w:rPr>
        <w:t>how</w:t>
      </w:r>
      <w:r w:rsidR="00B00CC2" w:rsidRPr="003F46ED">
        <w:t xml:space="preserve"> students are choosing their </w:t>
      </w:r>
      <w:r w:rsidR="008103D7" w:rsidRPr="003F46ED">
        <w:t xml:space="preserve">full course of </w:t>
      </w:r>
      <w:r w:rsidR="00DC4297" w:rsidRPr="003F46ED">
        <w:t xml:space="preserve">senior secondary </w:t>
      </w:r>
      <w:r w:rsidR="008103D7" w:rsidRPr="003F46ED">
        <w:t>study</w:t>
      </w:r>
      <w:r w:rsidR="00B00CC2" w:rsidRPr="003F46ED">
        <w:t>. Subjec</w:t>
      </w:r>
      <w:r w:rsidR="005D781C" w:rsidRPr="003F46ED">
        <w:t>ts are not chosen in isolation. T</w:t>
      </w:r>
      <w:r w:rsidR="00B00CC2" w:rsidRPr="003F46ED">
        <w:t xml:space="preserve">his approach enables a better understanding of the type of student </w:t>
      </w:r>
      <w:r w:rsidR="008A428B" w:rsidRPr="003F46ED">
        <w:t xml:space="preserve">most </w:t>
      </w:r>
      <w:r w:rsidR="00B00CC2" w:rsidRPr="003F46ED">
        <w:t>likely to study a la</w:t>
      </w:r>
      <w:r w:rsidR="00ED4021" w:rsidRPr="003F46ED">
        <w:t>nguage at Years 11 and 12 (see</w:t>
      </w:r>
      <w:r w:rsidR="00B00CC2" w:rsidRPr="003F46ED">
        <w:t xml:space="preserve"> sub-section</w:t>
      </w:r>
      <w:r w:rsidR="00ED4021" w:rsidRPr="003F46ED">
        <w:t xml:space="preserve"> below</w:t>
      </w:r>
      <w:r w:rsidR="00B00CC2" w:rsidRPr="003F46ED">
        <w:t xml:space="preserve"> on ‘Who typically studies languages at senior secondary in Australia?’).</w:t>
      </w:r>
      <w:bookmarkEnd w:id="146"/>
    </w:p>
    <w:p w14:paraId="3A81B216" w14:textId="77777777" w:rsidR="007B1D45" w:rsidRPr="003F46ED" w:rsidRDefault="00B00CC2" w:rsidP="00B30583">
      <w:bookmarkStart w:id="147" w:name="_Toc402180343"/>
      <w:r w:rsidRPr="003F46ED">
        <w:t>For example, a student might</w:t>
      </w:r>
      <w:r w:rsidR="008A428B" w:rsidRPr="003F46ED">
        <w:t xml:space="preserve"> broadly</w:t>
      </w:r>
      <w:r w:rsidRPr="003F46ED">
        <w:t xml:space="preserve"> view language</w:t>
      </w:r>
      <w:r w:rsidR="008A428B" w:rsidRPr="003F46ED">
        <w:t xml:space="preserve"> study</w:t>
      </w:r>
      <w:r w:rsidRPr="003F46ED">
        <w:t xml:space="preserve"> as important but does not choose to study a language at senior secondary</w:t>
      </w:r>
      <w:r w:rsidR="00873065" w:rsidRPr="003F46ED">
        <w:t xml:space="preserve"> level</w:t>
      </w:r>
      <w:r w:rsidRPr="003F46ED">
        <w:t xml:space="preserve"> due to a range of other factors. In asking students why they did or did not choose to study languages, it is important also to identify the subject combinations in which languages tend to feature.</w:t>
      </w:r>
      <w:bookmarkEnd w:id="147"/>
      <w:r w:rsidRPr="003F46ED">
        <w:t xml:space="preserve"> </w:t>
      </w:r>
    </w:p>
    <w:p w14:paraId="50E43149" w14:textId="77777777" w:rsidR="007B1D45" w:rsidRPr="003F46ED" w:rsidRDefault="00AE64A4" w:rsidP="00F536F8">
      <w:pPr>
        <w:pStyle w:val="Heading3"/>
      </w:pPr>
      <w:bookmarkStart w:id="148" w:name="_Toc402180344"/>
      <w:r w:rsidRPr="003F46ED">
        <w:t>Demand and supply</w:t>
      </w:r>
      <w:bookmarkEnd w:id="148"/>
    </w:p>
    <w:p w14:paraId="087F2EA7" w14:textId="77777777" w:rsidR="007B1D45" w:rsidRPr="003F46ED" w:rsidRDefault="00B00CC2" w:rsidP="00B30583">
      <w:bookmarkStart w:id="149" w:name="_Toc402180345"/>
      <w:r w:rsidRPr="003F46ED">
        <w:t xml:space="preserve">The </w:t>
      </w:r>
      <w:r w:rsidR="00F6776E" w:rsidRPr="003F46ED">
        <w:t>conceptual</w:t>
      </w:r>
      <w:r w:rsidRPr="003F46ED">
        <w:t xml:space="preserve"> framework</w:t>
      </w:r>
      <w:r w:rsidR="00F6776E" w:rsidRPr="003F46ED">
        <w:t xml:space="preserve"> </w:t>
      </w:r>
      <w:r w:rsidRPr="003F46ED">
        <w:t xml:space="preserve">lends support to a focus on both the demand and supply sides of senior secondary languages education (see </w:t>
      </w:r>
      <w:r w:rsidR="00DB07F6" w:rsidRPr="003F46ED">
        <w:t>Table 2</w:t>
      </w:r>
      <w:r w:rsidRPr="003F46ED">
        <w:t xml:space="preserve">.1). </w:t>
      </w:r>
      <w:r w:rsidR="00950C7F" w:rsidRPr="003F46ED">
        <w:t>This is needed because r</w:t>
      </w:r>
      <w:r w:rsidRPr="003F46ED">
        <w:t xml:space="preserve">esearch, reports and policies on languages education in Australia have focused traditionally on the supply side, with </w:t>
      </w:r>
      <w:r w:rsidR="006E3447" w:rsidRPr="003F46ED">
        <w:t>recent</w:t>
      </w:r>
      <w:r w:rsidRPr="003F46ED">
        <w:t xml:space="preserve"> research indicating disconnects between </w:t>
      </w:r>
      <w:r w:rsidR="00136BCC" w:rsidRPr="003F46ED">
        <w:t>languages provision</w:t>
      </w:r>
      <w:r w:rsidRPr="003F46ED">
        <w:t xml:space="preserve"> and the realities of demand within school communities (see, for example, Lo Bianco &amp; </w:t>
      </w:r>
      <w:proofErr w:type="spellStart"/>
      <w:r w:rsidRPr="003F46ED">
        <w:t>Aliani</w:t>
      </w:r>
      <w:proofErr w:type="spellEnd"/>
      <w:r w:rsidRPr="003F46ED">
        <w:t>, 2013).</w:t>
      </w:r>
      <w:bookmarkEnd w:id="149"/>
    </w:p>
    <w:p w14:paraId="528A8150" w14:textId="77777777" w:rsidR="00A734C7" w:rsidRPr="00BA49C9" w:rsidRDefault="002F1F7E" w:rsidP="00BA49C9">
      <w:pPr>
        <w:pStyle w:val="Caption"/>
        <w:rPr>
          <w:b/>
        </w:rPr>
        <w:sectPr w:rsidR="00A734C7" w:rsidRPr="00BA49C9" w:rsidSect="00665CB6">
          <w:pgSz w:w="11900" w:h="16840"/>
          <w:pgMar w:top="1985" w:right="1134" w:bottom="1440" w:left="1134" w:header="709" w:footer="709" w:gutter="0"/>
          <w:cols w:space="720"/>
          <w:docGrid w:linePitch="299"/>
        </w:sectPr>
      </w:pPr>
      <w:bookmarkStart w:id="150" w:name="_Toc402180346"/>
      <w:r w:rsidRPr="00BA49C9">
        <w:rPr>
          <w:b/>
        </w:rPr>
        <w:lastRenderedPageBreak/>
        <w:t xml:space="preserve">Table 2.1: Demand and supply sides of senior secondary languages education </w:t>
      </w:r>
      <w:r w:rsidRPr="00BA49C9">
        <w:rPr>
          <w:b/>
        </w:rPr>
        <w:br/>
        <w:t>(note that some groups straddle both demand and supply)</w:t>
      </w:r>
      <w:bookmarkEnd w:id="150"/>
    </w:p>
    <w:p w14:paraId="3324D3CF" w14:textId="77777777" w:rsidR="00A734C7" w:rsidRPr="00431952" w:rsidRDefault="00A734C7" w:rsidP="00E419D1">
      <w:pPr>
        <w:pStyle w:val="H5inverse"/>
        <w:pBdr>
          <w:left w:val="single" w:sz="4" w:space="1" w:color="auto"/>
          <w:right w:val="single" w:sz="4" w:space="1" w:color="auto"/>
        </w:pBdr>
        <w:rPr>
          <w:rFonts w:eastAsia="Cambria"/>
        </w:rPr>
      </w:pPr>
      <w:bookmarkStart w:id="151" w:name="_Toc402180347"/>
      <w:r w:rsidRPr="00431952">
        <w:lastRenderedPageBreak/>
        <w:t>Demand</w:t>
      </w:r>
      <w:bookmarkEnd w:id="151"/>
    </w:p>
    <w:p w14:paraId="41A3A0FC" w14:textId="77777777" w:rsidR="00A734C7" w:rsidRPr="003F46ED" w:rsidRDefault="00A734C7" w:rsidP="00E419D1">
      <w:pPr>
        <w:pStyle w:val="ListParagraph"/>
        <w:numPr>
          <w:ilvl w:val="0"/>
          <w:numId w:val="43"/>
        </w:numPr>
        <w:pBdr>
          <w:top w:val="single" w:sz="4" w:space="1" w:color="auto"/>
          <w:left w:val="single" w:sz="4" w:space="1" w:color="auto"/>
          <w:bottom w:val="single" w:sz="4" w:space="1" w:color="auto"/>
          <w:right w:val="single" w:sz="4" w:space="1" w:color="auto"/>
        </w:pBdr>
      </w:pPr>
      <w:bookmarkStart w:id="152" w:name="_Toc402180349"/>
      <w:r w:rsidRPr="003F46ED">
        <w:t>students</w:t>
      </w:r>
      <w:bookmarkEnd w:id="152"/>
    </w:p>
    <w:p w14:paraId="3D63CC26" w14:textId="77777777" w:rsidR="00A734C7" w:rsidRPr="003F46ED" w:rsidRDefault="00A734C7" w:rsidP="00E419D1">
      <w:pPr>
        <w:pStyle w:val="ListParagraph"/>
        <w:numPr>
          <w:ilvl w:val="0"/>
          <w:numId w:val="43"/>
        </w:numPr>
        <w:pBdr>
          <w:top w:val="single" w:sz="4" w:space="1" w:color="auto"/>
          <w:left w:val="single" w:sz="4" w:space="1" w:color="auto"/>
          <w:bottom w:val="single" w:sz="4" w:space="1" w:color="auto"/>
          <w:right w:val="single" w:sz="4" w:space="1" w:color="auto"/>
        </w:pBdr>
      </w:pPr>
      <w:bookmarkStart w:id="153" w:name="_Toc402180350"/>
      <w:r w:rsidRPr="003F46ED">
        <w:t>parents</w:t>
      </w:r>
      <w:bookmarkEnd w:id="153"/>
    </w:p>
    <w:p w14:paraId="3532578D" w14:textId="77777777" w:rsidR="00E419D1" w:rsidRPr="00E419D1" w:rsidRDefault="00A734C7" w:rsidP="00E419D1">
      <w:pPr>
        <w:pStyle w:val="ListParagraph"/>
        <w:numPr>
          <w:ilvl w:val="0"/>
          <w:numId w:val="43"/>
        </w:numPr>
        <w:pBdr>
          <w:top w:val="single" w:sz="4" w:space="1" w:color="auto"/>
          <w:left w:val="single" w:sz="4" w:space="1" w:color="auto"/>
          <w:bottom w:val="single" w:sz="4" w:space="1" w:color="auto"/>
          <w:right w:val="single" w:sz="4" w:space="1" w:color="auto"/>
        </w:pBdr>
        <w:rPr>
          <w:rFonts w:eastAsia="Cambria"/>
        </w:rPr>
      </w:pPr>
      <w:bookmarkStart w:id="154" w:name="_Toc402180351"/>
      <w:r w:rsidRPr="003F46ED">
        <w:t>broader society</w:t>
      </w:r>
      <w:r w:rsidR="00431952">
        <w:br/>
      </w:r>
      <w:r w:rsidRPr="003F46ED">
        <w:t>(including the business sector)</w:t>
      </w:r>
      <w:bookmarkEnd w:id="154"/>
    </w:p>
    <w:p w14:paraId="51A69613" w14:textId="77777777" w:rsidR="00E419D1" w:rsidRDefault="00E419D1" w:rsidP="00E419D1">
      <w:pPr>
        <w:pStyle w:val="ListParagraph"/>
        <w:numPr>
          <w:ilvl w:val="0"/>
          <w:numId w:val="43"/>
        </w:numPr>
        <w:pBdr>
          <w:top w:val="single" w:sz="4" w:space="1" w:color="auto"/>
          <w:left w:val="single" w:sz="4" w:space="1" w:color="auto"/>
          <w:bottom w:val="single" w:sz="4" w:space="1" w:color="auto"/>
          <w:right w:val="single" w:sz="4" w:space="1" w:color="auto"/>
        </w:pBdr>
      </w:pPr>
      <w:r>
        <w:t>secondary principals</w:t>
      </w:r>
    </w:p>
    <w:p w14:paraId="187AAAFE" w14:textId="77777777" w:rsidR="0091348F" w:rsidRPr="0091348F" w:rsidRDefault="00E419D1" w:rsidP="00E419D1">
      <w:pPr>
        <w:pStyle w:val="ListParagraph"/>
        <w:numPr>
          <w:ilvl w:val="0"/>
          <w:numId w:val="43"/>
        </w:numPr>
        <w:pBdr>
          <w:top w:val="single" w:sz="4" w:space="1" w:color="auto"/>
          <w:left w:val="single" w:sz="4" w:space="1" w:color="auto"/>
          <w:bottom w:val="single" w:sz="4" w:space="1" w:color="auto"/>
          <w:right w:val="single" w:sz="4" w:space="1" w:color="auto"/>
        </w:pBdr>
        <w:rPr>
          <w:rFonts w:eastAsia="Cambria"/>
          <w:sz w:val="23"/>
          <w:szCs w:val="23"/>
        </w:rPr>
      </w:pPr>
      <w:r>
        <w:t>tertiary/vocational education sector</w:t>
      </w:r>
    </w:p>
    <w:p w14:paraId="75D4D962" w14:textId="77777777" w:rsidR="0091348F" w:rsidRDefault="0091348F" w:rsidP="00BB7670">
      <w:pPr>
        <w:pBdr>
          <w:top w:val="single" w:sz="4" w:space="1" w:color="auto"/>
          <w:left w:val="single" w:sz="4" w:space="1" w:color="auto"/>
          <w:bottom w:val="single" w:sz="4" w:space="1" w:color="auto"/>
          <w:right w:val="single" w:sz="4" w:space="1" w:color="auto"/>
        </w:pBdr>
        <w:spacing w:before="120" w:after="120" w:line="2040" w:lineRule="auto"/>
      </w:pPr>
    </w:p>
    <w:p w14:paraId="199C6FA8" w14:textId="3DAC9717" w:rsidR="00A734C7" w:rsidRPr="003F46ED" w:rsidRDefault="00A734C7" w:rsidP="00E419D1">
      <w:pPr>
        <w:pStyle w:val="H5inverse"/>
        <w:pBdr>
          <w:left w:val="single" w:sz="4" w:space="1" w:color="auto"/>
          <w:right w:val="single" w:sz="4" w:space="1" w:color="auto"/>
        </w:pBdr>
        <w:rPr>
          <w:rFonts w:eastAsia="Cambria"/>
        </w:rPr>
      </w:pPr>
      <w:bookmarkStart w:id="155" w:name="_Toc402180348"/>
      <w:bookmarkStart w:id="156" w:name="_Toc402180352"/>
      <w:r w:rsidRPr="00431952">
        <w:br w:type="column"/>
      </w:r>
      <w:r w:rsidRPr="003F46ED">
        <w:lastRenderedPageBreak/>
        <w:t>Supply</w:t>
      </w:r>
      <w:bookmarkEnd w:id="155"/>
    </w:p>
    <w:p w14:paraId="4402D311" w14:textId="77777777" w:rsidR="00A734C7" w:rsidRPr="003F46ED" w:rsidRDefault="00A734C7" w:rsidP="00E419D1">
      <w:pPr>
        <w:pStyle w:val="ListParagraph"/>
        <w:numPr>
          <w:ilvl w:val="0"/>
          <w:numId w:val="44"/>
        </w:numPr>
        <w:pBdr>
          <w:top w:val="single" w:sz="4" w:space="1" w:color="auto"/>
          <w:left w:val="single" w:sz="4" w:space="1" w:color="auto"/>
          <w:bottom w:val="single" w:sz="4" w:space="1" w:color="auto"/>
          <w:right w:val="single" w:sz="4" w:space="1" w:color="auto"/>
        </w:pBdr>
      </w:pPr>
      <w:r w:rsidRPr="003F46ED">
        <w:t>education systems, sectors, curriculum authorities</w:t>
      </w:r>
      <w:bookmarkEnd w:id="156"/>
    </w:p>
    <w:p w14:paraId="3B67FE7B" w14:textId="77777777" w:rsidR="00A734C7" w:rsidRPr="003F46ED" w:rsidRDefault="00A734C7" w:rsidP="00E419D1">
      <w:pPr>
        <w:pStyle w:val="ListParagraph"/>
        <w:numPr>
          <w:ilvl w:val="0"/>
          <w:numId w:val="44"/>
        </w:numPr>
        <w:pBdr>
          <w:top w:val="single" w:sz="4" w:space="1" w:color="auto"/>
          <w:left w:val="single" w:sz="4" w:space="1" w:color="auto"/>
          <w:bottom w:val="single" w:sz="4" w:space="1" w:color="auto"/>
          <w:right w:val="single" w:sz="4" w:space="1" w:color="auto"/>
        </w:pBdr>
      </w:pPr>
      <w:bookmarkStart w:id="157" w:name="_Toc402180353"/>
      <w:r w:rsidRPr="003F46ED">
        <w:t>Australian Curriculum, Assessment and Reporting Authority (ACARA), Australian Institute for Teaching and School Leadership (AITSL), Education Services Australia (ESA)</w:t>
      </w:r>
      <w:bookmarkEnd w:id="157"/>
    </w:p>
    <w:p w14:paraId="1F9A7D37" w14:textId="77777777" w:rsidR="00A734C7" w:rsidRPr="003F46ED" w:rsidRDefault="00A734C7" w:rsidP="00E419D1">
      <w:pPr>
        <w:pStyle w:val="ListParagraph"/>
        <w:numPr>
          <w:ilvl w:val="0"/>
          <w:numId w:val="44"/>
        </w:numPr>
        <w:pBdr>
          <w:top w:val="single" w:sz="4" w:space="1" w:color="auto"/>
          <w:left w:val="single" w:sz="4" w:space="1" w:color="auto"/>
          <w:bottom w:val="single" w:sz="4" w:space="1" w:color="auto"/>
          <w:right w:val="single" w:sz="4" w:space="1" w:color="auto"/>
        </w:pBdr>
      </w:pPr>
      <w:bookmarkStart w:id="158" w:name="_Toc402180354"/>
      <w:r w:rsidRPr="003F46ED">
        <w:t>relevant subject and professional associations, representing schools, school leaders and languages teachers</w:t>
      </w:r>
      <w:bookmarkEnd w:id="158"/>
      <w:r w:rsidRPr="003F46ED">
        <w:t xml:space="preserve"> </w:t>
      </w:r>
    </w:p>
    <w:p w14:paraId="04C27A3B" w14:textId="77777777" w:rsidR="00A734C7" w:rsidRPr="00E419D1" w:rsidRDefault="00A734C7" w:rsidP="00E419D1">
      <w:pPr>
        <w:pStyle w:val="ListParagraph"/>
        <w:numPr>
          <w:ilvl w:val="0"/>
          <w:numId w:val="44"/>
        </w:numPr>
        <w:pBdr>
          <w:top w:val="single" w:sz="4" w:space="1" w:color="auto"/>
          <w:left w:val="single" w:sz="4" w:space="1" w:color="auto"/>
          <w:bottom w:val="single" w:sz="4" w:space="1" w:color="auto"/>
          <w:right w:val="single" w:sz="4" w:space="1" w:color="auto"/>
        </w:pBdr>
        <w:rPr>
          <w:rFonts w:eastAsia="Cambria"/>
        </w:rPr>
      </w:pPr>
      <w:bookmarkStart w:id="159" w:name="_Toc402180355"/>
      <w:r w:rsidRPr="003F46ED">
        <w:t>complementary and community-based providers of languages education</w:t>
      </w:r>
      <w:bookmarkEnd w:id="159"/>
    </w:p>
    <w:p w14:paraId="7382B04C" w14:textId="77777777" w:rsidR="00E419D1" w:rsidRPr="003F46ED" w:rsidRDefault="00E419D1" w:rsidP="00E419D1">
      <w:pPr>
        <w:pStyle w:val="ListParagraph"/>
        <w:numPr>
          <w:ilvl w:val="0"/>
          <w:numId w:val="44"/>
        </w:numPr>
        <w:pBdr>
          <w:top w:val="single" w:sz="4" w:space="1" w:color="auto"/>
          <w:left w:val="single" w:sz="4" w:space="1" w:color="auto"/>
          <w:bottom w:val="single" w:sz="4" w:space="1" w:color="auto"/>
          <w:right w:val="single" w:sz="4" w:space="1" w:color="auto"/>
        </w:pBdr>
      </w:pPr>
      <w:r w:rsidRPr="003F46ED">
        <w:t>secondary principals</w:t>
      </w:r>
    </w:p>
    <w:p w14:paraId="77B24340" w14:textId="6F854CFE" w:rsidR="00E419D1" w:rsidRPr="00454524" w:rsidRDefault="00E419D1" w:rsidP="00E419D1">
      <w:pPr>
        <w:pStyle w:val="ListParagraph"/>
        <w:numPr>
          <w:ilvl w:val="0"/>
          <w:numId w:val="44"/>
        </w:numPr>
        <w:pBdr>
          <w:top w:val="single" w:sz="4" w:space="1" w:color="auto"/>
          <w:left w:val="single" w:sz="4" w:space="1" w:color="auto"/>
          <w:bottom w:val="single" w:sz="4" w:space="1" w:color="auto"/>
          <w:right w:val="single" w:sz="4" w:space="1" w:color="auto"/>
        </w:pBdr>
        <w:rPr>
          <w:rFonts w:eastAsia="Cambria"/>
        </w:rPr>
      </w:pPr>
      <w:r w:rsidRPr="003F46ED">
        <w:t>tertiary/vocational education sector</w:t>
      </w:r>
      <w:r w:rsidR="00C21833">
        <w:t xml:space="preserve"> </w:t>
      </w:r>
      <w:r w:rsidR="00F827D5">
        <w:br/>
      </w:r>
    </w:p>
    <w:p w14:paraId="71AAB9F3" w14:textId="77777777" w:rsidR="00A734C7" w:rsidRPr="00E419D1" w:rsidRDefault="00A734C7" w:rsidP="00E419D1">
      <w:pPr>
        <w:pStyle w:val="ListParagraph"/>
        <w:numPr>
          <w:ilvl w:val="0"/>
          <w:numId w:val="44"/>
        </w:numPr>
        <w:pBdr>
          <w:top w:val="single" w:sz="4" w:space="1" w:color="auto"/>
          <w:left w:val="single" w:sz="4" w:space="1" w:color="auto"/>
          <w:bottom w:val="single" w:sz="4" w:space="1" w:color="auto"/>
          <w:right w:val="single" w:sz="4" w:space="1" w:color="auto"/>
        </w:pBdr>
        <w:rPr>
          <w:rFonts w:eastAsia="Cambria"/>
        </w:rPr>
        <w:sectPr w:rsidR="00A734C7" w:rsidRPr="00E419D1" w:rsidSect="00F827D5">
          <w:type w:val="continuous"/>
          <w:pgSz w:w="11900" w:h="16840"/>
          <w:pgMar w:top="1440" w:right="1440" w:bottom="1440" w:left="1440" w:header="709" w:footer="709" w:gutter="0"/>
          <w:cols w:num="2" w:sep="1" w:space="170"/>
          <w:docGrid w:linePitch="299"/>
        </w:sectPr>
      </w:pPr>
      <w:bookmarkStart w:id="160" w:name="_Toc402180356"/>
    </w:p>
    <w:p w14:paraId="757E9E3D" w14:textId="68ECA819" w:rsidR="007B1D45" w:rsidRPr="003F46ED" w:rsidRDefault="00B00CC2" w:rsidP="002F005A">
      <w:pPr>
        <w:spacing w:before="600"/>
      </w:pPr>
      <w:bookmarkStart w:id="161" w:name="_Toc402180358"/>
      <w:bookmarkEnd w:id="160"/>
      <w:r w:rsidRPr="003F46ED">
        <w:lastRenderedPageBreak/>
        <w:t xml:space="preserve">Investigating both demand and supply allowed the research to identify the inextricable link between building and sustaining </w:t>
      </w:r>
      <w:r w:rsidR="00FF3E57" w:rsidRPr="003F46ED">
        <w:t xml:space="preserve">student </w:t>
      </w:r>
      <w:r w:rsidRPr="003F46ED">
        <w:t xml:space="preserve">demand for language study </w:t>
      </w:r>
      <w:r w:rsidRPr="003F46ED">
        <w:rPr>
          <w:i/>
        </w:rPr>
        <w:t xml:space="preserve">and </w:t>
      </w:r>
      <w:r w:rsidRPr="003F46ED">
        <w:t>the senior secondary structures in place within jurisdictions (see ‘Key findings and recommendations’ section).</w:t>
      </w:r>
      <w:bookmarkEnd w:id="161"/>
    </w:p>
    <w:p w14:paraId="56745BA4" w14:textId="77777777" w:rsidR="007B1D45" w:rsidRPr="003F46ED" w:rsidRDefault="00B00CC2" w:rsidP="00E22FCF">
      <w:pPr>
        <w:pStyle w:val="Heading2"/>
      </w:pPr>
      <w:bookmarkStart w:id="162" w:name="_Toc273790534"/>
      <w:bookmarkStart w:id="163" w:name="_Toc402180359"/>
      <w:bookmarkStart w:id="164" w:name="_Toc276245090"/>
      <w:bookmarkStart w:id="165" w:name="_Toc445305260"/>
      <w:r w:rsidRPr="003F46ED">
        <w:t>Data collection and analysis</w:t>
      </w:r>
      <w:bookmarkEnd w:id="162"/>
      <w:bookmarkEnd w:id="163"/>
      <w:bookmarkEnd w:id="164"/>
      <w:bookmarkEnd w:id="165"/>
    </w:p>
    <w:p w14:paraId="33DE0180" w14:textId="77777777" w:rsidR="007B1D45" w:rsidRPr="003F46ED" w:rsidRDefault="003C0CFC" w:rsidP="00B30583">
      <w:bookmarkStart w:id="166" w:name="_Toc402180360"/>
      <w:r w:rsidRPr="003F46ED">
        <w:t>The</w:t>
      </w:r>
      <w:r w:rsidR="0005153B" w:rsidRPr="003F46ED">
        <w:t xml:space="preserve"> Advisory Group</w:t>
      </w:r>
      <w:r w:rsidRPr="003F46ED">
        <w:t xml:space="preserve"> for the project</w:t>
      </w:r>
      <w:r w:rsidR="0005153B" w:rsidRPr="003F46ED">
        <w:t xml:space="preserve"> </w:t>
      </w:r>
      <w:r w:rsidR="008E1E7E" w:rsidRPr="003F46ED">
        <w:t>provided advice and guidance on the data collection and</w:t>
      </w:r>
      <w:r w:rsidR="0005153B" w:rsidRPr="003F46ED">
        <w:t xml:space="preserve"> analysis aspects of the research (see Attachment 5)</w:t>
      </w:r>
      <w:r w:rsidR="008E1E7E" w:rsidRPr="003F46ED">
        <w:t xml:space="preserve">. The </w:t>
      </w:r>
      <w:r w:rsidR="00B17CD2" w:rsidRPr="003F46ED">
        <w:t xml:space="preserve">Advisory </w:t>
      </w:r>
      <w:r w:rsidR="008E1E7E" w:rsidRPr="003F46ED">
        <w:t>Group met twice (on 19 March and 24 July 2014) and included a range of key stakeholder organisations as well as A</w:t>
      </w:r>
      <w:r w:rsidR="0005153B" w:rsidRPr="003F46ED">
        <w:t>EF’s research collaborators.</w:t>
      </w:r>
      <w:bookmarkEnd w:id="166"/>
    </w:p>
    <w:p w14:paraId="14D0799A" w14:textId="77777777" w:rsidR="007B1D45" w:rsidRPr="003F46ED" w:rsidRDefault="00B00CC2" w:rsidP="00B30583">
      <w:bookmarkStart w:id="167" w:name="_Toc402180361"/>
      <w:r w:rsidRPr="003F46ED">
        <w:t>Given the complexity of the topic, this research used a mixed methods approach, combining quantitative data collection with qua</w:t>
      </w:r>
      <w:r w:rsidR="003046A9" w:rsidRPr="003F46ED">
        <w:t>litative and empirical insights (see</w:t>
      </w:r>
      <w:r w:rsidRPr="003F46ED">
        <w:t xml:space="preserve"> </w:t>
      </w:r>
      <w:r w:rsidR="00087C0E" w:rsidRPr="003F46ED">
        <w:t>Table 2</w:t>
      </w:r>
      <w:r w:rsidRPr="003F46ED">
        <w:t>.2</w:t>
      </w:r>
      <w:r w:rsidR="003046A9" w:rsidRPr="003F46ED">
        <w:t>)</w:t>
      </w:r>
      <w:r w:rsidRPr="003F46ED">
        <w:t>.</w:t>
      </w:r>
      <w:bookmarkEnd w:id="167"/>
    </w:p>
    <w:p w14:paraId="7D96E413" w14:textId="77777777" w:rsidR="004E6DB1" w:rsidRPr="003F46ED" w:rsidRDefault="004E6DB1">
      <w:pPr>
        <w:spacing w:after="0"/>
        <w:rPr>
          <w:rFonts w:asciiTheme="majorHAnsi" w:eastAsiaTheme="majorEastAsia" w:hAnsiTheme="majorHAnsi" w:cstheme="majorBidi"/>
          <w:b/>
          <w:bCs/>
          <w:color w:val="4F81BD" w:themeColor="accent1"/>
        </w:rPr>
      </w:pPr>
      <w:bookmarkStart w:id="168" w:name="_Toc402180362"/>
      <w:r w:rsidRPr="003F46ED">
        <w:br w:type="page"/>
      </w:r>
    </w:p>
    <w:p w14:paraId="6C6F1514" w14:textId="16B374DC" w:rsidR="002F1F7E" w:rsidRPr="00F74E23" w:rsidRDefault="002F1F7E" w:rsidP="00F74E23">
      <w:pPr>
        <w:pStyle w:val="Caption"/>
        <w:rPr>
          <w:b/>
        </w:rPr>
      </w:pPr>
      <w:r w:rsidRPr="00F74E23">
        <w:rPr>
          <w:b/>
        </w:rPr>
        <w:lastRenderedPageBreak/>
        <w:t>Table 2.2: Quantitativ</w:t>
      </w:r>
      <w:r w:rsidR="003046A9" w:rsidRPr="00F74E23">
        <w:rPr>
          <w:b/>
        </w:rPr>
        <w:t>e and qualitative data generation</w:t>
      </w:r>
      <w:r w:rsidRPr="00F74E23">
        <w:rPr>
          <w:b/>
        </w:rPr>
        <w:t xml:space="preserve"> </w:t>
      </w:r>
      <w:r w:rsidR="003046A9" w:rsidRPr="00F74E23">
        <w:rPr>
          <w:b/>
        </w:rPr>
        <w:t>for</w:t>
      </w:r>
      <w:r w:rsidRPr="00F74E23">
        <w:rPr>
          <w:b/>
        </w:rPr>
        <w:t xml:space="preserve"> the research</w:t>
      </w:r>
      <w:bookmarkEnd w:id="168"/>
    </w:p>
    <w:p w14:paraId="7D31BF97" w14:textId="77777777" w:rsidR="00685C1A" w:rsidRDefault="00685C1A" w:rsidP="00685C1A">
      <w:pPr>
        <w:pStyle w:val="Heading4"/>
        <w:shd w:val="clear" w:color="auto" w:fill="000000" w:themeFill="text1"/>
        <w:spacing w:before="40" w:after="40"/>
        <w:rPr>
          <w:rFonts w:asciiTheme="minorHAnsi" w:hAnsiTheme="minorHAnsi" w:cstheme="minorHAnsi"/>
          <w:i w:val="0"/>
          <w:color w:val="FFFFFF" w:themeColor="background1"/>
        </w:rPr>
      </w:pPr>
      <w:bookmarkStart w:id="169" w:name="_Toc402180363"/>
      <w:r w:rsidRPr="002D3C7F">
        <w:rPr>
          <w:rFonts w:asciiTheme="minorHAnsi" w:hAnsiTheme="minorHAnsi" w:cstheme="minorHAnsi"/>
          <w:i w:val="0"/>
          <w:color w:val="FFFFFF" w:themeColor="background1"/>
        </w:rPr>
        <w:t>Quantitative data (to identify trends and patterns)</w:t>
      </w:r>
    </w:p>
    <w:p w14:paraId="788FF751" w14:textId="77777777" w:rsidR="00685C1A" w:rsidRPr="002D3C7F" w:rsidRDefault="00685C1A" w:rsidP="00685C1A">
      <w:pPr>
        <w:shd w:val="clear" w:color="auto" w:fill="000000" w:themeFill="text1"/>
        <w:spacing w:after="60"/>
        <w:rPr>
          <w:sz w:val="4"/>
          <w:szCs w:val="4"/>
        </w:rPr>
      </w:pPr>
    </w:p>
    <w:p w14:paraId="460FDB2E" w14:textId="77777777" w:rsidR="00685C1A" w:rsidRPr="003F46ED" w:rsidRDefault="00685C1A" w:rsidP="00685C1A">
      <w:pPr>
        <w:pStyle w:val="ListParagraph"/>
        <w:numPr>
          <w:ilvl w:val="0"/>
          <w:numId w:val="21"/>
        </w:numPr>
      </w:pPr>
      <w:r w:rsidRPr="003F46ED">
        <w:t>Student survey</w:t>
      </w:r>
    </w:p>
    <w:p w14:paraId="69585E2F" w14:textId="77777777" w:rsidR="00685C1A" w:rsidRPr="003F46ED" w:rsidRDefault="00685C1A" w:rsidP="00685C1A">
      <w:pPr>
        <w:pStyle w:val="ListParagraph"/>
        <w:numPr>
          <w:ilvl w:val="0"/>
          <w:numId w:val="21"/>
        </w:numPr>
      </w:pPr>
      <w:r w:rsidRPr="003F46ED">
        <w:t>Parent survey</w:t>
      </w:r>
    </w:p>
    <w:p w14:paraId="7E220F2E" w14:textId="77777777" w:rsidR="00685C1A" w:rsidRDefault="00685C1A" w:rsidP="00685C1A">
      <w:pPr>
        <w:pStyle w:val="ListParagraph"/>
        <w:numPr>
          <w:ilvl w:val="0"/>
          <w:numId w:val="21"/>
        </w:numPr>
        <w:spacing w:after="40" w:line="240" w:lineRule="auto"/>
        <w:ind w:left="357" w:hanging="357"/>
      </w:pPr>
      <w:r w:rsidRPr="003F46ED">
        <w:t>Principal survey</w:t>
      </w:r>
    </w:p>
    <w:p w14:paraId="7BAD5D4E" w14:textId="77777777" w:rsidR="00685C1A" w:rsidRPr="002D3C7F" w:rsidRDefault="00685C1A" w:rsidP="00685C1A">
      <w:pPr>
        <w:pBdr>
          <w:bottom w:val="single" w:sz="4" w:space="1" w:color="auto"/>
        </w:pBdr>
        <w:rPr>
          <w:sz w:val="2"/>
          <w:szCs w:val="2"/>
        </w:rPr>
      </w:pPr>
    </w:p>
    <w:p w14:paraId="44E17471" w14:textId="77777777" w:rsidR="00685C1A" w:rsidRDefault="00685C1A" w:rsidP="00685C1A">
      <w:pPr>
        <w:pStyle w:val="Heading4"/>
        <w:shd w:val="clear" w:color="auto" w:fill="000000" w:themeFill="text1"/>
        <w:spacing w:before="40"/>
        <w:rPr>
          <w:rFonts w:asciiTheme="minorHAnsi" w:hAnsiTheme="minorHAnsi" w:cstheme="minorHAnsi"/>
          <w:i w:val="0"/>
          <w:color w:val="FFFFFF" w:themeColor="background1"/>
        </w:rPr>
      </w:pPr>
      <w:r w:rsidRPr="002D3C7F">
        <w:rPr>
          <w:rFonts w:asciiTheme="minorHAnsi" w:hAnsiTheme="minorHAnsi" w:cstheme="minorHAnsi"/>
          <w:i w:val="0"/>
          <w:color w:val="FFFFFF" w:themeColor="background1"/>
        </w:rPr>
        <w:t>Qualitative data (to understand trends and patterns and identify key issues/themes to be addressed)</w:t>
      </w:r>
    </w:p>
    <w:p w14:paraId="183CFDAD" w14:textId="77777777" w:rsidR="00685C1A" w:rsidRPr="002D3C7F" w:rsidRDefault="00685C1A" w:rsidP="00685C1A">
      <w:pPr>
        <w:shd w:val="clear" w:color="auto" w:fill="000000" w:themeFill="text1"/>
        <w:spacing w:after="60"/>
        <w:rPr>
          <w:sz w:val="4"/>
          <w:szCs w:val="4"/>
        </w:rPr>
      </w:pPr>
    </w:p>
    <w:p w14:paraId="76DC9B87" w14:textId="77777777" w:rsidR="00685C1A" w:rsidRPr="003F46ED" w:rsidRDefault="00685C1A" w:rsidP="00685C1A">
      <w:pPr>
        <w:pStyle w:val="ListParagraph"/>
        <w:numPr>
          <w:ilvl w:val="0"/>
          <w:numId w:val="21"/>
        </w:numPr>
      </w:pPr>
      <w:r w:rsidRPr="003F46ED">
        <w:t>Policy and literature review</w:t>
      </w:r>
    </w:p>
    <w:p w14:paraId="08478767" w14:textId="77777777" w:rsidR="00685C1A" w:rsidRPr="003F46ED" w:rsidRDefault="00685C1A" w:rsidP="00685C1A">
      <w:pPr>
        <w:pStyle w:val="ListParagraph"/>
        <w:numPr>
          <w:ilvl w:val="0"/>
          <w:numId w:val="21"/>
        </w:numPr>
      </w:pPr>
      <w:r w:rsidRPr="003F46ED">
        <w:t>Consultations</w:t>
      </w:r>
    </w:p>
    <w:p w14:paraId="3B22298C" w14:textId="77777777" w:rsidR="00685C1A" w:rsidRPr="003F46ED" w:rsidRDefault="00685C1A" w:rsidP="00685C1A">
      <w:pPr>
        <w:pStyle w:val="ListParagraph"/>
        <w:numPr>
          <w:ilvl w:val="0"/>
          <w:numId w:val="7"/>
        </w:numPr>
        <w:rPr>
          <w:rFonts w:eastAsiaTheme="minorEastAsia"/>
        </w:rPr>
      </w:pPr>
      <w:r w:rsidRPr="003F46ED">
        <w:t>First round (Mar–Apr 2014): all departments of education; Catholic and Independent sector representatives</w:t>
      </w:r>
    </w:p>
    <w:p w14:paraId="28A0C35E" w14:textId="77777777" w:rsidR="00685C1A" w:rsidRPr="003F46ED" w:rsidRDefault="00685C1A" w:rsidP="00685C1A">
      <w:pPr>
        <w:pStyle w:val="ListParagraph"/>
        <w:numPr>
          <w:ilvl w:val="0"/>
          <w:numId w:val="7"/>
        </w:numPr>
        <w:rPr>
          <w:rFonts w:eastAsiaTheme="minorEastAsia"/>
        </w:rPr>
      </w:pPr>
      <w:r w:rsidRPr="003F46ED">
        <w:t>Second round (Jun–Aug 2014) : all curriculum authorities; ACARA, AITSL and ESA; stakeholder groups (including parents and business); languages academics</w:t>
      </w:r>
    </w:p>
    <w:p w14:paraId="3A73A904" w14:textId="77777777" w:rsidR="00685C1A" w:rsidRPr="003F46ED" w:rsidRDefault="00685C1A" w:rsidP="00685C1A">
      <w:pPr>
        <w:pStyle w:val="ListParagraph"/>
        <w:numPr>
          <w:ilvl w:val="0"/>
          <w:numId w:val="7"/>
        </w:numPr>
        <w:spacing w:after="40" w:line="240" w:lineRule="auto"/>
        <w:ind w:left="714" w:hanging="357"/>
        <w:contextualSpacing w:val="0"/>
        <w:rPr>
          <w:rFonts w:eastAsiaTheme="minorEastAsia"/>
        </w:rPr>
      </w:pPr>
      <w:r w:rsidRPr="003F46ED">
        <w:t>Third round (testing, 1–8 Sep 2014): all departments of education and curriculum authorities; Catholic and Independent sector representatives; AITSL and ESA</w:t>
      </w:r>
    </w:p>
    <w:p w14:paraId="0227DD51" w14:textId="77777777" w:rsidR="00685C1A" w:rsidRPr="006A740B" w:rsidRDefault="00685C1A" w:rsidP="00685C1A">
      <w:pPr>
        <w:pBdr>
          <w:bottom w:val="single" w:sz="4" w:space="1" w:color="auto"/>
        </w:pBdr>
        <w:rPr>
          <w:sz w:val="4"/>
          <w:szCs w:val="4"/>
        </w:rPr>
      </w:pPr>
    </w:p>
    <w:p w14:paraId="4EF7E96A" w14:textId="77777777" w:rsidR="007B1D45" w:rsidRPr="003F46ED" w:rsidRDefault="00540A73" w:rsidP="00B30583">
      <w:bookmarkStart w:id="170" w:name="_Toc402180373"/>
      <w:bookmarkEnd w:id="169"/>
      <w:r w:rsidRPr="003F46ED">
        <w:t>T</w:t>
      </w:r>
      <w:r w:rsidR="00B00CC2" w:rsidRPr="003F46ED">
        <w:t xml:space="preserve">he first two rounds of consultations were designed to identify key issues and themes only and were not intended for in-depth qualitative analysis. The intent was to triangulate key issues and themes arising from these consultations with key findings from the ‘Policy and literature review’ (see Attachment 1) and </w:t>
      </w:r>
      <w:r w:rsidR="00D054C6" w:rsidRPr="003F46ED">
        <w:t>results from the surveys</w:t>
      </w:r>
      <w:r w:rsidR="00B00CC2" w:rsidRPr="003F46ED">
        <w:t xml:space="preserve"> (see Attachment 2).</w:t>
      </w:r>
      <w:bookmarkEnd w:id="170"/>
      <w:r w:rsidR="00B00CC2" w:rsidRPr="003F46ED">
        <w:t xml:space="preserve"> </w:t>
      </w:r>
    </w:p>
    <w:p w14:paraId="179EBF30" w14:textId="77777777" w:rsidR="007B1D45" w:rsidRPr="003F46ED" w:rsidRDefault="00B00CC2" w:rsidP="00B30583">
      <w:bookmarkStart w:id="171" w:name="_Toc402180374"/>
      <w:r w:rsidRPr="003F46ED">
        <w:t xml:space="preserve">The final round of consultations was used to discuss key findings and test possible recommendations. Attachment 4 </w:t>
      </w:r>
      <w:r w:rsidR="001B15BA" w:rsidRPr="003F46ED">
        <w:t>details</w:t>
      </w:r>
      <w:r w:rsidRPr="003F46ED">
        <w:t xml:space="preserve"> the organisations and individuals consulted and the focus of each of the three rounds of consultation.</w:t>
      </w:r>
      <w:bookmarkEnd w:id="171"/>
    </w:p>
    <w:p w14:paraId="25CBC377" w14:textId="77777777" w:rsidR="007B1D45" w:rsidRPr="003F46ED" w:rsidRDefault="00B00CC2" w:rsidP="00B30583">
      <w:bookmarkStart w:id="172" w:name="_Toc402180375"/>
      <w:r w:rsidRPr="003F46ED">
        <w:t xml:space="preserve">In addition to the data sets in </w:t>
      </w:r>
      <w:r w:rsidR="00F11846" w:rsidRPr="003F46ED">
        <w:t>Table 2</w:t>
      </w:r>
      <w:r w:rsidRPr="003F46ED">
        <w:t>.2, Dr Robyn Spence-Brown of Monash University conducted a</w:t>
      </w:r>
      <w:r w:rsidR="00D27479" w:rsidRPr="003F46ED">
        <w:t xml:space="preserve"> </w:t>
      </w:r>
      <w:r w:rsidRPr="003F46ED">
        <w:t>complementary</w:t>
      </w:r>
      <w:r w:rsidR="00954884" w:rsidRPr="003F46ED">
        <w:t xml:space="preserve"> </w:t>
      </w:r>
      <w:r w:rsidRPr="003F46ED">
        <w:t>piece of research on ‘Factors related to student continuation and discontinuation of Japanese in senior secondary school’. This research provides a detailed case study of senior secondary subject choice dynamics for Japanese, the most wid</w:t>
      </w:r>
      <w:r w:rsidR="003D7080" w:rsidRPr="003F46ED">
        <w:t>ely taught language</w:t>
      </w:r>
      <w:r w:rsidRPr="003F46ED">
        <w:t xml:space="preserve"> in Australian schools.</w:t>
      </w:r>
      <w:bookmarkEnd w:id="172"/>
      <w:r w:rsidRPr="003F46ED">
        <w:t xml:space="preserve"> </w:t>
      </w:r>
    </w:p>
    <w:p w14:paraId="19453331" w14:textId="77777777" w:rsidR="007B1D45" w:rsidRPr="003F46ED" w:rsidRDefault="00B00CC2" w:rsidP="00B30583">
      <w:bookmarkStart w:id="173" w:name="_Toc402180376"/>
      <w:r w:rsidRPr="003F46ED">
        <w:t xml:space="preserve">AEF has acquired </w:t>
      </w:r>
      <w:r w:rsidR="00D27479" w:rsidRPr="003F46ED">
        <w:t>permission</w:t>
      </w:r>
      <w:r w:rsidRPr="003F46ED">
        <w:t xml:space="preserve"> to use Spence-Brown’s research as part of this project. A detailed report of her </w:t>
      </w:r>
      <w:r w:rsidR="00420DBE" w:rsidRPr="003F46ED">
        <w:t>results</w:t>
      </w:r>
      <w:r w:rsidRPr="003F46ED">
        <w:t xml:space="preserve"> is included in Attachment 3.</w:t>
      </w:r>
      <w:bookmarkEnd w:id="173"/>
    </w:p>
    <w:p w14:paraId="682E063E" w14:textId="77777777" w:rsidR="007B1D45" w:rsidRPr="003F46ED" w:rsidRDefault="00B00CC2" w:rsidP="00F536F8">
      <w:pPr>
        <w:pStyle w:val="Heading3"/>
      </w:pPr>
      <w:bookmarkStart w:id="174" w:name="_Toc273790535"/>
      <w:bookmarkStart w:id="175" w:name="_Toc402180377"/>
      <w:r w:rsidRPr="003F46ED">
        <w:t>Research c</w:t>
      </w:r>
      <w:bookmarkEnd w:id="174"/>
      <w:bookmarkEnd w:id="175"/>
      <w:r w:rsidR="00732F5A" w:rsidRPr="003F46ED">
        <w:t>ontributors</w:t>
      </w:r>
    </w:p>
    <w:p w14:paraId="020AA688" w14:textId="77777777" w:rsidR="007B1D45" w:rsidRPr="003F46ED" w:rsidRDefault="00B00CC2" w:rsidP="00B30583">
      <w:bookmarkStart w:id="176" w:name="_Toc402180378"/>
      <w:r w:rsidRPr="003F46ED">
        <w:t xml:space="preserve">AEF partnered with a range of research collaborators </w:t>
      </w:r>
      <w:r w:rsidR="009D5BD7" w:rsidRPr="003F46ED">
        <w:t>who contributed to generating</w:t>
      </w:r>
      <w:r w:rsidRPr="003F46ED">
        <w:t xml:space="preserve"> the quantitative and qualitative data sets for the research. </w:t>
      </w:r>
      <w:r w:rsidR="008E53BB" w:rsidRPr="003F46ED">
        <w:t>Table 2</w:t>
      </w:r>
      <w:r w:rsidRPr="003F46ED">
        <w:t>.3 specifies the collaborators and their respective contributions</w:t>
      </w:r>
      <w:r w:rsidR="009D5BD7" w:rsidRPr="003F46ED">
        <w:t>.</w:t>
      </w:r>
      <w:bookmarkEnd w:id="176"/>
      <w:r w:rsidR="009D5BD7" w:rsidRPr="003F46ED">
        <w:t xml:space="preserve"> </w:t>
      </w:r>
      <w:r w:rsidR="005B08F2" w:rsidRPr="003F46ED">
        <w:t xml:space="preserve"> Contributor</w:t>
      </w:r>
    </w:p>
    <w:p w14:paraId="2DB06B52" w14:textId="77777777" w:rsidR="005F0317" w:rsidRDefault="005F0317">
      <w:pPr>
        <w:spacing w:after="0"/>
      </w:pPr>
      <w:bookmarkStart w:id="177" w:name="_Toc402180379"/>
      <w:r>
        <w:br w:type="page"/>
      </w:r>
    </w:p>
    <w:p w14:paraId="0FD8B05B" w14:textId="4DC22FCB" w:rsidR="002F1F7E" w:rsidRPr="00F74E23" w:rsidRDefault="002F1F7E" w:rsidP="00BA49C9">
      <w:pPr>
        <w:pStyle w:val="Caption"/>
        <w:rPr>
          <w:b/>
        </w:rPr>
      </w:pPr>
      <w:r w:rsidRPr="00F74E23">
        <w:rPr>
          <w:b/>
        </w:rPr>
        <w:lastRenderedPageBreak/>
        <w:t xml:space="preserve">Table 2.3: </w:t>
      </w:r>
      <w:r w:rsidR="00732F5A" w:rsidRPr="00F74E23">
        <w:rPr>
          <w:b/>
        </w:rPr>
        <w:t>Research contributors</w:t>
      </w:r>
      <w:r w:rsidRPr="00F74E23">
        <w:rPr>
          <w:b/>
        </w:rPr>
        <w:t xml:space="preserve"> and their respective contributions</w:t>
      </w:r>
      <w:bookmarkEnd w:id="177"/>
    </w:p>
    <w:tbl>
      <w:tblPr>
        <w:tblStyle w:val="TableGrid"/>
        <w:tblW w:w="5000" w:type="pct"/>
        <w:tblLook w:val="04A0" w:firstRow="1" w:lastRow="0" w:firstColumn="1" w:lastColumn="0" w:noHBand="0" w:noVBand="1"/>
      </w:tblPr>
      <w:tblGrid>
        <w:gridCol w:w="4924"/>
        <w:gridCol w:w="4924"/>
      </w:tblGrid>
      <w:tr w:rsidR="00B00CC2" w:rsidRPr="003F46ED" w14:paraId="5D8C79D1" w14:textId="77777777" w:rsidTr="00B44405">
        <w:trPr>
          <w:cantSplit/>
          <w:trHeight w:val="567"/>
          <w:tblHeader/>
        </w:trPr>
        <w:tc>
          <w:tcPr>
            <w:tcW w:w="2500" w:type="pct"/>
            <w:shd w:val="clear" w:color="auto" w:fill="000000" w:themeFill="text1"/>
            <w:vAlign w:val="center"/>
          </w:tcPr>
          <w:p w14:paraId="06F24D22" w14:textId="77777777" w:rsidR="00B00CC2" w:rsidRPr="003F46ED" w:rsidRDefault="00B00CC2" w:rsidP="00B30583">
            <w:pPr>
              <w:rPr>
                <w:lang w:val="en-AU"/>
              </w:rPr>
            </w:pPr>
            <w:bookmarkStart w:id="178" w:name="_Toc402180380"/>
            <w:r w:rsidRPr="003F46ED">
              <w:rPr>
                <w:lang w:val="en-AU"/>
              </w:rPr>
              <w:t>Collaborator</w:t>
            </w:r>
            <w:bookmarkEnd w:id="178"/>
          </w:p>
        </w:tc>
        <w:tc>
          <w:tcPr>
            <w:tcW w:w="2500" w:type="pct"/>
            <w:shd w:val="clear" w:color="auto" w:fill="000000" w:themeFill="text1"/>
            <w:vAlign w:val="center"/>
          </w:tcPr>
          <w:p w14:paraId="1885BC10" w14:textId="77777777" w:rsidR="00B00CC2" w:rsidRPr="003F46ED" w:rsidRDefault="00B00CC2" w:rsidP="00B30583">
            <w:pPr>
              <w:rPr>
                <w:lang w:val="en-AU"/>
              </w:rPr>
            </w:pPr>
            <w:bookmarkStart w:id="179" w:name="_Toc402180381"/>
            <w:r w:rsidRPr="003F46ED">
              <w:rPr>
                <w:lang w:val="en-AU"/>
              </w:rPr>
              <w:t>Contribution</w:t>
            </w:r>
            <w:bookmarkEnd w:id="179"/>
          </w:p>
        </w:tc>
      </w:tr>
      <w:tr w:rsidR="00B00CC2" w:rsidRPr="003F46ED" w14:paraId="20C0F8A4" w14:textId="77777777" w:rsidTr="00B44405">
        <w:trPr>
          <w:cantSplit/>
        </w:trPr>
        <w:tc>
          <w:tcPr>
            <w:tcW w:w="2500" w:type="pct"/>
          </w:tcPr>
          <w:p w14:paraId="712A361E" w14:textId="77777777" w:rsidR="00B00CC2" w:rsidRPr="003F46ED" w:rsidRDefault="00B00CC2" w:rsidP="00B30583">
            <w:pPr>
              <w:rPr>
                <w:lang w:val="en-AU"/>
              </w:rPr>
            </w:pPr>
            <w:bookmarkStart w:id="180" w:name="_Toc402180382"/>
            <w:r w:rsidRPr="003F46ED">
              <w:rPr>
                <w:lang w:val="en-AU"/>
              </w:rPr>
              <w:t>University of South Australia (Research Centre for Languages and Cultures)</w:t>
            </w:r>
            <w:bookmarkEnd w:id="180"/>
          </w:p>
          <w:p w14:paraId="7B6B0C04" w14:textId="77777777" w:rsidR="00B00CC2" w:rsidRPr="003F46ED" w:rsidRDefault="00B00CC2" w:rsidP="00F666F6">
            <w:pPr>
              <w:pStyle w:val="ListParagraph"/>
              <w:numPr>
                <w:ilvl w:val="0"/>
                <w:numId w:val="8"/>
              </w:numPr>
              <w:ind w:left="360"/>
              <w:rPr>
                <w:lang w:val="en-AU"/>
              </w:rPr>
            </w:pPr>
            <w:bookmarkStart w:id="181" w:name="_Toc402180383"/>
            <w:r w:rsidRPr="003F46ED">
              <w:rPr>
                <w:lang w:val="en-AU"/>
              </w:rPr>
              <w:t>Dr Michelle Kohler</w:t>
            </w:r>
            <w:bookmarkEnd w:id="181"/>
          </w:p>
          <w:p w14:paraId="54B8DDAD" w14:textId="77777777" w:rsidR="00B00CC2" w:rsidRPr="003F46ED" w:rsidRDefault="00B00CC2" w:rsidP="00F666F6">
            <w:pPr>
              <w:pStyle w:val="ListParagraph"/>
              <w:numPr>
                <w:ilvl w:val="0"/>
                <w:numId w:val="8"/>
              </w:numPr>
              <w:ind w:left="360"/>
              <w:rPr>
                <w:lang w:val="en-AU"/>
              </w:rPr>
            </w:pPr>
            <w:bookmarkStart w:id="182" w:name="_Toc402180384"/>
            <w:r w:rsidRPr="003F46ED">
              <w:rPr>
                <w:lang w:val="en-AU"/>
              </w:rPr>
              <w:t xml:space="preserve">Dr Timothy </w:t>
            </w:r>
            <w:proofErr w:type="spellStart"/>
            <w:r w:rsidRPr="003F46ED">
              <w:rPr>
                <w:lang w:val="en-AU"/>
              </w:rPr>
              <w:t>Jowan</w:t>
            </w:r>
            <w:proofErr w:type="spellEnd"/>
            <w:r w:rsidRPr="003F46ED">
              <w:rPr>
                <w:lang w:val="en-AU"/>
              </w:rPr>
              <w:t xml:space="preserve"> Curnow</w:t>
            </w:r>
            <w:bookmarkEnd w:id="182"/>
          </w:p>
        </w:tc>
        <w:tc>
          <w:tcPr>
            <w:tcW w:w="2500" w:type="pct"/>
          </w:tcPr>
          <w:p w14:paraId="531D2929" w14:textId="77777777" w:rsidR="00B00CC2" w:rsidRPr="003F46ED" w:rsidRDefault="00B00CC2" w:rsidP="00B30583">
            <w:pPr>
              <w:rPr>
                <w:lang w:val="en-AU"/>
              </w:rPr>
            </w:pPr>
            <w:bookmarkStart w:id="183" w:name="_Toc402180385"/>
            <w:r w:rsidRPr="003F46ED">
              <w:rPr>
                <w:lang w:val="en-AU"/>
              </w:rPr>
              <w:t>Policy and literature review</w:t>
            </w:r>
            <w:r w:rsidR="00165B53" w:rsidRPr="003F46ED">
              <w:rPr>
                <w:lang w:val="en-AU"/>
              </w:rPr>
              <w:t>, with input from AEF</w:t>
            </w:r>
            <w:bookmarkEnd w:id="183"/>
          </w:p>
        </w:tc>
      </w:tr>
      <w:tr w:rsidR="00B00CC2" w:rsidRPr="003F46ED" w14:paraId="7438510A" w14:textId="77777777" w:rsidTr="00B44405">
        <w:trPr>
          <w:cantSplit/>
        </w:trPr>
        <w:tc>
          <w:tcPr>
            <w:tcW w:w="2500" w:type="pct"/>
          </w:tcPr>
          <w:p w14:paraId="260F70E4" w14:textId="77777777" w:rsidR="00B00CC2" w:rsidRPr="003F46ED" w:rsidRDefault="00B00CC2" w:rsidP="00B30583">
            <w:pPr>
              <w:rPr>
                <w:lang w:val="en-AU"/>
              </w:rPr>
            </w:pPr>
            <w:bookmarkStart w:id="184" w:name="_Toc402180386"/>
            <w:r w:rsidRPr="003F46ED">
              <w:rPr>
                <w:lang w:val="en-AU"/>
              </w:rPr>
              <w:t>Australian Council for Educational Research (Education Policy and Practice Research Program)</w:t>
            </w:r>
            <w:bookmarkEnd w:id="184"/>
          </w:p>
          <w:p w14:paraId="396A8EFB" w14:textId="77777777" w:rsidR="00B00CC2" w:rsidRPr="003F46ED" w:rsidRDefault="00B00CC2" w:rsidP="00F666F6">
            <w:pPr>
              <w:pStyle w:val="ListParagraph"/>
              <w:numPr>
                <w:ilvl w:val="0"/>
                <w:numId w:val="9"/>
              </w:numPr>
              <w:ind w:left="360"/>
              <w:rPr>
                <w:lang w:val="en-AU"/>
              </w:rPr>
            </w:pPr>
            <w:bookmarkStart w:id="185" w:name="_Toc402180387"/>
            <w:r w:rsidRPr="003F46ED">
              <w:rPr>
                <w:lang w:val="en-AU"/>
              </w:rPr>
              <w:t>Dr Sheldon Rothman</w:t>
            </w:r>
            <w:bookmarkEnd w:id="185"/>
          </w:p>
          <w:p w14:paraId="47FBF6D8" w14:textId="77777777" w:rsidR="00B00CC2" w:rsidRPr="003F46ED" w:rsidRDefault="00B00CC2" w:rsidP="00F666F6">
            <w:pPr>
              <w:pStyle w:val="ListParagraph"/>
              <w:numPr>
                <w:ilvl w:val="0"/>
                <w:numId w:val="9"/>
              </w:numPr>
              <w:ind w:left="360"/>
              <w:rPr>
                <w:lang w:val="en-AU"/>
              </w:rPr>
            </w:pPr>
            <w:bookmarkStart w:id="186" w:name="_Toc402180388"/>
            <w:r w:rsidRPr="003F46ED">
              <w:rPr>
                <w:lang w:val="en-AU"/>
              </w:rPr>
              <w:t>Alison Lonsdale</w:t>
            </w:r>
            <w:bookmarkEnd w:id="186"/>
          </w:p>
          <w:p w14:paraId="2E8B7B7F" w14:textId="77777777" w:rsidR="007B1D45" w:rsidRPr="003F46ED" w:rsidRDefault="00B00CC2" w:rsidP="00F666F6">
            <w:pPr>
              <w:pStyle w:val="ListParagraph"/>
              <w:numPr>
                <w:ilvl w:val="0"/>
                <w:numId w:val="9"/>
              </w:numPr>
              <w:ind w:left="360"/>
              <w:rPr>
                <w:lang w:val="en-AU"/>
              </w:rPr>
            </w:pPr>
            <w:bookmarkStart w:id="187" w:name="_Toc402180389"/>
            <w:r w:rsidRPr="003F46ED">
              <w:rPr>
                <w:lang w:val="en-AU"/>
              </w:rPr>
              <w:t>Dr Yu Zhao</w:t>
            </w:r>
            <w:bookmarkEnd w:id="187"/>
          </w:p>
          <w:p w14:paraId="5BFB70B2" w14:textId="6DA3589D" w:rsidR="00B00CC2" w:rsidRPr="003F46ED" w:rsidRDefault="00B00CC2" w:rsidP="00B30583">
            <w:pPr>
              <w:rPr>
                <w:lang w:val="en-AU"/>
              </w:rPr>
            </w:pPr>
            <w:bookmarkStart w:id="188" w:name="_Toc402180390"/>
            <w:r w:rsidRPr="003F46ED">
              <w:rPr>
                <w:lang w:val="en-AU"/>
              </w:rPr>
              <w:t>(Initial contributors included Dr Adrian Beavis and Jenny Wilkinson)</w:t>
            </w:r>
            <w:bookmarkEnd w:id="188"/>
          </w:p>
        </w:tc>
        <w:tc>
          <w:tcPr>
            <w:tcW w:w="2500" w:type="pct"/>
          </w:tcPr>
          <w:p w14:paraId="581F555F" w14:textId="77777777" w:rsidR="00B00CC2" w:rsidRPr="003F46ED" w:rsidRDefault="00B00CC2" w:rsidP="00B30583">
            <w:pPr>
              <w:rPr>
                <w:lang w:val="en-AU"/>
              </w:rPr>
            </w:pPr>
            <w:bookmarkStart w:id="189" w:name="_Toc402180391"/>
            <w:r w:rsidRPr="003F46ED">
              <w:rPr>
                <w:lang w:val="en-AU"/>
              </w:rPr>
              <w:t>Student, parent and principal surveys</w:t>
            </w:r>
            <w:bookmarkEnd w:id="189"/>
          </w:p>
          <w:p w14:paraId="451B0F41" w14:textId="77777777" w:rsidR="00B00CC2" w:rsidRPr="003F46ED" w:rsidRDefault="00B15323" w:rsidP="00F666F6">
            <w:pPr>
              <w:pStyle w:val="ListParagraph"/>
              <w:numPr>
                <w:ilvl w:val="0"/>
                <w:numId w:val="11"/>
              </w:numPr>
              <w:ind w:left="360"/>
              <w:rPr>
                <w:lang w:val="en-AU"/>
              </w:rPr>
            </w:pPr>
            <w:bookmarkStart w:id="190" w:name="_Toc402180392"/>
            <w:r w:rsidRPr="003F46ED">
              <w:rPr>
                <w:lang w:val="en-AU"/>
              </w:rPr>
              <w:t>co</w:t>
            </w:r>
            <w:r w:rsidR="00B00CC2" w:rsidRPr="003F46ED">
              <w:rPr>
                <w:lang w:val="en-AU"/>
              </w:rPr>
              <w:t>-design with AEF</w:t>
            </w:r>
            <w:bookmarkEnd w:id="190"/>
          </w:p>
          <w:p w14:paraId="3A25001D" w14:textId="77777777" w:rsidR="00B00CC2" w:rsidRPr="003F46ED" w:rsidRDefault="00B15323" w:rsidP="00F666F6">
            <w:pPr>
              <w:pStyle w:val="ListParagraph"/>
              <w:numPr>
                <w:ilvl w:val="0"/>
                <w:numId w:val="11"/>
              </w:numPr>
              <w:ind w:left="360"/>
              <w:rPr>
                <w:lang w:val="en-AU"/>
              </w:rPr>
            </w:pPr>
            <w:bookmarkStart w:id="191" w:name="_Toc402180393"/>
            <w:r w:rsidRPr="003F46ED">
              <w:rPr>
                <w:lang w:val="en-AU"/>
              </w:rPr>
              <w:t xml:space="preserve">random </w:t>
            </w:r>
            <w:r w:rsidR="00B00CC2" w:rsidRPr="003F46ED">
              <w:rPr>
                <w:lang w:val="en-AU"/>
              </w:rPr>
              <w:t>sampling for principal survey</w:t>
            </w:r>
            <w:bookmarkEnd w:id="191"/>
          </w:p>
          <w:p w14:paraId="388227A9" w14:textId="77777777" w:rsidR="00B00CC2" w:rsidRPr="003F46ED" w:rsidRDefault="00B15323" w:rsidP="00F666F6">
            <w:pPr>
              <w:pStyle w:val="ListParagraph"/>
              <w:numPr>
                <w:ilvl w:val="0"/>
                <w:numId w:val="11"/>
              </w:numPr>
              <w:ind w:left="360"/>
              <w:rPr>
                <w:lang w:val="en-AU"/>
              </w:rPr>
            </w:pPr>
            <w:bookmarkStart w:id="192" w:name="_Toc402180394"/>
            <w:proofErr w:type="gramStart"/>
            <w:r w:rsidRPr="003F46ED">
              <w:rPr>
                <w:lang w:val="en-AU"/>
              </w:rPr>
              <w:t>analysis</w:t>
            </w:r>
            <w:proofErr w:type="gramEnd"/>
            <w:r w:rsidRPr="003F46ED">
              <w:rPr>
                <w:lang w:val="en-AU"/>
              </w:rPr>
              <w:t xml:space="preserve"> </w:t>
            </w:r>
            <w:r w:rsidR="00B00CC2" w:rsidRPr="003F46ED">
              <w:rPr>
                <w:lang w:val="en-AU"/>
              </w:rPr>
              <w:t>of data from all surveys with input from AEF</w:t>
            </w:r>
            <w:r w:rsidRPr="003F46ED">
              <w:rPr>
                <w:lang w:val="en-AU"/>
              </w:rPr>
              <w:t>.</w:t>
            </w:r>
            <w:bookmarkEnd w:id="192"/>
          </w:p>
        </w:tc>
      </w:tr>
      <w:tr w:rsidR="00B00CC2" w:rsidRPr="003F46ED" w14:paraId="53908C0A" w14:textId="77777777" w:rsidTr="00B44405">
        <w:trPr>
          <w:cantSplit/>
        </w:trPr>
        <w:tc>
          <w:tcPr>
            <w:tcW w:w="2500" w:type="pct"/>
          </w:tcPr>
          <w:p w14:paraId="2F89D3E3" w14:textId="77777777" w:rsidR="00B00CC2" w:rsidRPr="003F46ED" w:rsidRDefault="00B00CC2" w:rsidP="00B30583">
            <w:pPr>
              <w:rPr>
                <w:lang w:val="en-AU"/>
              </w:rPr>
            </w:pPr>
            <w:bookmarkStart w:id="193" w:name="_Toc402180395"/>
            <w:r w:rsidRPr="003F46ED">
              <w:rPr>
                <w:lang w:val="en-AU"/>
              </w:rPr>
              <w:t>Monash University (School of Languages, Literatures, Cultures and Linguistics)</w:t>
            </w:r>
            <w:bookmarkEnd w:id="193"/>
          </w:p>
          <w:p w14:paraId="55926AA1" w14:textId="77777777" w:rsidR="00B00CC2" w:rsidRPr="003F46ED" w:rsidRDefault="00B00CC2" w:rsidP="00F666F6">
            <w:pPr>
              <w:pStyle w:val="ListParagraph"/>
              <w:numPr>
                <w:ilvl w:val="0"/>
                <w:numId w:val="10"/>
              </w:numPr>
              <w:ind w:left="360"/>
              <w:rPr>
                <w:rFonts w:eastAsiaTheme="minorEastAsia"/>
                <w:lang w:val="en-AU"/>
              </w:rPr>
            </w:pPr>
            <w:bookmarkStart w:id="194" w:name="_Toc402180396"/>
            <w:r w:rsidRPr="003F46ED">
              <w:rPr>
                <w:lang w:val="en-AU"/>
              </w:rPr>
              <w:t>Dr Robyn Spence-Brown</w:t>
            </w:r>
            <w:bookmarkEnd w:id="194"/>
          </w:p>
        </w:tc>
        <w:tc>
          <w:tcPr>
            <w:tcW w:w="2500" w:type="pct"/>
          </w:tcPr>
          <w:p w14:paraId="6D11810C" w14:textId="77777777" w:rsidR="00B00CC2" w:rsidRPr="003F46ED" w:rsidRDefault="00600C66" w:rsidP="00B30583">
            <w:pPr>
              <w:rPr>
                <w:lang w:val="en-AU"/>
              </w:rPr>
            </w:pPr>
            <w:bookmarkStart w:id="195" w:name="_Toc402180397"/>
            <w:r w:rsidRPr="003F46ED">
              <w:rPr>
                <w:lang w:val="en-AU"/>
              </w:rPr>
              <w:t>Research f</w:t>
            </w:r>
            <w:r w:rsidR="00B00CC2" w:rsidRPr="003F46ED">
              <w:rPr>
                <w:lang w:val="en-AU"/>
              </w:rPr>
              <w:t>indings report on ‘Factors related to student continuation and discontinuation of Japanese in senior secondary school’</w:t>
            </w:r>
            <w:bookmarkEnd w:id="195"/>
          </w:p>
        </w:tc>
      </w:tr>
      <w:tr w:rsidR="00B00CC2" w:rsidRPr="003F46ED" w14:paraId="58FC056A" w14:textId="77777777" w:rsidTr="00B44405">
        <w:trPr>
          <w:cantSplit/>
        </w:trPr>
        <w:tc>
          <w:tcPr>
            <w:tcW w:w="2500" w:type="pct"/>
          </w:tcPr>
          <w:p w14:paraId="6B593E03" w14:textId="77777777" w:rsidR="00B00CC2" w:rsidRPr="003F46ED" w:rsidRDefault="00B00CC2" w:rsidP="00B30583">
            <w:pPr>
              <w:rPr>
                <w:lang w:val="en-AU"/>
              </w:rPr>
            </w:pPr>
            <w:bookmarkStart w:id="196" w:name="_Toc402180398"/>
            <w:r w:rsidRPr="003F46ED">
              <w:rPr>
                <w:lang w:val="en-AU"/>
              </w:rPr>
              <w:t xml:space="preserve">Chris </w:t>
            </w:r>
            <w:proofErr w:type="spellStart"/>
            <w:r w:rsidRPr="003F46ED">
              <w:rPr>
                <w:lang w:val="en-AU"/>
              </w:rPr>
              <w:t>Wardlaw</w:t>
            </w:r>
            <w:proofErr w:type="spellEnd"/>
            <w:r w:rsidRPr="003F46ED">
              <w:rPr>
                <w:lang w:val="en-AU"/>
              </w:rPr>
              <w:t xml:space="preserve"> (recently retired Deputy Secretary of the Victorian Department of Education and Early Childhood Development)</w:t>
            </w:r>
            <w:bookmarkEnd w:id="196"/>
          </w:p>
        </w:tc>
        <w:tc>
          <w:tcPr>
            <w:tcW w:w="2500" w:type="pct"/>
          </w:tcPr>
          <w:p w14:paraId="59ACE5E2" w14:textId="77777777" w:rsidR="00B00CC2" w:rsidRPr="003F46ED" w:rsidRDefault="00B00CC2" w:rsidP="00B30583">
            <w:pPr>
              <w:rPr>
                <w:lang w:val="en-AU"/>
              </w:rPr>
            </w:pPr>
            <w:bookmarkStart w:id="197" w:name="_Toc402180399"/>
            <w:r w:rsidRPr="003F46ED">
              <w:rPr>
                <w:lang w:val="en-AU"/>
              </w:rPr>
              <w:t>Project consultant; assisted with consultations and testing</w:t>
            </w:r>
            <w:bookmarkEnd w:id="197"/>
          </w:p>
        </w:tc>
      </w:tr>
    </w:tbl>
    <w:p w14:paraId="0F1EB217" w14:textId="77777777" w:rsidR="007B1D45" w:rsidRPr="003F46ED" w:rsidRDefault="00B00CC2" w:rsidP="00F536F8">
      <w:pPr>
        <w:pStyle w:val="Heading3"/>
      </w:pPr>
      <w:bookmarkStart w:id="198" w:name="_Toc273790536"/>
      <w:bookmarkStart w:id="199" w:name="_Toc402180400"/>
      <w:r w:rsidRPr="003F46ED">
        <w:t>Phases of data collection and generation</w:t>
      </w:r>
      <w:bookmarkEnd w:id="198"/>
      <w:bookmarkEnd w:id="199"/>
    </w:p>
    <w:p w14:paraId="2D53A14F" w14:textId="77777777" w:rsidR="007B1D45" w:rsidRPr="003F46ED" w:rsidRDefault="00B00CC2" w:rsidP="00B30583">
      <w:bookmarkStart w:id="200" w:name="_Toc402180401"/>
      <w:r w:rsidRPr="003F46ED">
        <w:t>Following the initial scoping meeting in February 2014, work commenced on the ‘Policy and literature review’ (see Attachment 1). A first draft of the review was produced in March 2014, which fed into the development of the survey instruments.</w:t>
      </w:r>
      <w:bookmarkEnd w:id="200"/>
    </w:p>
    <w:p w14:paraId="0F4469E1" w14:textId="77777777" w:rsidR="007B1D45" w:rsidRPr="003F46ED" w:rsidRDefault="00B00CC2" w:rsidP="00B30583">
      <w:bookmarkStart w:id="201" w:name="_Toc402180402"/>
      <w:r w:rsidRPr="003F46ED">
        <w:t xml:space="preserve">The student survey instrument was developed first, being the most extensive of the three surveys. </w:t>
      </w:r>
      <w:r w:rsidR="0068226D" w:rsidRPr="003F46ED">
        <w:t>The</w:t>
      </w:r>
      <w:r w:rsidRPr="003F46ED">
        <w:t xml:space="preserve"> Advisory Group</w:t>
      </w:r>
      <w:r w:rsidR="0068226D" w:rsidRPr="003F46ED">
        <w:t xml:space="preserve"> was asked to offer </w:t>
      </w:r>
      <w:r w:rsidR="00EB4F1B" w:rsidRPr="003F46ED">
        <w:t>its</w:t>
      </w:r>
      <w:r w:rsidR="0068226D" w:rsidRPr="003F46ED">
        <w:t xml:space="preserve"> advice on the survey instruments for consideration by AEF and ACER</w:t>
      </w:r>
      <w:r w:rsidRPr="003F46ED">
        <w:t>. AEF</w:t>
      </w:r>
      <w:r w:rsidR="00380D31" w:rsidRPr="003F46ED">
        <w:t xml:space="preserve"> and ACER</w:t>
      </w:r>
      <w:r w:rsidRPr="003F46ED">
        <w:t xml:space="preserve"> also provided input into Spence-Brown’s survey instrument to ensure a degree of synergy between the two pieces of research.</w:t>
      </w:r>
      <w:bookmarkEnd w:id="201"/>
      <w:r w:rsidRPr="003F46ED">
        <w:t xml:space="preserve"> </w:t>
      </w:r>
    </w:p>
    <w:p w14:paraId="35069488" w14:textId="77777777" w:rsidR="007B1D45" w:rsidRPr="003F46ED" w:rsidRDefault="00B00CC2" w:rsidP="00B30583">
      <w:bookmarkStart w:id="202" w:name="_Toc402180403"/>
      <w:r w:rsidRPr="003F46ED">
        <w:t>The student and parent surveys were open for responses in June</w:t>
      </w:r>
      <w:r w:rsidR="00853AC6" w:rsidRPr="003F46ED">
        <w:t>–</w:t>
      </w:r>
      <w:r w:rsidRPr="003F46ED">
        <w:t>July 2014. Given the target groups (young people aged 18</w:t>
      </w:r>
      <w:r w:rsidR="00853AC6" w:rsidRPr="003F46ED">
        <w:t>–</w:t>
      </w:r>
      <w:r w:rsidRPr="003F46ED">
        <w:t>25 and parents) and the convenience sampling methods used, a formal permissions process was not required.</w:t>
      </w:r>
      <w:bookmarkEnd w:id="202"/>
    </w:p>
    <w:p w14:paraId="4CE8F61D" w14:textId="77777777" w:rsidR="007B1D45" w:rsidRPr="003F46ED" w:rsidRDefault="00D2723E" w:rsidP="00B30583">
      <w:bookmarkStart w:id="203" w:name="_Toc402180404"/>
      <w:r w:rsidRPr="003F46ED">
        <w:t>The principal survey</w:t>
      </w:r>
      <w:r w:rsidR="00B00CC2" w:rsidRPr="003F46ED">
        <w:t xml:space="preserve">, however, utilised </w:t>
      </w:r>
      <w:proofErr w:type="spellStart"/>
      <w:r w:rsidR="00B00CC2" w:rsidRPr="003F46ED">
        <w:t>ACER’s</w:t>
      </w:r>
      <w:proofErr w:type="spellEnd"/>
      <w:r w:rsidR="00B00CC2" w:rsidRPr="003F46ED">
        <w:t xml:space="preserve"> sampling frame, which drew a stratified random sample of schools. A formal permissions process was required and undertaken with systems and s</w:t>
      </w:r>
      <w:r w:rsidRPr="003F46ED">
        <w:t xml:space="preserve">ectors. </w:t>
      </w:r>
      <w:r w:rsidR="00B00CC2" w:rsidRPr="003F46ED">
        <w:t>In many cases, schools chose not to take part or did not satisfactorily complete or submit the survey</w:t>
      </w:r>
      <w:r w:rsidR="00354EB8" w:rsidRPr="003F46ED">
        <w:t>: no reasons were provided</w:t>
      </w:r>
      <w:r w:rsidR="00B00CC2" w:rsidRPr="003F46ED">
        <w:t xml:space="preserve">. Principal survey data </w:t>
      </w:r>
      <w:r w:rsidR="00EB4F1B" w:rsidRPr="003F46ED">
        <w:t>were</w:t>
      </w:r>
      <w:r w:rsidR="00B00CC2" w:rsidRPr="003F46ED">
        <w:t xml:space="preserve"> collected in July</w:t>
      </w:r>
      <w:r w:rsidR="00853AC6" w:rsidRPr="003F46ED">
        <w:t>–</w:t>
      </w:r>
      <w:r w:rsidR="00B00CC2" w:rsidRPr="003F46ED">
        <w:t xml:space="preserve">September 2014. For more detail on the </w:t>
      </w:r>
      <w:r w:rsidR="00B00CC2" w:rsidRPr="003F46ED">
        <w:lastRenderedPageBreak/>
        <w:t>sampling methods used, refer to ‘Sampling and recruitment’ below. The ‘Policy and literature review’ continued to be refined throughout the survey development and dissemination process.</w:t>
      </w:r>
      <w:bookmarkEnd w:id="203"/>
      <w:r w:rsidR="00B00CC2" w:rsidRPr="003F46ED">
        <w:t xml:space="preserve"> </w:t>
      </w:r>
    </w:p>
    <w:p w14:paraId="66CC55E0" w14:textId="77777777" w:rsidR="007B1D45" w:rsidRPr="003F46ED" w:rsidRDefault="00B00CC2" w:rsidP="00B30583">
      <w:bookmarkStart w:id="204" w:name="_Toc402180405"/>
      <w:r w:rsidRPr="003F46ED">
        <w:t>As listed</w:t>
      </w:r>
      <w:r w:rsidR="000F4B24" w:rsidRPr="003F46ED">
        <w:t xml:space="preserve"> previously</w:t>
      </w:r>
      <w:r w:rsidRPr="003F46ED">
        <w:t xml:space="preserve"> in </w:t>
      </w:r>
      <w:r w:rsidR="00094ECE" w:rsidRPr="003F46ED">
        <w:t>Table 2</w:t>
      </w:r>
      <w:r w:rsidRPr="003F46ED">
        <w:t>.2</w:t>
      </w:r>
      <w:r w:rsidR="00853AC6" w:rsidRPr="003F46ED">
        <w:t>,</w:t>
      </w:r>
      <w:r w:rsidRPr="003F46ED">
        <w:t xml:space="preserve"> three </w:t>
      </w:r>
      <w:r w:rsidR="000D1538" w:rsidRPr="003F46ED">
        <w:t xml:space="preserve">rounds of </w:t>
      </w:r>
      <w:r w:rsidRPr="003F46ED">
        <w:t>consultations</w:t>
      </w:r>
      <w:r w:rsidR="00AA6F95" w:rsidRPr="003F46ED">
        <w:t xml:space="preserve"> were undertaken with key</w:t>
      </w:r>
      <w:r w:rsidRPr="003F46ED">
        <w:t xml:space="preserve"> stakeholders</w:t>
      </w:r>
      <w:r w:rsidR="008D69E8" w:rsidRPr="003F46ED">
        <w:t>.</w:t>
      </w:r>
      <w:bookmarkEnd w:id="204"/>
    </w:p>
    <w:p w14:paraId="5D37124E" w14:textId="77777777" w:rsidR="007B1D45" w:rsidRPr="003F46ED" w:rsidRDefault="00B00CC2" w:rsidP="00F536F8">
      <w:pPr>
        <w:pStyle w:val="Heading3"/>
      </w:pPr>
      <w:bookmarkStart w:id="205" w:name="_Toc273790537"/>
      <w:bookmarkStart w:id="206" w:name="_Toc402180406"/>
      <w:r w:rsidRPr="003F46ED">
        <w:t>Survey design</w:t>
      </w:r>
      <w:bookmarkEnd w:id="205"/>
      <w:bookmarkEnd w:id="206"/>
    </w:p>
    <w:p w14:paraId="5D9F186A" w14:textId="77777777" w:rsidR="007B1D45" w:rsidRPr="003F46ED" w:rsidRDefault="00B00CC2" w:rsidP="00F536F8">
      <w:pPr>
        <w:pStyle w:val="Heading4"/>
      </w:pPr>
      <w:bookmarkStart w:id="207" w:name="_Toc402180407"/>
      <w:r w:rsidRPr="003F46ED">
        <w:t>Student survey</w:t>
      </w:r>
      <w:bookmarkEnd w:id="207"/>
    </w:p>
    <w:p w14:paraId="1AC32196" w14:textId="77777777" w:rsidR="007B1D45" w:rsidRPr="003F46ED" w:rsidRDefault="00B00CC2" w:rsidP="00B30583">
      <w:bookmarkStart w:id="208" w:name="_Toc402180408"/>
      <w:r w:rsidRPr="003F46ED">
        <w:t xml:space="preserve">The main purpose of the student survey was to identify key factors influencing students’ decisions to study, or not study, a language at Years 11 and 12 </w:t>
      </w:r>
      <w:r w:rsidR="00F9462D" w:rsidRPr="003F46ED">
        <w:t xml:space="preserve">through </w:t>
      </w:r>
      <w:r w:rsidRPr="003F46ED">
        <w:t>a subject choice</w:t>
      </w:r>
      <w:r w:rsidR="00F9462D" w:rsidRPr="003F46ED">
        <w:t xml:space="preserve"> lens</w:t>
      </w:r>
      <w:r w:rsidRPr="003F46ED">
        <w:t>. The majority of questions were based on factors identified previously by research and decision-making considerations for senior secondary studies.</w:t>
      </w:r>
      <w:bookmarkEnd w:id="208"/>
    </w:p>
    <w:p w14:paraId="658ECBD8" w14:textId="77777777" w:rsidR="007B1D45" w:rsidRPr="003F46ED" w:rsidRDefault="00B00CC2" w:rsidP="00B30583">
      <w:bookmarkStart w:id="209" w:name="_Toc402180409"/>
      <w:r w:rsidRPr="003F46ED">
        <w:t>The survey targeted 18</w:t>
      </w:r>
      <w:r w:rsidR="00853AC6" w:rsidRPr="003F46ED">
        <w:t>–</w:t>
      </w:r>
      <w:r w:rsidRPr="003F46ED">
        <w:t>25 year olds, with over 90 per cent of the final sample (</w:t>
      </w:r>
      <w:r w:rsidRPr="003F46ED">
        <w:rPr>
          <w:i/>
        </w:rPr>
        <w:t>n=266</w:t>
      </w:r>
      <w:r w:rsidRPr="003F46ED">
        <w:t>) aged 18</w:t>
      </w:r>
      <w:r w:rsidR="00853AC6" w:rsidRPr="003F46ED">
        <w:t>–</w:t>
      </w:r>
      <w:r w:rsidRPr="003F46ED">
        <w:t xml:space="preserve">22. This </w:t>
      </w:r>
      <w:r w:rsidR="00772B14" w:rsidRPr="003F46ED">
        <w:t>meant that</w:t>
      </w:r>
      <w:r w:rsidRPr="003F46ED">
        <w:t xml:space="preserve"> respondents’ senior secondary experiences were recent enough to enable accurate </w:t>
      </w:r>
      <w:r w:rsidR="00197524" w:rsidRPr="003F46ED">
        <w:t xml:space="preserve">reflection. </w:t>
      </w:r>
      <w:r w:rsidR="009E22FE" w:rsidRPr="003F46ED">
        <w:t xml:space="preserve">(Note </w:t>
      </w:r>
      <w:r w:rsidRPr="003F46ED">
        <w:t>that Spence-Brown’s research produced a complementary data set using responses from Year 11 students.)</w:t>
      </w:r>
      <w:bookmarkEnd w:id="209"/>
    </w:p>
    <w:p w14:paraId="51D4C0B6" w14:textId="77777777" w:rsidR="007B1D45" w:rsidRPr="003F46ED" w:rsidRDefault="00B00CC2" w:rsidP="00B30583">
      <w:bookmarkStart w:id="210" w:name="_Toc402180410"/>
      <w:r w:rsidRPr="003F46ED">
        <w:t xml:space="preserve">There were a total of 26 items in the survey, with some items consisting of several sub-items. </w:t>
      </w:r>
      <w:r w:rsidR="00A929D1" w:rsidRPr="003F46ED">
        <w:t>C</w:t>
      </w:r>
      <w:r w:rsidRPr="003F46ED">
        <w:t xml:space="preserve">omplex routing needed to be built into the survey design given the variability of language learning experiences at senior secondary level. Hence, the actual number of items/sub-items answered by individual respondents </w:t>
      </w:r>
      <w:r w:rsidR="003B5A94" w:rsidRPr="003F46ED">
        <w:t>(</w:t>
      </w:r>
      <w:r w:rsidRPr="003F46ED">
        <w:t>to count as a completed survey</w:t>
      </w:r>
      <w:r w:rsidR="003B5A94" w:rsidRPr="003F46ED">
        <w:t>)</w:t>
      </w:r>
      <w:r w:rsidRPr="003F46ED">
        <w:t xml:space="preserve"> var</w:t>
      </w:r>
      <w:r w:rsidR="00280294" w:rsidRPr="003F46ED">
        <w:t>ied</w:t>
      </w:r>
      <w:r w:rsidRPr="003F46ED">
        <w:t xml:space="preserve"> depending on whether they </w:t>
      </w:r>
      <w:r w:rsidR="003B5A94" w:rsidRPr="003F46ED">
        <w:t xml:space="preserve">had </w:t>
      </w:r>
      <w:r w:rsidRPr="003F46ED">
        <w:t>studied a language or not at Years 11 and/or 12 and their language background. It took respondents about 10 minutes to complete a survey.</w:t>
      </w:r>
      <w:bookmarkEnd w:id="210"/>
    </w:p>
    <w:p w14:paraId="004EBE7D" w14:textId="77777777" w:rsidR="007B1D45" w:rsidRPr="003F46ED" w:rsidRDefault="005C0DF7" w:rsidP="00B30583">
      <w:bookmarkStart w:id="211" w:name="_Toc402180411"/>
      <w:r w:rsidRPr="003F46ED">
        <w:t>The</w:t>
      </w:r>
      <w:r w:rsidR="00043405" w:rsidRPr="003F46ED">
        <w:t xml:space="preserve"> majority of</w:t>
      </w:r>
      <w:r w:rsidRPr="003F46ED">
        <w:t xml:space="preserve"> </w:t>
      </w:r>
      <w:r w:rsidR="00043405" w:rsidRPr="003F46ED">
        <w:t>survey items/sub-items was</w:t>
      </w:r>
      <w:r w:rsidRPr="003F46ED">
        <w:t xml:space="preserve"> designed for closed response. </w:t>
      </w:r>
      <w:r w:rsidR="00043405" w:rsidRPr="003F46ED">
        <w:t>Apart from those used for routing purposes and/or to gather background information</w:t>
      </w:r>
      <w:r w:rsidR="0081193A" w:rsidRPr="003F46ED">
        <w:t xml:space="preserve"> (</w:t>
      </w:r>
      <w:r w:rsidR="00043405" w:rsidRPr="003F46ED">
        <w:t>which were yes/no or multiple cho</w:t>
      </w:r>
      <w:r w:rsidR="0081193A" w:rsidRPr="003F46ED">
        <w:t>ice)</w:t>
      </w:r>
      <w:r w:rsidR="00043405" w:rsidRPr="003F46ED">
        <w:t xml:space="preserve"> i</w:t>
      </w:r>
      <w:r w:rsidRPr="003F46ED">
        <w:t>tems used a rating scale of 1–4 (1=Not at all, 2=</w:t>
      </w:r>
      <w:proofErr w:type="gramStart"/>
      <w:r w:rsidRPr="003F46ED">
        <w:t>To</w:t>
      </w:r>
      <w:proofErr w:type="gramEnd"/>
      <w:r w:rsidRPr="003F46ED">
        <w:t xml:space="preserve"> a minor extent, 3=To a moderate extent, 4=To a major extent). </w:t>
      </w:r>
      <w:r w:rsidR="00B00CC2" w:rsidRPr="003F46ED">
        <w:t>Two open-ended items were included: one asking respondents to elaborate how they are currently studying a language (if applicable) and another asking respondents (where applicable) for the one main reason why they did not study a language at Year 12.</w:t>
      </w:r>
      <w:bookmarkEnd w:id="211"/>
    </w:p>
    <w:p w14:paraId="4234F812" w14:textId="77777777" w:rsidR="007B1D45" w:rsidRPr="003F46ED" w:rsidRDefault="00B00CC2" w:rsidP="00F536F8">
      <w:pPr>
        <w:pStyle w:val="Heading4"/>
      </w:pPr>
      <w:bookmarkStart w:id="212" w:name="_Toc402180412"/>
      <w:r w:rsidRPr="003F46ED">
        <w:t>Parent survey</w:t>
      </w:r>
      <w:bookmarkEnd w:id="212"/>
    </w:p>
    <w:p w14:paraId="5B2CC672" w14:textId="77777777" w:rsidR="007B1D45" w:rsidRPr="003F46ED" w:rsidRDefault="00B00CC2" w:rsidP="00B30583">
      <w:bookmarkStart w:id="213" w:name="_Toc402180413"/>
      <w:r w:rsidRPr="003F46ED">
        <w:t>The main purpose of the survey was to identify parents’ attitudes towards the study of languages for their children, in particular thei</w:t>
      </w:r>
      <w:r w:rsidR="001A3D61" w:rsidRPr="003F46ED">
        <w:t>r perceptions of its importance</w:t>
      </w:r>
      <w:r w:rsidRPr="003F46ED">
        <w:t xml:space="preserve"> and utility.</w:t>
      </w:r>
      <w:bookmarkEnd w:id="213"/>
      <w:r w:rsidRPr="003F46ED">
        <w:t xml:space="preserve"> </w:t>
      </w:r>
    </w:p>
    <w:p w14:paraId="47DF3497" w14:textId="77777777" w:rsidR="007B1D45" w:rsidRPr="003F46ED" w:rsidRDefault="00B00CC2" w:rsidP="00B30583">
      <w:bookmarkStart w:id="214" w:name="_Toc402180414"/>
      <w:r w:rsidRPr="003F46ED">
        <w:t>The survey targeted parents with</w:t>
      </w:r>
      <w:r w:rsidR="00C942DF" w:rsidRPr="003F46ED">
        <w:t xml:space="preserve"> at least one child attending </w:t>
      </w:r>
      <w:r w:rsidRPr="003F46ED">
        <w:t xml:space="preserve">school (at any level) in Australia, though all respondents were asked about their perceptions of the importance and utility of language study for Years 11 and 12. </w:t>
      </w:r>
      <w:r w:rsidR="00B62EE9" w:rsidRPr="003F46ED">
        <w:t>It was designed such that o</w:t>
      </w:r>
      <w:r w:rsidRPr="003F46ED">
        <w:t>nly one parent was required to answer for the eldest child attending a school in Australia</w:t>
      </w:r>
      <w:r w:rsidR="00827012" w:rsidRPr="003F46ED">
        <w:t xml:space="preserve">. Respondents were asked </w:t>
      </w:r>
      <w:r w:rsidRPr="003F46ED">
        <w:t>about the importance of various learning areas (including languages) at senior secondary</w:t>
      </w:r>
      <w:r w:rsidR="0019684B" w:rsidRPr="003F46ED">
        <w:t xml:space="preserve"> level</w:t>
      </w:r>
      <w:r w:rsidRPr="003F46ED">
        <w:t>.</w:t>
      </w:r>
      <w:bookmarkEnd w:id="214"/>
      <w:r w:rsidRPr="003F46ED">
        <w:t xml:space="preserve"> </w:t>
      </w:r>
    </w:p>
    <w:p w14:paraId="40BECDD5" w14:textId="77777777" w:rsidR="007B1D45" w:rsidRPr="003F46ED" w:rsidRDefault="00B00CC2" w:rsidP="00B30583">
      <w:bookmarkStart w:id="215" w:name="_Toc402180415"/>
      <w:r w:rsidRPr="003F46ED">
        <w:t xml:space="preserve">There were a total of 15 items in the survey, with some items consisting of several sub-items. The actual number of items/sub-items that needed to be completed varied depending on </w:t>
      </w:r>
      <w:r w:rsidR="00C942DF" w:rsidRPr="003F46ED">
        <w:t>the category</w:t>
      </w:r>
      <w:r w:rsidRPr="003F46ED">
        <w:t xml:space="preserve"> of respondent. The routing variables were whether</w:t>
      </w:r>
      <w:r w:rsidR="001A3C4A" w:rsidRPr="003F46ED">
        <w:t xml:space="preserve"> or not</w:t>
      </w:r>
      <w:r w:rsidRPr="003F46ED">
        <w:t xml:space="preserve"> respondents used another language in addition to Englis</w:t>
      </w:r>
      <w:r w:rsidR="005D2EC4" w:rsidRPr="003F46ED">
        <w:t>h, attended school in Australia</w:t>
      </w:r>
      <w:r w:rsidRPr="003F46ED">
        <w:t xml:space="preserve"> and studied a language at school in Australia.</w:t>
      </w:r>
      <w:bookmarkEnd w:id="215"/>
    </w:p>
    <w:p w14:paraId="4773A85C" w14:textId="77777777" w:rsidR="007B1D45" w:rsidRPr="003F46ED" w:rsidRDefault="00B00CC2" w:rsidP="00B30583">
      <w:bookmarkStart w:id="216" w:name="_Toc402180416"/>
      <w:r w:rsidRPr="003F46ED">
        <w:t>The survey took 5</w:t>
      </w:r>
      <w:r w:rsidR="00853AC6" w:rsidRPr="003F46ED">
        <w:t>–</w:t>
      </w:r>
      <w:r w:rsidRPr="003F46ED">
        <w:t xml:space="preserve">10 minutes to complete. As per the student survey, the majority of survey items/sub-items </w:t>
      </w:r>
      <w:r w:rsidR="00853AC6" w:rsidRPr="003F46ED">
        <w:t>were</w:t>
      </w:r>
      <w:r w:rsidRPr="003F46ED">
        <w:t xml:space="preserve"> closed</w:t>
      </w:r>
      <w:r w:rsidR="00853AC6" w:rsidRPr="003F46ED">
        <w:t>-</w:t>
      </w:r>
      <w:r w:rsidRPr="003F46ED">
        <w:t>response, using similar response categories. Two open-ended items were included: one asked those who indicated language study at Years 11 and 12 as a disadvantage for their child to provide a reason for this perception; another asked respondents</w:t>
      </w:r>
      <w:r w:rsidR="00AB3F83" w:rsidRPr="003F46ED">
        <w:t xml:space="preserve"> (where applicable)</w:t>
      </w:r>
      <w:r w:rsidRPr="003F46ED">
        <w:t xml:space="preserve"> to provide any other reasons for why their child is not learning a language at school.</w:t>
      </w:r>
      <w:bookmarkEnd w:id="216"/>
    </w:p>
    <w:p w14:paraId="3AD8D184" w14:textId="77777777" w:rsidR="007B1D45" w:rsidRPr="003F46ED" w:rsidRDefault="00B00CC2" w:rsidP="00F536F8">
      <w:pPr>
        <w:pStyle w:val="Heading4"/>
      </w:pPr>
      <w:bookmarkStart w:id="217" w:name="_Toc402180417"/>
      <w:r w:rsidRPr="003F46ED">
        <w:lastRenderedPageBreak/>
        <w:t>Principal survey</w:t>
      </w:r>
      <w:bookmarkEnd w:id="217"/>
    </w:p>
    <w:p w14:paraId="019D68A2" w14:textId="77777777" w:rsidR="007B1D45" w:rsidRPr="003F46ED" w:rsidRDefault="00B00CC2" w:rsidP="00B30583">
      <w:bookmarkStart w:id="218" w:name="_Toc402180418"/>
      <w:r w:rsidRPr="003F46ED">
        <w:t>The survey’s main purpose was to identify principals’ general attitudes towards languages education, the nature of language provision at their school and their thoughts on what could be done to improve demand and supply for languages in schools.</w:t>
      </w:r>
      <w:bookmarkEnd w:id="218"/>
    </w:p>
    <w:p w14:paraId="04BE3C51" w14:textId="77777777" w:rsidR="007B1D45" w:rsidRPr="003F46ED" w:rsidRDefault="00B00CC2" w:rsidP="00B30583">
      <w:bookmarkStart w:id="219" w:name="_Toc402180419"/>
      <w:r w:rsidRPr="003F46ED">
        <w:t xml:space="preserve">The survey targeted principals of schools that taught Years 11 and 12. There were a total of 23 items in the survey, with some items consisting of several sub-items. All respondents completed a similar number of items/sub-items. The only routing variable was whether </w:t>
      </w:r>
      <w:r w:rsidR="004C5021" w:rsidRPr="003F46ED">
        <w:t xml:space="preserve">or not </w:t>
      </w:r>
      <w:r w:rsidRPr="003F46ED">
        <w:t>language study</w:t>
      </w:r>
      <w:r w:rsidR="004C5021" w:rsidRPr="003F46ED">
        <w:t xml:space="preserve"> is offered at the school</w:t>
      </w:r>
      <w:r w:rsidRPr="003F46ED">
        <w:t>.</w:t>
      </w:r>
      <w:bookmarkEnd w:id="219"/>
      <w:r w:rsidRPr="003F46ED">
        <w:t xml:space="preserve"> </w:t>
      </w:r>
    </w:p>
    <w:p w14:paraId="128F9A6F" w14:textId="77777777" w:rsidR="007B1D45" w:rsidRPr="003F46ED" w:rsidRDefault="00B00CC2" w:rsidP="00B30583">
      <w:pPr>
        <w:rPr>
          <w:b/>
        </w:rPr>
      </w:pPr>
      <w:bookmarkStart w:id="220" w:name="_Toc402180420"/>
      <w:r w:rsidRPr="003F46ED">
        <w:t>The survey took 5</w:t>
      </w:r>
      <w:r w:rsidR="00853AC6" w:rsidRPr="003F46ED">
        <w:t>–</w:t>
      </w:r>
      <w:r w:rsidRPr="003F46ED">
        <w:t xml:space="preserve">10 minutes to complete. As per the student and parent surveys, the majority of survey items/sub-items </w:t>
      </w:r>
      <w:r w:rsidR="00853AC6" w:rsidRPr="003F46ED">
        <w:t>were</w:t>
      </w:r>
      <w:r w:rsidRPr="003F46ED">
        <w:t xml:space="preserve"> closed</w:t>
      </w:r>
      <w:r w:rsidR="00853AC6" w:rsidRPr="003F46ED">
        <w:t>-</w:t>
      </w:r>
      <w:r w:rsidRPr="003F46ED">
        <w:t xml:space="preserve">response, using </w:t>
      </w:r>
      <w:r w:rsidR="00650D4B" w:rsidRPr="003F46ED">
        <w:t>similar response categories. Th</w:t>
      </w:r>
      <w:r w:rsidRPr="003F46ED">
        <w:t>e</w:t>
      </w:r>
      <w:r w:rsidR="00650D4B" w:rsidRPr="003F46ED">
        <w:t>r</w:t>
      </w:r>
      <w:r w:rsidRPr="003F46ED">
        <w:t xml:space="preserve">e were three open-ended items: a key recommendation to build demand for languages at the respondent’s school; a key recommendation to increase the supply of languages teachers; </w:t>
      </w:r>
      <w:r w:rsidR="00650D4B" w:rsidRPr="003F46ED">
        <w:t>and</w:t>
      </w:r>
      <w:r w:rsidRPr="003F46ED">
        <w:t xml:space="preserve"> any further comments about languages at the respondent’s school.</w:t>
      </w:r>
      <w:bookmarkEnd w:id="220"/>
    </w:p>
    <w:p w14:paraId="4DF5D8CB" w14:textId="77777777" w:rsidR="007B1D45" w:rsidRPr="003F46ED" w:rsidRDefault="00B00CC2" w:rsidP="00F536F8">
      <w:pPr>
        <w:pStyle w:val="Heading3"/>
      </w:pPr>
      <w:bookmarkStart w:id="221" w:name="_Toc273790538"/>
      <w:bookmarkStart w:id="222" w:name="_Toc402180421"/>
      <w:r w:rsidRPr="003F46ED">
        <w:t>Sampling and recruitment</w:t>
      </w:r>
      <w:bookmarkEnd w:id="221"/>
      <w:bookmarkEnd w:id="222"/>
    </w:p>
    <w:p w14:paraId="45E9B601" w14:textId="77777777" w:rsidR="007B1D45" w:rsidRPr="003F46ED" w:rsidRDefault="00B00CC2" w:rsidP="00B30583">
      <w:bookmarkStart w:id="223" w:name="_Toc402180422"/>
      <w:r w:rsidRPr="003F46ED">
        <w:t xml:space="preserve">All survey instruments used for this research have ethics approval from the ACER Ethics Panel (see Attachment 6). This section provides a summary of the sampling and recruitment processes used. </w:t>
      </w:r>
      <w:bookmarkEnd w:id="223"/>
      <w:r w:rsidR="00661977" w:rsidRPr="003F46ED">
        <w:t>More details on the sampling process, actual samples of respondents and key findings from the surveys are at Attachment 2.</w:t>
      </w:r>
    </w:p>
    <w:p w14:paraId="194C244E" w14:textId="77777777" w:rsidR="007B1D45" w:rsidRPr="003F46ED" w:rsidRDefault="009B36F3" w:rsidP="00B30583">
      <w:bookmarkStart w:id="224" w:name="_Toc402180423"/>
      <w:r w:rsidRPr="003F46ED">
        <w:t>Through the</w:t>
      </w:r>
      <w:r w:rsidR="0072159F" w:rsidRPr="003F46ED">
        <w:t xml:space="preserve"> three surveys conducted for this research and the</w:t>
      </w:r>
      <w:r w:rsidRPr="003F46ED">
        <w:t xml:space="preserve"> survey of Year 11 students in </w:t>
      </w:r>
      <w:r w:rsidR="0072159F" w:rsidRPr="003F46ED">
        <w:t>Spence-Brown</w:t>
      </w:r>
      <w:r w:rsidR="00AB54A4" w:rsidRPr="003F46ED">
        <w:t>’s</w:t>
      </w:r>
      <w:r w:rsidR="0072159F" w:rsidRPr="003F46ED">
        <w:t xml:space="preserve"> research, close to 1,200 respondents were considered in-scope for analysis.</w:t>
      </w:r>
      <w:bookmarkEnd w:id="224"/>
    </w:p>
    <w:p w14:paraId="003BC211" w14:textId="77777777" w:rsidR="007B1D45" w:rsidRPr="003F46ED" w:rsidRDefault="00B00CC2" w:rsidP="00F536F8">
      <w:pPr>
        <w:pStyle w:val="Heading4"/>
      </w:pPr>
      <w:bookmarkStart w:id="225" w:name="_Toc402180424"/>
      <w:r w:rsidRPr="003F46ED">
        <w:t>Student survey</w:t>
      </w:r>
      <w:bookmarkEnd w:id="225"/>
    </w:p>
    <w:p w14:paraId="3F0F4341" w14:textId="77777777" w:rsidR="007B1D45" w:rsidRPr="003F46ED" w:rsidRDefault="00B00CC2" w:rsidP="00B30583">
      <w:bookmarkStart w:id="226" w:name="_Toc402180425"/>
      <w:r w:rsidRPr="003F46ED">
        <w:t>Young people (18</w:t>
      </w:r>
      <w:r w:rsidR="00853AC6" w:rsidRPr="003F46ED">
        <w:t>–</w:t>
      </w:r>
      <w:r w:rsidRPr="003F46ED">
        <w:t>25) were invited to participate in the survey. Convenience sampling was used</w:t>
      </w:r>
      <w:r w:rsidR="00853AC6" w:rsidRPr="003F46ED">
        <w:t>,</w:t>
      </w:r>
      <w:r w:rsidRPr="003F46ED">
        <w:t xml:space="preserve"> given </w:t>
      </w:r>
      <w:r w:rsidR="00444A9E" w:rsidRPr="003F46ED">
        <w:t>the</w:t>
      </w:r>
      <w:r w:rsidR="00853AC6" w:rsidRPr="003F46ED">
        <w:t xml:space="preserve"> </w:t>
      </w:r>
      <w:r w:rsidRPr="003F46ED">
        <w:t xml:space="preserve">time and resource constraints to generating a random sample. The target group was reached mainly via social media with the assistance of a range of youth organisations and universities in different states and territories. AEF networks were </w:t>
      </w:r>
      <w:r w:rsidR="00CC4B3A" w:rsidRPr="003F46ED">
        <w:t xml:space="preserve">also </w:t>
      </w:r>
      <w:r w:rsidRPr="003F46ED">
        <w:t>utilised. Detailed survey dissemination information can be found in Attachment 2.</w:t>
      </w:r>
      <w:bookmarkEnd w:id="226"/>
    </w:p>
    <w:p w14:paraId="1117F2E7" w14:textId="77777777" w:rsidR="007B1D45" w:rsidRPr="003F46ED" w:rsidRDefault="000F3E25" w:rsidP="00B30583">
      <w:bookmarkStart w:id="227" w:name="_Toc402180426"/>
      <w:r w:rsidRPr="003F46ED">
        <w:t xml:space="preserve">Despite the </w:t>
      </w:r>
      <w:r w:rsidR="00EF02A2" w:rsidRPr="003F46ED">
        <w:t xml:space="preserve">(non-representative) </w:t>
      </w:r>
      <w:r w:rsidRPr="003F46ED">
        <w:t>convenience sample</w:t>
      </w:r>
      <w:r w:rsidR="00B00CC2" w:rsidRPr="003F46ED">
        <w:t xml:space="preserve">, </w:t>
      </w:r>
      <w:r w:rsidR="004613A5" w:rsidRPr="003F46ED">
        <w:t>the survey results are</w:t>
      </w:r>
      <w:r w:rsidR="00B00CC2" w:rsidRPr="003F46ED">
        <w:t xml:space="preserve"> useful for the purposes of this research because the sample could be s</w:t>
      </w:r>
      <w:r w:rsidR="008920BA" w:rsidRPr="003F46ED">
        <w:t>plit into</w:t>
      </w:r>
      <w:r w:rsidR="00256222" w:rsidRPr="003F46ED">
        <w:t>:</w:t>
      </w:r>
      <w:r w:rsidR="008920BA" w:rsidRPr="003F46ED">
        <w:t xml:space="preserve"> </w:t>
      </w:r>
      <w:r w:rsidR="00AB46FE" w:rsidRPr="003F46ED">
        <w:t xml:space="preserve">1) those </w:t>
      </w:r>
      <w:r w:rsidR="00B72F28" w:rsidRPr="003F46ED">
        <w:t>that</w:t>
      </w:r>
      <w:r w:rsidR="00B00CC2" w:rsidRPr="003F46ED">
        <w:t xml:space="preserve"> studied a language in sen</w:t>
      </w:r>
      <w:r w:rsidR="008920BA" w:rsidRPr="003F46ED">
        <w:t>ior secondary</w:t>
      </w:r>
      <w:r w:rsidR="00256222" w:rsidRPr="003F46ED">
        <w:t>;</w:t>
      </w:r>
      <w:r w:rsidR="00AB46FE" w:rsidRPr="003F46ED">
        <w:t xml:space="preserve"> and 2) those </w:t>
      </w:r>
      <w:r w:rsidR="00F2787C" w:rsidRPr="003F46ED">
        <w:t>that</w:t>
      </w:r>
      <w:r w:rsidR="00B00CC2" w:rsidRPr="003F46ED">
        <w:t xml:space="preserve"> did not. Hence, the survey results provide some insight into what </w:t>
      </w:r>
      <w:r w:rsidR="00855EDB" w:rsidRPr="003F46ED">
        <w:t>influences</w:t>
      </w:r>
      <w:r w:rsidR="00B00CC2" w:rsidRPr="003F46ED">
        <w:t xml:space="preserve"> students in Australia to study, or not study, languages at senior secondary</w:t>
      </w:r>
      <w:r w:rsidR="00855EDB" w:rsidRPr="003F46ED">
        <w:t xml:space="preserve"> level</w:t>
      </w:r>
      <w:r w:rsidR="00B00CC2" w:rsidRPr="003F46ED">
        <w:t>.</w:t>
      </w:r>
      <w:bookmarkEnd w:id="227"/>
    </w:p>
    <w:p w14:paraId="285388AB" w14:textId="77777777" w:rsidR="007B1D45" w:rsidRPr="003F46ED" w:rsidRDefault="00B00CC2" w:rsidP="00B30583">
      <w:bookmarkStart w:id="228" w:name="_Toc402180427"/>
      <w:r w:rsidRPr="003F46ED">
        <w:t xml:space="preserve">Overall, 445 students attempted the survey. Of these, 113 did not complete the survey and were deemed ‘not in scope’ for analysis. 332 respondents completed the survey, of which 304 indicated completing Years 11 or 12 in an Australian school. These 304 students were considered eligible for analysis. Of these, 266 indicated that languages were offered at Years 11 and 12 in the school they last attended. The results in this report are based on these 266 respondents. This </w:t>
      </w:r>
      <w:r w:rsidR="00DE77A5" w:rsidRPr="003F46ED">
        <w:t xml:space="preserve">also </w:t>
      </w:r>
      <w:r w:rsidRPr="003F46ED">
        <w:t>means that 38 (12.5 per cent) of the respondents considered eligible for analysis did not have direct access to a language at their school.</w:t>
      </w:r>
      <w:bookmarkEnd w:id="228"/>
    </w:p>
    <w:p w14:paraId="43FC7939" w14:textId="77777777" w:rsidR="005F0317" w:rsidRDefault="005F0317">
      <w:pPr>
        <w:spacing w:after="0"/>
      </w:pPr>
      <w:bookmarkStart w:id="229" w:name="_Toc402180428"/>
      <w:r>
        <w:br w:type="page"/>
      </w:r>
    </w:p>
    <w:p w14:paraId="39C8E630" w14:textId="1D5E4151" w:rsidR="00B00CC2" w:rsidRPr="003F46ED" w:rsidRDefault="00B00CC2" w:rsidP="00B30583">
      <w:r w:rsidRPr="003F46ED">
        <w:lastRenderedPageBreak/>
        <w:t>The majority (93 per cent) of respondents (</w:t>
      </w:r>
      <w:r w:rsidRPr="003F46ED">
        <w:rPr>
          <w:i/>
        </w:rPr>
        <w:t>n=266</w:t>
      </w:r>
      <w:r w:rsidRPr="003F46ED">
        <w:t>) were aged 18</w:t>
      </w:r>
      <w:r w:rsidR="00853AC6" w:rsidRPr="003F46ED">
        <w:t>–</w:t>
      </w:r>
      <w:r w:rsidRPr="003F46ED">
        <w:t>25, with 90 per cent aged 18</w:t>
      </w:r>
      <w:r w:rsidR="00853AC6" w:rsidRPr="003F46ED">
        <w:t>–</w:t>
      </w:r>
      <w:r w:rsidRPr="003F46ED">
        <w:t xml:space="preserve">22. Approximately 50 per cent studied at least one language at school in Years 11 and 12. Overall, from the perspective of language </w:t>
      </w:r>
      <w:r w:rsidR="003E6FC4" w:rsidRPr="003F46ED">
        <w:t xml:space="preserve">learning and </w:t>
      </w:r>
      <w:r w:rsidR="00EF6F5D" w:rsidRPr="003F46ED">
        <w:t xml:space="preserve">linguistic </w:t>
      </w:r>
      <w:r w:rsidR="003E6FC4" w:rsidRPr="003F46ED">
        <w:t>background</w:t>
      </w:r>
      <w:r w:rsidRPr="003F46ED">
        <w:t>, the sample was skewed towards:</w:t>
      </w:r>
      <w:bookmarkEnd w:id="229"/>
      <w:r w:rsidRPr="003F46ED">
        <w:t xml:space="preserve"> </w:t>
      </w:r>
    </w:p>
    <w:p w14:paraId="6B339621" w14:textId="77777777" w:rsidR="00B00CC2" w:rsidRPr="003F46ED" w:rsidRDefault="00B00CC2" w:rsidP="00844CAE">
      <w:pPr>
        <w:pStyle w:val="ListParagraph"/>
      </w:pPr>
      <w:bookmarkStart w:id="230" w:name="_Toc402180429"/>
      <w:r w:rsidRPr="003F46ED">
        <w:t>students who studied a language in Years 11 and 12</w:t>
      </w:r>
      <w:bookmarkEnd w:id="230"/>
    </w:p>
    <w:p w14:paraId="35134FE6" w14:textId="77777777" w:rsidR="00B00CC2" w:rsidRPr="003F46ED" w:rsidRDefault="00B00CC2" w:rsidP="00844CAE">
      <w:pPr>
        <w:pStyle w:val="ListParagraph"/>
      </w:pPr>
      <w:bookmarkStart w:id="231" w:name="_Toc402180430"/>
      <w:r w:rsidRPr="003F46ED">
        <w:t>students currently studying a language (38 per cent)</w:t>
      </w:r>
      <w:bookmarkEnd w:id="231"/>
    </w:p>
    <w:p w14:paraId="77A17442" w14:textId="77777777" w:rsidR="007B1D45" w:rsidRPr="003F46ED" w:rsidRDefault="00B00CC2" w:rsidP="00844CAE">
      <w:pPr>
        <w:pStyle w:val="ListParagraph"/>
      </w:pPr>
      <w:bookmarkStart w:id="232" w:name="_Toc402180431"/>
      <w:proofErr w:type="gramStart"/>
      <w:r w:rsidRPr="003F46ED">
        <w:t>students</w:t>
      </w:r>
      <w:proofErr w:type="gramEnd"/>
      <w:r w:rsidRPr="003F46ED">
        <w:t xml:space="preserve"> who can speak another language (59 per cent), even though more than 90 per cent </w:t>
      </w:r>
      <w:r w:rsidR="00C42427" w:rsidRPr="003F46ED">
        <w:t xml:space="preserve">specified </w:t>
      </w:r>
      <w:r w:rsidRPr="003F46ED">
        <w:t>English as their first language.</w:t>
      </w:r>
      <w:bookmarkEnd w:id="232"/>
    </w:p>
    <w:p w14:paraId="012C6659" w14:textId="77777777" w:rsidR="007B1D45" w:rsidRPr="003F46ED" w:rsidRDefault="00853FF7" w:rsidP="00B30583">
      <w:bookmarkStart w:id="233" w:name="_Toc402180432"/>
      <w:r w:rsidRPr="003F46ED">
        <w:t>There</w:t>
      </w:r>
      <w:r w:rsidR="00B00CC2" w:rsidRPr="003F46ED">
        <w:t xml:space="preserve"> were far more female respondents than male respondents (189:73</w:t>
      </w:r>
      <w:r w:rsidR="0045483B" w:rsidRPr="003F46ED">
        <w:t>)</w:t>
      </w:r>
      <w:r w:rsidR="00B00CC2" w:rsidRPr="003F46ED">
        <w:t>. The sample was not jurisdictionally representative</w:t>
      </w:r>
      <w:r w:rsidR="00853AC6" w:rsidRPr="003F46ED">
        <w:t xml:space="preserve"> – </w:t>
      </w:r>
      <w:r w:rsidR="00EB5C58" w:rsidRPr="003F46ED">
        <w:t>Vic</w:t>
      </w:r>
      <w:r w:rsidR="00354680" w:rsidRPr="003F46ED">
        <w:t xml:space="preserve"> </w:t>
      </w:r>
      <w:r w:rsidR="00B00CC2" w:rsidRPr="003F46ED">
        <w:t xml:space="preserve">(47 per cent), </w:t>
      </w:r>
      <w:r w:rsidR="00EB5C58" w:rsidRPr="003F46ED">
        <w:t>Queensland (Qld)</w:t>
      </w:r>
      <w:r w:rsidR="00B00CC2" w:rsidRPr="003F46ED">
        <w:t xml:space="preserve"> (23 per cent), </w:t>
      </w:r>
      <w:r w:rsidR="007C4CC3" w:rsidRPr="003F46ED">
        <w:t>New South Wales (NSW)</w:t>
      </w:r>
      <w:r w:rsidR="00B00CC2" w:rsidRPr="003F46ED">
        <w:t xml:space="preserve"> (11 per cent), </w:t>
      </w:r>
      <w:r w:rsidR="00EB5C58" w:rsidRPr="003F46ED">
        <w:t>South Australia (SA)</w:t>
      </w:r>
      <w:r w:rsidR="00B00CC2" w:rsidRPr="003F46ED">
        <w:t xml:space="preserve"> (9 per cent), and </w:t>
      </w:r>
      <w:r w:rsidR="000464C9" w:rsidRPr="003F46ED">
        <w:t>Western Australia (WA)</w:t>
      </w:r>
      <w:r w:rsidR="00B00CC2" w:rsidRPr="003F46ED">
        <w:t xml:space="preserve">, </w:t>
      </w:r>
      <w:r w:rsidR="000464C9" w:rsidRPr="003F46ED">
        <w:t>Tasmania (</w:t>
      </w:r>
      <w:proofErr w:type="spellStart"/>
      <w:r w:rsidR="000464C9" w:rsidRPr="003F46ED">
        <w:t>Tas</w:t>
      </w:r>
      <w:proofErr w:type="spellEnd"/>
      <w:r w:rsidR="000464C9" w:rsidRPr="003F46ED">
        <w:t>)</w:t>
      </w:r>
      <w:r w:rsidR="00B00CC2" w:rsidRPr="003F46ED">
        <w:t xml:space="preserve">, the </w:t>
      </w:r>
      <w:r w:rsidR="007C4CC3" w:rsidRPr="003F46ED">
        <w:t>Northern Territory (NT)</w:t>
      </w:r>
      <w:r w:rsidR="00B00CC2" w:rsidRPr="003F46ED">
        <w:t xml:space="preserve"> and </w:t>
      </w:r>
      <w:r w:rsidR="007C4CC3" w:rsidRPr="003F46ED">
        <w:t xml:space="preserve">Australian Capital Territory (ACT) </w:t>
      </w:r>
      <w:r w:rsidR="00B00CC2" w:rsidRPr="003F46ED">
        <w:t>each recording less than 5 per cent</w:t>
      </w:r>
      <w:r w:rsidR="0095280C" w:rsidRPr="003F46ED">
        <w:t>. However,</w:t>
      </w:r>
      <w:r w:rsidR="00853AC6" w:rsidRPr="003F46ED">
        <w:t xml:space="preserve"> </w:t>
      </w:r>
      <w:r w:rsidR="00B00CC2" w:rsidRPr="003F46ED">
        <w:t xml:space="preserve">geo-locational </w:t>
      </w:r>
      <w:r w:rsidR="0095280C" w:rsidRPr="003F46ED">
        <w:t xml:space="preserve">and school sector </w:t>
      </w:r>
      <w:r w:rsidR="00B00CC2" w:rsidRPr="003F46ED">
        <w:t>spread</w:t>
      </w:r>
      <w:r w:rsidR="0095280C" w:rsidRPr="003F46ED">
        <w:t xml:space="preserve"> </w:t>
      </w:r>
      <w:r w:rsidR="00B00CC2" w:rsidRPr="003F46ED">
        <w:t>w</w:t>
      </w:r>
      <w:r w:rsidR="0095280C" w:rsidRPr="003F46ED">
        <w:t>ere</w:t>
      </w:r>
      <w:r w:rsidR="00B00CC2" w:rsidRPr="003F46ED">
        <w:t xml:space="preserve"> closer to being representative</w:t>
      </w:r>
      <w:r w:rsidR="0095280C" w:rsidRPr="003F46ED">
        <w:t>.</w:t>
      </w:r>
      <w:r w:rsidR="00B00CC2" w:rsidRPr="003F46ED">
        <w:t xml:space="preserve"> More detailed background information on these respondents is presented in Attachment 2 as part of the ACER report.</w:t>
      </w:r>
      <w:bookmarkEnd w:id="233"/>
    </w:p>
    <w:p w14:paraId="1F2C85D9" w14:textId="77777777" w:rsidR="007B1D45" w:rsidRPr="003F46ED" w:rsidRDefault="00B00CC2" w:rsidP="00F536F8">
      <w:pPr>
        <w:pStyle w:val="Heading4"/>
      </w:pPr>
      <w:bookmarkStart w:id="234" w:name="_Toc402180433"/>
      <w:r w:rsidRPr="003F46ED">
        <w:t>Parent survey</w:t>
      </w:r>
      <w:bookmarkEnd w:id="234"/>
    </w:p>
    <w:p w14:paraId="45B1C9A6" w14:textId="77777777" w:rsidR="007B1D45" w:rsidRPr="003F46ED" w:rsidRDefault="00B00CC2" w:rsidP="00B30583">
      <w:bookmarkStart w:id="235" w:name="_Toc402180434"/>
      <w:r w:rsidRPr="003F46ED">
        <w:t>Parents with at least one child attending a school in Australia were recruited to participate in the survey through the Australian Parents Council (</w:t>
      </w:r>
      <w:proofErr w:type="spellStart"/>
      <w:r w:rsidRPr="003F46ED">
        <w:t>APC</w:t>
      </w:r>
      <w:proofErr w:type="spellEnd"/>
      <w:r w:rsidRPr="003F46ED">
        <w:t>), the Australian Council of State School Organisations (</w:t>
      </w:r>
      <w:proofErr w:type="spellStart"/>
      <w:r w:rsidRPr="003F46ED">
        <w:t>ACSSO</w:t>
      </w:r>
      <w:proofErr w:type="spellEnd"/>
      <w:r w:rsidRPr="003F46ED">
        <w:t>) and AEF networks. As with the student survey, convenience sampling was deemed appropriate.</w:t>
      </w:r>
      <w:bookmarkEnd w:id="235"/>
    </w:p>
    <w:p w14:paraId="02FB691B" w14:textId="77777777" w:rsidR="007B1D45" w:rsidRPr="003F46ED" w:rsidRDefault="00B00CC2" w:rsidP="00B30583">
      <w:bookmarkStart w:id="236" w:name="_Toc402180435"/>
      <w:r w:rsidRPr="003F46ED">
        <w:t>684 parents responded to the survey overall, of whom 117 did not com</w:t>
      </w:r>
      <w:r w:rsidR="00FB752E" w:rsidRPr="003F46ED">
        <w:t>plete it and an additional 33 did</w:t>
      </w:r>
      <w:r w:rsidRPr="003F46ED">
        <w:t xml:space="preserve"> not have a child attending school in Australia. Because the survey focuses on parents’ attitudes towards their children’s languages education in general, it was not necessary to sample only parents with at least one child attending senior secondary in Australia. However, all respondents were asked to consider the importance of studying a language in Years 11 and 12</w:t>
      </w:r>
      <w:r w:rsidR="008B031B" w:rsidRPr="003F46ED">
        <w:t xml:space="preserve"> for their child</w:t>
      </w:r>
      <w:r w:rsidRPr="003F46ED">
        <w:t>.</w:t>
      </w:r>
      <w:bookmarkEnd w:id="236"/>
    </w:p>
    <w:p w14:paraId="38BC2752" w14:textId="77777777" w:rsidR="007B1D45" w:rsidRPr="003F46ED" w:rsidRDefault="00B00CC2" w:rsidP="00B30583">
      <w:bookmarkStart w:id="237" w:name="_Toc402180436"/>
      <w:r w:rsidRPr="003F46ED">
        <w:t>58 per cent of respondents (</w:t>
      </w:r>
      <w:r w:rsidRPr="003F46ED">
        <w:rPr>
          <w:i/>
        </w:rPr>
        <w:t>n=534</w:t>
      </w:r>
      <w:r w:rsidRPr="003F46ED">
        <w:t>) considered in-scope for analysis speak a language in addition to English (though the level of daily usage varies). The sample was thus skewed towards parents who have some fluency in languages apart from English. This sample skew was expected given the subject matter of the survey</w:t>
      </w:r>
      <w:r w:rsidR="00853AC6" w:rsidRPr="003F46ED">
        <w:t xml:space="preserve"> – </w:t>
      </w:r>
      <w:r w:rsidRPr="003F46ED">
        <w:t>perhaps appealing more to parents who speak at least one language in addition to English</w:t>
      </w:r>
      <w:r w:rsidR="00853AC6" w:rsidRPr="003F46ED">
        <w:t xml:space="preserve"> – </w:t>
      </w:r>
      <w:r w:rsidRPr="003F46ED">
        <w:t xml:space="preserve">and the convenience sampling </w:t>
      </w:r>
      <w:r w:rsidR="00067D2D" w:rsidRPr="003F46ED">
        <w:t>used</w:t>
      </w:r>
      <w:r w:rsidRPr="003F46ED">
        <w:t>.</w:t>
      </w:r>
      <w:bookmarkEnd w:id="237"/>
    </w:p>
    <w:p w14:paraId="3D570AA3" w14:textId="77777777" w:rsidR="007B1D45" w:rsidRPr="003F46ED" w:rsidRDefault="00B00CC2" w:rsidP="00B30583">
      <w:bookmarkStart w:id="238" w:name="_Toc402180437"/>
      <w:r w:rsidRPr="003F46ED">
        <w:t xml:space="preserve">Nonetheless, the usefulness of the resulting data set has not been compromised because the sample could be split into: 1) parents who speak English only; and 2) parents who speak English </w:t>
      </w:r>
      <w:r w:rsidRPr="003F46ED">
        <w:rPr>
          <w:i/>
        </w:rPr>
        <w:t>and</w:t>
      </w:r>
      <w:r w:rsidRPr="003F46ED">
        <w:t xml:space="preserve"> another language. Hence, the results from the survey provide insights into the different ways in which these two broad groups of parents view languages education for their children, even though the initial sample was non-representative.</w:t>
      </w:r>
      <w:bookmarkEnd w:id="238"/>
    </w:p>
    <w:p w14:paraId="5F642C35" w14:textId="77777777" w:rsidR="007B1D45" w:rsidRPr="003F46ED" w:rsidRDefault="00B00CC2" w:rsidP="00B30583">
      <w:bookmarkStart w:id="239" w:name="_Toc402180438"/>
      <w:r w:rsidRPr="003F46ED">
        <w:t>Parent survey dissemination information and background information on respondents is presented in Attachment 2.</w:t>
      </w:r>
      <w:bookmarkEnd w:id="239"/>
    </w:p>
    <w:p w14:paraId="3974CC44" w14:textId="77777777" w:rsidR="007B1D45" w:rsidRPr="003F46ED" w:rsidRDefault="00B00CC2" w:rsidP="00F536F8">
      <w:pPr>
        <w:pStyle w:val="Heading4"/>
      </w:pPr>
      <w:bookmarkStart w:id="240" w:name="_Toc402180439"/>
      <w:r w:rsidRPr="003F46ED">
        <w:t>Principal survey</w:t>
      </w:r>
      <w:bookmarkEnd w:id="240"/>
    </w:p>
    <w:p w14:paraId="684F7F8C" w14:textId="77777777" w:rsidR="007B1D45" w:rsidRPr="003F46ED" w:rsidRDefault="00B00CC2" w:rsidP="00B30583">
      <w:bookmarkStart w:id="241" w:name="_Toc402180440"/>
      <w:r w:rsidRPr="003F46ED">
        <w:t>Using its sampling frame, ACER drew a stratified random sample of schools offering Year</w:t>
      </w:r>
      <w:r w:rsidR="00BF0D5F" w:rsidRPr="003F46ED">
        <w:t>s 11 and 12 in Australia. Secondary schools and</w:t>
      </w:r>
      <w:r w:rsidRPr="003F46ED">
        <w:t xml:space="preserve"> schools catering for secondary year levels (such as F</w:t>
      </w:r>
      <w:r w:rsidR="00853AC6" w:rsidRPr="003F46ED">
        <w:t>–</w:t>
      </w:r>
      <w:r w:rsidRPr="003F46ED">
        <w:t>12) were targeted. Special development schools, specialist subject schools and primary (only) schools were excluded from the sample. If required, principals could nominate the assistant principal or other delegate to complete the survey.</w:t>
      </w:r>
      <w:bookmarkEnd w:id="241"/>
    </w:p>
    <w:p w14:paraId="56A10278" w14:textId="77777777" w:rsidR="007B1D45" w:rsidRPr="003F46ED" w:rsidRDefault="00B00CC2" w:rsidP="00B30583">
      <w:bookmarkStart w:id="242" w:name="_Toc402180441"/>
      <w:r w:rsidRPr="003F46ED">
        <w:lastRenderedPageBreak/>
        <w:t xml:space="preserve">The </w:t>
      </w:r>
      <w:r w:rsidR="003944E4" w:rsidRPr="003F46ED">
        <w:t xml:space="preserve">target </w:t>
      </w:r>
      <w:r w:rsidRPr="003F46ED">
        <w:t>sample size</w:t>
      </w:r>
      <w:r w:rsidR="003944E4" w:rsidRPr="003F46ED">
        <w:t xml:space="preserve"> was 400 schools. However, a total sample of</w:t>
      </w:r>
      <w:r w:rsidRPr="003F46ED">
        <w:t xml:space="preserve"> 1</w:t>
      </w:r>
      <w:r w:rsidR="00853AC6" w:rsidRPr="003F46ED">
        <w:t>,</w:t>
      </w:r>
      <w:r w:rsidRPr="003F46ED">
        <w:t>200 schools</w:t>
      </w:r>
      <w:r w:rsidR="003944E4" w:rsidRPr="003F46ED">
        <w:t xml:space="preserve"> was drawn to ensure</w:t>
      </w:r>
      <w:r w:rsidRPr="003F46ED">
        <w:t xml:space="preserve"> two replacement schools for each of the 400</w:t>
      </w:r>
      <w:r w:rsidR="00C90B5C" w:rsidRPr="003F46ED">
        <w:t xml:space="preserve"> schools in the target sample</w:t>
      </w:r>
      <w:r w:rsidRPr="003F46ED">
        <w:t>. Where a school declined to participate, the replacement school was approached. This was to ensure the sample remained representative. Schools were sampled based on location and se</w:t>
      </w:r>
      <w:r w:rsidR="00171E48" w:rsidRPr="003F46ED">
        <w:t>ctor</w:t>
      </w:r>
      <w:r w:rsidRPr="003F46ED">
        <w:t>. Sample size from each region was dependent on the number of schools in the area.</w:t>
      </w:r>
      <w:bookmarkEnd w:id="242"/>
      <w:r w:rsidRPr="003F46ED">
        <w:t xml:space="preserve"> </w:t>
      </w:r>
    </w:p>
    <w:p w14:paraId="6DE9B7EB" w14:textId="77777777" w:rsidR="007B1D45" w:rsidRPr="003F46ED" w:rsidRDefault="00B00CC2" w:rsidP="00B30583">
      <w:bookmarkStart w:id="243" w:name="_Toc402180442"/>
      <w:r w:rsidRPr="003F46ED">
        <w:t>The final number of respon</w:t>
      </w:r>
      <w:r w:rsidR="00B42220" w:rsidRPr="003F46ED">
        <w:t>ses eligible for analysis is 91</w:t>
      </w:r>
      <w:r w:rsidRPr="003F46ED">
        <w:t xml:space="preserve"> </w:t>
      </w:r>
      <w:r w:rsidR="00B42220" w:rsidRPr="003F46ED">
        <w:t>(</w:t>
      </w:r>
      <w:r w:rsidRPr="003F46ED">
        <w:t>20 per cent response rate</w:t>
      </w:r>
      <w:r w:rsidR="00B42220" w:rsidRPr="003F46ED">
        <w:t>)</w:t>
      </w:r>
      <w:r w:rsidRPr="003F46ED">
        <w:t xml:space="preserve">. </w:t>
      </w:r>
      <w:r w:rsidR="002127C5" w:rsidRPr="003F46ED">
        <w:t>T</w:t>
      </w:r>
      <w:r w:rsidRPr="003F46ED">
        <w:t xml:space="preserve">here is a proportional spread of schools by jurisdiction and sector. The survey results can be considered representative and complement other results from the research. The number of useable responses relates to a 95 per cent confidence level and a confidence interval of 10. </w:t>
      </w:r>
      <w:bookmarkEnd w:id="243"/>
      <w:r w:rsidR="00A06FBF" w:rsidRPr="003F46ED">
        <w:t>More detailed information on the principal survey sample is at Attachment 2.</w:t>
      </w:r>
    </w:p>
    <w:p w14:paraId="04C5CAA7" w14:textId="77777777" w:rsidR="007B1D45" w:rsidRPr="003F46ED" w:rsidRDefault="00B00CC2" w:rsidP="00F536F8">
      <w:pPr>
        <w:pStyle w:val="Heading4"/>
      </w:pPr>
      <w:bookmarkStart w:id="244" w:name="_Toc402180443"/>
      <w:r w:rsidRPr="003F46ED">
        <w:t>Consultations</w:t>
      </w:r>
      <w:bookmarkEnd w:id="244"/>
      <w:r w:rsidRPr="003F46ED">
        <w:t xml:space="preserve"> </w:t>
      </w:r>
    </w:p>
    <w:p w14:paraId="0F1DCE9B" w14:textId="77777777" w:rsidR="007B1D45" w:rsidRPr="003F46ED" w:rsidRDefault="002512D4" w:rsidP="00B30583">
      <w:bookmarkStart w:id="245" w:name="_Toc402180444"/>
      <w:r w:rsidRPr="003F46ED">
        <w:t>Excluding the initial scoping group meeting, Advisory Group meetings and project meetings between AEF and the Australian Government Department of Education, a</w:t>
      </w:r>
      <w:r w:rsidR="008F6BDC" w:rsidRPr="003F46ED">
        <w:t>pproximately 70 external consultations were held over the three rounds of consultation (see Attachment 4 for the full listing)</w:t>
      </w:r>
      <w:r w:rsidR="00B00CC2" w:rsidRPr="003F46ED">
        <w:t xml:space="preserve">. Some of these consultations involved multiple participants or organisations. The scale of the overall consultation process was to ensure extensive coverage of key </w:t>
      </w:r>
      <w:r w:rsidR="00FD2D5C" w:rsidRPr="003F46ED">
        <w:t>stakeholders</w:t>
      </w:r>
      <w:r w:rsidR="007671C1" w:rsidRPr="003F46ED">
        <w:t xml:space="preserve"> and voices of influence</w:t>
      </w:r>
      <w:r w:rsidR="00B00CC2" w:rsidRPr="003F46ED">
        <w:t xml:space="preserve"> and to provide credibility to the research.</w:t>
      </w:r>
      <w:bookmarkEnd w:id="245"/>
    </w:p>
    <w:p w14:paraId="51EB6565" w14:textId="32FC2B81" w:rsidR="00B00CC2" w:rsidRPr="003F46ED" w:rsidRDefault="00B00CC2" w:rsidP="00B30583">
      <w:bookmarkStart w:id="246" w:name="_Toc402180445"/>
      <w:r w:rsidRPr="003F46ED">
        <w:t>Criteria for identifying</w:t>
      </w:r>
      <w:r w:rsidR="005C75E8" w:rsidRPr="003F46ED">
        <w:t xml:space="preserve"> and recruiting</w:t>
      </w:r>
      <w:r w:rsidRPr="003F46ED">
        <w:t xml:space="preserve"> consultation participants included:</w:t>
      </w:r>
      <w:bookmarkEnd w:id="246"/>
    </w:p>
    <w:p w14:paraId="4E9DB074" w14:textId="77777777" w:rsidR="00B00CC2" w:rsidRPr="003F46ED" w:rsidRDefault="00833880" w:rsidP="00F666F6">
      <w:pPr>
        <w:pStyle w:val="ListParagraph"/>
        <w:numPr>
          <w:ilvl w:val="0"/>
          <w:numId w:val="35"/>
        </w:numPr>
      </w:pPr>
      <w:bookmarkStart w:id="247" w:name="_Toc402180446"/>
      <w:r w:rsidRPr="003F46ED">
        <w:t>s</w:t>
      </w:r>
      <w:r w:rsidR="00B00CC2" w:rsidRPr="003F46ED">
        <w:t>enior, languages and/or curriculum representative</w:t>
      </w:r>
      <w:r w:rsidR="00F153A4" w:rsidRPr="003F46ED">
        <w:t>s</w:t>
      </w:r>
      <w:r w:rsidR="00B00CC2" w:rsidRPr="003F46ED">
        <w:t xml:space="preserve"> of a national </w:t>
      </w:r>
      <w:r w:rsidR="007A34FE" w:rsidRPr="003F46ED">
        <w:t xml:space="preserve">education </w:t>
      </w:r>
      <w:r w:rsidR="00B00CC2" w:rsidRPr="003F46ED">
        <w:t xml:space="preserve">agency, </w:t>
      </w:r>
      <w:r w:rsidR="007A34FE" w:rsidRPr="003F46ED">
        <w:t xml:space="preserve">education </w:t>
      </w:r>
      <w:r w:rsidR="00B00CC2" w:rsidRPr="003F46ED">
        <w:t>system, curriculum authority or sector</w:t>
      </w:r>
      <w:bookmarkEnd w:id="247"/>
    </w:p>
    <w:p w14:paraId="1287270A" w14:textId="77777777" w:rsidR="00B00CC2" w:rsidRPr="003F46ED" w:rsidRDefault="00833880" w:rsidP="00F666F6">
      <w:pPr>
        <w:pStyle w:val="ListParagraph"/>
        <w:numPr>
          <w:ilvl w:val="0"/>
          <w:numId w:val="35"/>
        </w:numPr>
      </w:pPr>
      <w:bookmarkStart w:id="248" w:name="_Toc402180447"/>
      <w:r w:rsidRPr="003F46ED">
        <w:t>s</w:t>
      </w:r>
      <w:r w:rsidR="00B00CC2" w:rsidRPr="003F46ED">
        <w:t>takeholders suggested by the Australian Government Department of Education and/or identified by AEF through its broad national network</w:t>
      </w:r>
      <w:bookmarkEnd w:id="248"/>
    </w:p>
    <w:p w14:paraId="5DB1E9E3" w14:textId="77777777" w:rsidR="007B1D45" w:rsidRPr="003F46ED" w:rsidRDefault="00833880" w:rsidP="00F666F6">
      <w:pPr>
        <w:pStyle w:val="ListParagraph"/>
        <w:numPr>
          <w:ilvl w:val="0"/>
          <w:numId w:val="35"/>
        </w:numPr>
      </w:pPr>
      <w:bookmarkStart w:id="249" w:name="_Toc402180448"/>
      <w:proofErr w:type="gramStart"/>
      <w:r w:rsidRPr="003F46ED">
        <w:t>f</w:t>
      </w:r>
      <w:r w:rsidR="00B00CC2" w:rsidRPr="003F46ED">
        <w:t>urther</w:t>
      </w:r>
      <w:proofErr w:type="gramEnd"/>
      <w:r w:rsidR="00B00CC2" w:rsidRPr="003F46ED">
        <w:t xml:space="preserve"> suggestions from consultation participants.</w:t>
      </w:r>
      <w:bookmarkEnd w:id="249"/>
    </w:p>
    <w:p w14:paraId="3576C314" w14:textId="77777777" w:rsidR="007B1D45" w:rsidRPr="003F46ED" w:rsidRDefault="00B00CC2" w:rsidP="00B30583">
      <w:bookmarkStart w:id="250" w:name="_Toc402180449"/>
      <w:r w:rsidRPr="003F46ED">
        <w:t xml:space="preserve">Overall, the consultations enabled identification of key issues of concern and demonstrated broad support for the findings and general directions of the </w:t>
      </w:r>
      <w:r w:rsidR="00213DDA" w:rsidRPr="003F46ED">
        <w:t>research</w:t>
      </w:r>
      <w:r w:rsidRPr="003F46ED">
        <w:t>. Furthermore, there is goodwill and appetite nationally to work collaboratively on improving senior secondary languages education, both in terms of quality and enrolments.</w:t>
      </w:r>
      <w:bookmarkEnd w:id="250"/>
    </w:p>
    <w:p w14:paraId="705B60AD" w14:textId="77777777" w:rsidR="007B1D45" w:rsidRPr="003F46ED" w:rsidRDefault="00B00CC2" w:rsidP="00F536F8">
      <w:pPr>
        <w:pStyle w:val="Heading3"/>
      </w:pPr>
      <w:bookmarkStart w:id="251" w:name="_Toc402180450"/>
      <w:r w:rsidRPr="003F46ED">
        <w:t>Data analysis</w:t>
      </w:r>
      <w:bookmarkEnd w:id="251"/>
    </w:p>
    <w:p w14:paraId="0947C834" w14:textId="77777777" w:rsidR="007B1D45" w:rsidRPr="003F46ED" w:rsidRDefault="00644603" w:rsidP="00B30583">
      <w:bookmarkStart w:id="252" w:name="_Toc402180451"/>
      <w:r w:rsidRPr="003F46ED">
        <w:t>The types of data analysis conducted for the research and for what purpose are summarised in Table 2.4</w:t>
      </w:r>
      <w:r w:rsidR="00B00CC2" w:rsidRPr="003F46ED">
        <w:t xml:space="preserve">. The quantitative and qualitative results were triangulated to inform development of </w:t>
      </w:r>
      <w:r w:rsidR="005B1D4A" w:rsidRPr="003F46ED">
        <w:t xml:space="preserve">the </w:t>
      </w:r>
      <w:r w:rsidR="00B00CC2" w:rsidRPr="003F46ED">
        <w:t>recommendations.</w:t>
      </w:r>
      <w:bookmarkEnd w:id="252"/>
    </w:p>
    <w:p w14:paraId="2A7D767C" w14:textId="77777777" w:rsidR="005F0317" w:rsidRDefault="005F0317">
      <w:pPr>
        <w:spacing w:after="0"/>
      </w:pPr>
      <w:bookmarkStart w:id="253" w:name="_Toc402180452"/>
      <w:r>
        <w:br w:type="page"/>
      </w:r>
    </w:p>
    <w:p w14:paraId="1B53CC3F" w14:textId="47C34D68" w:rsidR="002F1F7E" w:rsidRPr="00F74E23" w:rsidRDefault="002F1F7E" w:rsidP="00BA49C9">
      <w:pPr>
        <w:pStyle w:val="Caption"/>
        <w:rPr>
          <w:b/>
        </w:rPr>
      </w:pPr>
      <w:r w:rsidRPr="00F74E23">
        <w:rPr>
          <w:b/>
        </w:rPr>
        <w:lastRenderedPageBreak/>
        <w:t>Table 2.4: Types of data analy</w:t>
      </w:r>
      <w:r w:rsidR="00755E4C" w:rsidRPr="00F74E23">
        <w:rPr>
          <w:b/>
        </w:rPr>
        <w:t xml:space="preserve">sis conducted for the research and </w:t>
      </w:r>
      <w:r w:rsidRPr="00F74E23">
        <w:rPr>
          <w:b/>
        </w:rPr>
        <w:t xml:space="preserve">purpose of analysis </w:t>
      </w:r>
      <w:bookmarkEnd w:id="253"/>
    </w:p>
    <w:tbl>
      <w:tblPr>
        <w:tblStyle w:val="TableGrid"/>
        <w:tblW w:w="5000" w:type="pct"/>
        <w:tblLook w:val="04A0" w:firstRow="1" w:lastRow="0" w:firstColumn="1" w:lastColumn="0" w:noHBand="0" w:noVBand="1"/>
      </w:tblPr>
      <w:tblGrid>
        <w:gridCol w:w="2838"/>
        <w:gridCol w:w="7010"/>
      </w:tblGrid>
      <w:tr w:rsidR="00755E4C" w:rsidRPr="003F46ED" w14:paraId="1BA4DEAC" w14:textId="77777777" w:rsidTr="00B44405">
        <w:trPr>
          <w:cantSplit/>
          <w:trHeight w:val="567"/>
          <w:tblHeader/>
        </w:trPr>
        <w:tc>
          <w:tcPr>
            <w:tcW w:w="1441" w:type="pct"/>
            <w:shd w:val="clear" w:color="auto" w:fill="000000" w:themeFill="text1"/>
            <w:vAlign w:val="center"/>
          </w:tcPr>
          <w:p w14:paraId="78CF3DF6" w14:textId="77777777" w:rsidR="00755E4C" w:rsidRPr="003F46ED" w:rsidRDefault="00755E4C" w:rsidP="00B30583">
            <w:pPr>
              <w:rPr>
                <w:lang w:val="en-AU"/>
              </w:rPr>
            </w:pPr>
            <w:bookmarkStart w:id="254" w:name="_Toc402180453"/>
            <w:r w:rsidRPr="003F46ED">
              <w:rPr>
                <w:lang w:val="en-AU"/>
              </w:rPr>
              <w:t>Data analysis</w:t>
            </w:r>
            <w:bookmarkEnd w:id="254"/>
          </w:p>
        </w:tc>
        <w:tc>
          <w:tcPr>
            <w:tcW w:w="3559" w:type="pct"/>
            <w:shd w:val="clear" w:color="auto" w:fill="000000" w:themeFill="text1"/>
            <w:vAlign w:val="center"/>
          </w:tcPr>
          <w:p w14:paraId="41890598" w14:textId="77777777" w:rsidR="00755E4C" w:rsidRPr="003F46ED" w:rsidRDefault="00755E4C" w:rsidP="00B30583">
            <w:pPr>
              <w:rPr>
                <w:lang w:val="en-AU"/>
              </w:rPr>
            </w:pPr>
            <w:bookmarkStart w:id="255" w:name="_Toc402180454"/>
            <w:r w:rsidRPr="003F46ED">
              <w:rPr>
                <w:lang w:val="en-AU"/>
              </w:rPr>
              <w:t>Purpose</w:t>
            </w:r>
            <w:bookmarkEnd w:id="255"/>
          </w:p>
        </w:tc>
      </w:tr>
      <w:tr w:rsidR="00755E4C" w:rsidRPr="003F46ED" w14:paraId="20468341" w14:textId="77777777" w:rsidTr="00B44405">
        <w:trPr>
          <w:cantSplit/>
        </w:trPr>
        <w:tc>
          <w:tcPr>
            <w:tcW w:w="1441" w:type="pct"/>
          </w:tcPr>
          <w:p w14:paraId="1EFF2D99" w14:textId="77777777" w:rsidR="00755E4C" w:rsidRPr="003F46ED" w:rsidRDefault="00755E4C" w:rsidP="00B30583">
            <w:pPr>
              <w:rPr>
                <w:lang w:val="en-AU"/>
              </w:rPr>
            </w:pPr>
            <w:bookmarkStart w:id="256" w:name="_Toc402180456"/>
            <w:r w:rsidRPr="003F46ED">
              <w:rPr>
                <w:lang w:val="en-AU"/>
              </w:rPr>
              <w:t>Policy and literature review</w:t>
            </w:r>
            <w:bookmarkEnd w:id="256"/>
          </w:p>
        </w:tc>
        <w:tc>
          <w:tcPr>
            <w:tcW w:w="3559" w:type="pct"/>
          </w:tcPr>
          <w:p w14:paraId="3E851A81" w14:textId="77777777" w:rsidR="00755E4C" w:rsidRPr="003F46ED" w:rsidRDefault="00755E4C" w:rsidP="00CB5ABC">
            <w:pPr>
              <w:pStyle w:val="ListParagraph"/>
              <w:numPr>
                <w:ilvl w:val="0"/>
                <w:numId w:val="3"/>
              </w:numPr>
              <w:ind w:left="360"/>
              <w:rPr>
                <w:lang w:val="en-AU"/>
              </w:rPr>
            </w:pPr>
            <w:bookmarkStart w:id="257" w:name="_Toc402180457"/>
            <w:r w:rsidRPr="003F46ED">
              <w:rPr>
                <w:lang w:val="en-AU"/>
              </w:rPr>
              <w:t>to identify demand and supply factors affecting language study in Australian schools and reasons for studying, or not-studying, a language</w:t>
            </w:r>
            <w:bookmarkEnd w:id="257"/>
          </w:p>
          <w:p w14:paraId="13568B20" w14:textId="77777777" w:rsidR="00755E4C" w:rsidRPr="003F46ED" w:rsidRDefault="00755E4C" w:rsidP="00CB5ABC">
            <w:pPr>
              <w:pStyle w:val="ListParagraph"/>
              <w:numPr>
                <w:ilvl w:val="0"/>
                <w:numId w:val="3"/>
              </w:numPr>
              <w:ind w:left="360"/>
              <w:rPr>
                <w:lang w:val="en-AU"/>
              </w:rPr>
            </w:pPr>
            <w:bookmarkStart w:id="258" w:name="_Toc402180458"/>
            <w:r w:rsidRPr="003F46ED">
              <w:rPr>
                <w:lang w:val="en-AU"/>
              </w:rPr>
              <w:t>to identify what is happening internationally with respect to languages at senior secondary level</w:t>
            </w:r>
            <w:bookmarkEnd w:id="258"/>
            <w:r w:rsidRPr="003F46ED">
              <w:rPr>
                <w:lang w:val="en-AU"/>
              </w:rPr>
              <w:t xml:space="preserve"> </w:t>
            </w:r>
          </w:p>
          <w:p w14:paraId="7A24104E" w14:textId="77777777" w:rsidR="00755E4C" w:rsidRPr="003F46ED" w:rsidRDefault="00755E4C" w:rsidP="006E7371">
            <w:pPr>
              <w:pStyle w:val="ListParagraph"/>
              <w:numPr>
                <w:ilvl w:val="0"/>
                <w:numId w:val="3"/>
              </w:numPr>
              <w:ind w:left="360"/>
              <w:rPr>
                <w:lang w:val="en-AU"/>
              </w:rPr>
            </w:pPr>
            <w:bookmarkStart w:id="259" w:name="_Toc402180459"/>
            <w:r w:rsidRPr="003F46ED">
              <w:rPr>
                <w:lang w:val="en-AU"/>
              </w:rPr>
              <w:t>to provide a current and comprehensive national snapshot of the policy climate for senior secondary languages education</w:t>
            </w:r>
            <w:bookmarkEnd w:id="259"/>
          </w:p>
          <w:p w14:paraId="54927DB1" w14:textId="77777777" w:rsidR="00755E4C" w:rsidRPr="003F46ED" w:rsidRDefault="00755E4C" w:rsidP="006E7371">
            <w:pPr>
              <w:pStyle w:val="ListParagraph"/>
              <w:numPr>
                <w:ilvl w:val="0"/>
                <w:numId w:val="3"/>
              </w:numPr>
              <w:ind w:left="360"/>
              <w:rPr>
                <w:lang w:val="en-AU"/>
              </w:rPr>
            </w:pPr>
            <w:bookmarkStart w:id="260" w:name="_Toc402180460"/>
            <w:r w:rsidRPr="003F46ED">
              <w:rPr>
                <w:lang w:val="en-AU"/>
              </w:rPr>
              <w:t>to provide a snapshot of how languages are handled as part of senior secondary structures within jurisdictions</w:t>
            </w:r>
            <w:bookmarkEnd w:id="260"/>
            <w:r w:rsidRPr="003F46ED">
              <w:rPr>
                <w:lang w:val="en-AU"/>
              </w:rPr>
              <w:t xml:space="preserve"> </w:t>
            </w:r>
          </w:p>
        </w:tc>
      </w:tr>
      <w:tr w:rsidR="00755E4C" w:rsidRPr="003F46ED" w14:paraId="356343C0" w14:textId="77777777" w:rsidTr="00B44405">
        <w:trPr>
          <w:cantSplit/>
        </w:trPr>
        <w:tc>
          <w:tcPr>
            <w:tcW w:w="1441" w:type="pct"/>
          </w:tcPr>
          <w:p w14:paraId="4C26107B" w14:textId="77777777" w:rsidR="00755E4C" w:rsidRPr="003F46ED" w:rsidRDefault="00755E4C" w:rsidP="00B30583">
            <w:pPr>
              <w:rPr>
                <w:lang w:val="en-AU"/>
              </w:rPr>
            </w:pPr>
            <w:bookmarkStart w:id="261" w:name="_Toc402180462"/>
            <w:r w:rsidRPr="003F46ED">
              <w:rPr>
                <w:lang w:val="en-AU"/>
              </w:rPr>
              <w:t>Top-level messages from three consultation rounds</w:t>
            </w:r>
            <w:bookmarkEnd w:id="261"/>
          </w:p>
        </w:tc>
        <w:tc>
          <w:tcPr>
            <w:tcW w:w="3559" w:type="pct"/>
          </w:tcPr>
          <w:p w14:paraId="6B531D8A" w14:textId="77777777" w:rsidR="00755E4C" w:rsidRPr="003F46ED" w:rsidRDefault="00755E4C" w:rsidP="00F666F6">
            <w:pPr>
              <w:pStyle w:val="ListParagraph"/>
              <w:numPr>
                <w:ilvl w:val="0"/>
                <w:numId w:val="18"/>
              </w:numPr>
              <w:ind w:left="360"/>
              <w:rPr>
                <w:rFonts w:ascii="Calibri" w:hAnsi="Calibri"/>
                <w:bCs/>
                <w:lang w:val="en-AU"/>
              </w:rPr>
            </w:pPr>
            <w:bookmarkStart w:id="262" w:name="_Toc402180463"/>
            <w:r w:rsidRPr="003F46ED">
              <w:rPr>
                <w:rFonts w:ascii="Calibri" w:eastAsiaTheme="minorEastAsia" w:hAnsi="Calibri"/>
                <w:bCs/>
                <w:lang w:val="en-AU"/>
              </w:rPr>
              <w:t xml:space="preserve">to </w:t>
            </w:r>
            <w:r w:rsidRPr="003F46ED">
              <w:rPr>
                <w:lang w:val="en-AU"/>
              </w:rPr>
              <w:t>identify key issues and messages, discuss research findings and test possible recommendations only</w:t>
            </w:r>
            <w:r w:rsidRPr="003F46ED">
              <w:rPr>
                <w:rFonts w:ascii="Calibri" w:eastAsiaTheme="minorEastAsia" w:hAnsi="Calibri"/>
                <w:bCs/>
                <w:lang w:val="en-AU"/>
              </w:rPr>
              <w:t xml:space="preserve"> – provides a frame of reference for all other data sets</w:t>
            </w:r>
            <w:bookmarkEnd w:id="262"/>
          </w:p>
          <w:p w14:paraId="6EA135AF" w14:textId="77777777" w:rsidR="00755E4C" w:rsidRPr="003F46ED" w:rsidRDefault="00755E4C" w:rsidP="00F666F6">
            <w:pPr>
              <w:pStyle w:val="ListParagraph"/>
              <w:numPr>
                <w:ilvl w:val="0"/>
                <w:numId w:val="18"/>
              </w:numPr>
              <w:ind w:left="360"/>
              <w:rPr>
                <w:lang w:val="en-AU"/>
              </w:rPr>
            </w:pPr>
            <w:bookmarkStart w:id="263" w:name="_Toc402180464"/>
            <w:r w:rsidRPr="003F46ED">
              <w:rPr>
                <w:lang w:val="en-AU"/>
              </w:rPr>
              <w:t>not intended for in-depth qualitative analysis, as mentioned previously</w:t>
            </w:r>
            <w:bookmarkEnd w:id="263"/>
          </w:p>
        </w:tc>
      </w:tr>
      <w:tr w:rsidR="00755E4C" w:rsidRPr="003F46ED" w14:paraId="2FB5B3C4" w14:textId="77777777" w:rsidTr="00B44405">
        <w:trPr>
          <w:cantSplit/>
        </w:trPr>
        <w:tc>
          <w:tcPr>
            <w:tcW w:w="1441" w:type="pct"/>
          </w:tcPr>
          <w:p w14:paraId="3C2AE595" w14:textId="77777777" w:rsidR="00755E4C" w:rsidRPr="003F46ED" w:rsidRDefault="00755E4C" w:rsidP="00B30583">
            <w:pPr>
              <w:rPr>
                <w:lang w:val="en-AU"/>
              </w:rPr>
            </w:pPr>
            <w:bookmarkStart w:id="264" w:name="_Toc402180466"/>
            <w:r w:rsidRPr="003F46ED">
              <w:rPr>
                <w:lang w:val="en-AU"/>
              </w:rPr>
              <w:t>Student, parent and principal surveys</w:t>
            </w:r>
            <w:bookmarkEnd w:id="264"/>
          </w:p>
        </w:tc>
        <w:tc>
          <w:tcPr>
            <w:tcW w:w="3559" w:type="pct"/>
          </w:tcPr>
          <w:p w14:paraId="54B64DE2" w14:textId="77777777" w:rsidR="00755E4C" w:rsidRPr="003F46ED" w:rsidRDefault="00755E4C" w:rsidP="00F666F6">
            <w:pPr>
              <w:pStyle w:val="ListParagraph"/>
              <w:numPr>
                <w:ilvl w:val="0"/>
                <w:numId w:val="18"/>
              </w:numPr>
              <w:ind w:left="360"/>
              <w:rPr>
                <w:lang w:val="en-AU"/>
              </w:rPr>
            </w:pPr>
            <w:bookmarkStart w:id="265" w:name="_Toc402180467"/>
            <w:r w:rsidRPr="003F46ED">
              <w:rPr>
                <w:lang w:val="en-AU"/>
              </w:rPr>
              <w:t>to identify key factors influencing the study, or non-study, of languages at senior secondary level (from three stakeholder perspectives)</w:t>
            </w:r>
            <w:bookmarkEnd w:id="265"/>
          </w:p>
          <w:p w14:paraId="70D6BF40" w14:textId="77777777" w:rsidR="00755E4C" w:rsidRPr="003F46ED" w:rsidRDefault="00755E4C" w:rsidP="00F666F6">
            <w:pPr>
              <w:pStyle w:val="ListParagraph"/>
              <w:numPr>
                <w:ilvl w:val="0"/>
                <w:numId w:val="18"/>
              </w:numPr>
              <w:ind w:left="360"/>
              <w:rPr>
                <w:lang w:val="en-AU"/>
              </w:rPr>
            </w:pPr>
            <w:bookmarkStart w:id="266" w:name="_Toc402180468"/>
            <w:r w:rsidRPr="003F46ED">
              <w:rPr>
                <w:lang w:val="en-AU"/>
              </w:rPr>
              <w:t>to test and provide support to key issues raised in consultations</w:t>
            </w:r>
            <w:bookmarkEnd w:id="266"/>
          </w:p>
          <w:p w14:paraId="7973E685" w14:textId="77777777" w:rsidR="00755E4C" w:rsidRPr="003F46ED" w:rsidRDefault="00755E4C" w:rsidP="00F666F6">
            <w:pPr>
              <w:pStyle w:val="ListParagraph"/>
              <w:numPr>
                <w:ilvl w:val="0"/>
                <w:numId w:val="18"/>
              </w:numPr>
              <w:ind w:left="360"/>
              <w:rPr>
                <w:lang w:val="en-AU"/>
              </w:rPr>
            </w:pPr>
            <w:bookmarkStart w:id="267" w:name="_Toc402180469"/>
            <w:r w:rsidRPr="003F46ED">
              <w:rPr>
                <w:lang w:val="en-AU"/>
              </w:rPr>
              <w:t>to lend support to the factors affecting language study in Australian schools identified in the literature review</w:t>
            </w:r>
            <w:bookmarkEnd w:id="267"/>
          </w:p>
          <w:p w14:paraId="6E5F6849" w14:textId="77777777" w:rsidR="00755E4C" w:rsidRPr="003F46ED" w:rsidRDefault="00755E4C" w:rsidP="00F666F6">
            <w:pPr>
              <w:pStyle w:val="ListParagraph"/>
              <w:numPr>
                <w:ilvl w:val="0"/>
                <w:numId w:val="18"/>
              </w:numPr>
              <w:ind w:left="360"/>
              <w:rPr>
                <w:lang w:val="en-AU"/>
              </w:rPr>
            </w:pPr>
            <w:bookmarkStart w:id="268" w:name="_Toc402180470"/>
            <w:r w:rsidRPr="003F46ED">
              <w:rPr>
                <w:lang w:val="en-AU"/>
              </w:rPr>
              <w:t>to assist in making sense of the policy climate for languages education (within jurisdictions and nationally) and trends in senior secondary languages education</w:t>
            </w:r>
            <w:bookmarkEnd w:id="268"/>
          </w:p>
        </w:tc>
      </w:tr>
    </w:tbl>
    <w:p w14:paraId="66720EBE" w14:textId="51D8D37A" w:rsidR="00B00CC2" w:rsidRPr="003F46ED" w:rsidRDefault="00B00CC2" w:rsidP="00B30583">
      <w:bookmarkStart w:id="269" w:name="_Toc402180472"/>
      <w:r w:rsidRPr="003F46ED">
        <w:t xml:space="preserve">The analytical lens used in this research is derived from the </w:t>
      </w:r>
      <w:r w:rsidR="00C378A9" w:rsidRPr="003F46ED">
        <w:t>conceptual framework</w:t>
      </w:r>
      <w:r w:rsidRPr="003F46ED">
        <w:t xml:space="preserve"> </w:t>
      </w:r>
      <w:r w:rsidR="000F3188" w:rsidRPr="003F46ED">
        <w:t xml:space="preserve">described previously </w:t>
      </w:r>
      <w:r w:rsidRPr="003F46ED">
        <w:t>(see</w:t>
      </w:r>
      <w:r w:rsidR="00C378A9" w:rsidRPr="003F46ED">
        <w:t xml:space="preserve"> ‘Methodology’ and </w:t>
      </w:r>
      <w:r w:rsidR="00861441" w:rsidRPr="003F46ED">
        <w:t>Figure 2</w:t>
      </w:r>
      <w:r w:rsidRPr="003F46ED">
        <w:t xml:space="preserve">.1). </w:t>
      </w:r>
      <w:r w:rsidR="00C6265E" w:rsidRPr="003F46ED">
        <w:rPr>
          <w:rFonts w:cs="Calibri"/>
        </w:rPr>
        <w:t xml:space="preserve">This lens is applicable to all learning areas at senior secondary level (with the exception of English, which is mandatory). </w:t>
      </w:r>
      <w:r w:rsidRPr="003F46ED">
        <w:t xml:space="preserve">Through this lens, actual enrolment in </w:t>
      </w:r>
      <w:r w:rsidR="006F2F70" w:rsidRPr="003F46ED">
        <w:t xml:space="preserve">senior secondary </w:t>
      </w:r>
      <w:r w:rsidRPr="003F46ED">
        <w:t xml:space="preserve">languages is influenced by three key groups of factors (see </w:t>
      </w:r>
      <w:r w:rsidR="00861441" w:rsidRPr="003F46ED">
        <w:t>Figure 2</w:t>
      </w:r>
      <w:r w:rsidRPr="003F46ED">
        <w:t>.2):</w:t>
      </w:r>
      <w:bookmarkEnd w:id="269"/>
    </w:p>
    <w:p w14:paraId="40AC7EF7" w14:textId="77777777" w:rsidR="00B00CC2" w:rsidRPr="003F46ED" w:rsidRDefault="00B00CC2" w:rsidP="00F666F6">
      <w:pPr>
        <w:pStyle w:val="ListParagraph"/>
        <w:numPr>
          <w:ilvl w:val="0"/>
          <w:numId w:val="36"/>
        </w:numPr>
      </w:pPr>
      <w:bookmarkStart w:id="270" w:name="_Toc402180473"/>
      <w:r w:rsidRPr="003F46ED">
        <w:t>the individual student, encompassing both intrinsic and extrinsic/instrumentalist factors</w:t>
      </w:r>
      <w:bookmarkEnd w:id="270"/>
    </w:p>
    <w:p w14:paraId="348FB1CF" w14:textId="77777777" w:rsidR="00B00CC2" w:rsidRPr="003F46ED" w:rsidRDefault="00B00CC2" w:rsidP="00F666F6">
      <w:pPr>
        <w:pStyle w:val="ListParagraph"/>
        <w:numPr>
          <w:ilvl w:val="0"/>
          <w:numId w:val="36"/>
        </w:numPr>
      </w:pPr>
      <w:bookmarkStart w:id="271" w:name="_Toc402180474"/>
      <w:r w:rsidRPr="003F46ED">
        <w:t>the education system (national and state/territory level)</w:t>
      </w:r>
      <w:bookmarkEnd w:id="271"/>
    </w:p>
    <w:p w14:paraId="296F0958" w14:textId="77777777" w:rsidR="007B1D45" w:rsidRPr="003F46ED" w:rsidRDefault="00B00CC2" w:rsidP="00F666F6">
      <w:pPr>
        <w:pStyle w:val="ListParagraph"/>
        <w:numPr>
          <w:ilvl w:val="0"/>
          <w:numId w:val="36"/>
        </w:numPr>
      </w:pPr>
      <w:bookmarkStart w:id="272" w:name="_Toc402180475"/>
      <w:proofErr w:type="gramStart"/>
      <w:r w:rsidRPr="003F46ED">
        <w:t>the</w:t>
      </w:r>
      <w:proofErr w:type="gramEnd"/>
      <w:r w:rsidRPr="003F46ED">
        <w:t xml:space="preserve"> school and community.</w:t>
      </w:r>
      <w:bookmarkEnd w:id="272"/>
    </w:p>
    <w:p w14:paraId="230C9A7D" w14:textId="77777777" w:rsidR="005F0317" w:rsidRDefault="005F0317">
      <w:pPr>
        <w:spacing w:after="0"/>
      </w:pPr>
      <w:bookmarkStart w:id="273" w:name="_Toc402180478"/>
      <w:r>
        <w:br w:type="page"/>
      </w:r>
    </w:p>
    <w:p w14:paraId="4C023086" w14:textId="2A373583" w:rsidR="00527947" w:rsidRPr="00F74E23" w:rsidRDefault="00861441" w:rsidP="00F74E23">
      <w:pPr>
        <w:pStyle w:val="Caption"/>
        <w:rPr>
          <w:b/>
        </w:rPr>
      </w:pPr>
      <w:r w:rsidRPr="00F74E23" w:rsidDel="002F1F7E">
        <w:rPr>
          <w:b/>
        </w:rPr>
        <w:lastRenderedPageBreak/>
        <w:t>Figure 2</w:t>
      </w:r>
      <w:r w:rsidR="00B00CC2" w:rsidRPr="00F74E23" w:rsidDel="002F1F7E">
        <w:rPr>
          <w:b/>
        </w:rPr>
        <w:t xml:space="preserve">.2: Three factors that </w:t>
      </w:r>
      <w:r w:rsidR="006D3278" w:rsidRPr="00F74E23">
        <w:rPr>
          <w:b/>
        </w:rPr>
        <w:t>interact</w:t>
      </w:r>
      <w:r w:rsidR="00B00CC2" w:rsidRPr="00F74E23" w:rsidDel="002F1F7E">
        <w:rPr>
          <w:b/>
        </w:rPr>
        <w:t xml:space="preserve"> to influence actual enrolment in senior secondary languages</w:t>
      </w:r>
      <w:bookmarkEnd w:id="273"/>
      <w:r w:rsidR="00527947" w:rsidRPr="00F74E23">
        <w:rPr>
          <w:b/>
        </w:rPr>
        <w:t>.</w:t>
      </w:r>
    </w:p>
    <w:p w14:paraId="0051244A" w14:textId="0B0C61F8" w:rsidR="007B1D45" w:rsidRPr="003F46ED" w:rsidRDefault="00527947" w:rsidP="00527947">
      <w:pPr>
        <w:jc w:val="center"/>
      </w:pPr>
      <w:r w:rsidRPr="003F46ED">
        <w:rPr>
          <w:noProof/>
          <w:lang w:eastAsia="en-AU"/>
        </w:rPr>
        <w:drawing>
          <wp:inline distT="0" distB="0" distL="0" distR="0" wp14:anchorId="29247B34" wp14:editId="77975348">
            <wp:extent cx="2498501" cy="2286208"/>
            <wp:effectExtent l="0" t="0" r="0" b="0"/>
            <wp:docPr id="3" name="Picture 3" descr="Venn diagram showing three intersecting circles: student; school and community;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n.png"/>
                    <pic:cNvPicPr/>
                  </pic:nvPicPr>
                  <pic:blipFill>
                    <a:blip r:embed="rId17">
                      <a:extLst>
                        <a:ext uri="{28A0092B-C50C-407E-A947-70E740481C1C}">
                          <a14:useLocalDpi xmlns:a14="http://schemas.microsoft.com/office/drawing/2010/main" val="0"/>
                        </a:ext>
                      </a:extLst>
                    </a:blip>
                    <a:stretch>
                      <a:fillRect/>
                    </a:stretch>
                  </pic:blipFill>
                  <pic:spPr>
                    <a:xfrm>
                      <a:off x="0" y="0"/>
                      <a:ext cx="2516085" cy="2302298"/>
                    </a:xfrm>
                    <a:prstGeom prst="rect">
                      <a:avLst/>
                    </a:prstGeom>
                  </pic:spPr>
                </pic:pic>
              </a:graphicData>
            </a:graphic>
          </wp:inline>
        </w:drawing>
      </w:r>
    </w:p>
    <w:p w14:paraId="7EA819B8" w14:textId="77777777" w:rsidR="007B1D45" w:rsidRPr="003F46ED" w:rsidRDefault="00A26781" w:rsidP="00B30583">
      <w:bookmarkStart w:id="274" w:name="_Toc402180479"/>
      <w:r w:rsidRPr="003F46ED">
        <w:t>Conditions for enrolment in senior secondary languages are optimal when all three spheres intersect (depicted by the darkest shade</w:t>
      </w:r>
      <w:r w:rsidR="00B072E9" w:rsidRPr="003F46ED">
        <w:t xml:space="preserve"> in the middle</w:t>
      </w:r>
      <w:r w:rsidRPr="003F46ED">
        <w:t xml:space="preserve">), i.e. </w:t>
      </w:r>
      <w:r w:rsidR="000A1759" w:rsidRPr="003F46ED">
        <w:t xml:space="preserve">the student wants to study a language, </w:t>
      </w:r>
      <w:r w:rsidR="00602D36" w:rsidRPr="003F46ED">
        <w:t>the school prov</w:t>
      </w:r>
      <w:r w:rsidR="00023E99" w:rsidRPr="003F46ED">
        <w:t xml:space="preserve">ides access to the student’s preferred course of language study, the school and community are supportive of the student’s language learning </w:t>
      </w:r>
      <w:r w:rsidR="00023E99" w:rsidRPr="003F46ED">
        <w:rPr>
          <w:i/>
        </w:rPr>
        <w:t>and</w:t>
      </w:r>
      <w:r w:rsidR="00023E99" w:rsidRPr="003F46ED">
        <w:t xml:space="preserve"> the education system </w:t>
      </w:r>
      <w:r w:rsidR="00E11B8C" w:rsidRPr="003F46ED">
        <w:t xml:space="preserve">is </w:t>
      </w:r>
      <w:r w:rsidR="004C0CC0" w:rsidRPr="003F46ED">
        <w:t>e</w:t>
      </w:r>
      <w:r w:rsidR="00E11B8C" w:rsidRPr="003F46ED">
        <w:t>nabling</w:t>
      </w:r>
      <w:r w:rsidR="00023E99" w:rsidRPr="003F46ED">
        <w:t>.</w:t>
      </w:r>
      <w:bookmarkEnd w:id="274"/>
      <w:r w:rsidR="00023E99" w:rsidRPr="003F46ED">
        <w:t xml:space="preserve"> </w:t>
      </w:r>
    </w:p>
    <w:p w14:paraId="5BE95716" w14:textId="43E9E2A1" w:rsidR="003C4506" w:rsidRPr="003F46ED" w:rsidRDefault="003C4506" w:rsidP="00B30583">
      <w:r w:rsidRPr="003F46ED">
        <w:br w:type="page"/>
      </w:r>
    </w:p>
    <w:p w14:paraId="33703620" w14:textId="77777777" w:rsidR="007B1D45" w:rsidRPr="003F46ED" w:rsidRDefault="0012059A" w:rsidP="00880FD8">
      <w:pPr>
        <w:pStyle w:val="Heading1"/>
      </w:pPr>
      <w:bookmarkStart w:id="275" w:name="_Toc273790539"/>
      <w:bookmarkStart w:id="276" w:name="_Toc402180480"/>
      <w:bookmarkStart w:id="277" w:name="_Toc276245091"/>
      <w:bookmarkStart w:id="278" w:name="_Toc445305261"/>
      <w:r w:rsidRPr="003F46ED">
        <w:lastRenderedPageBreak/>
        <w:t>3. N</w:t>
      </w:r>
      <w:r w:rsidR="003C4506" w:rsidRPr="003F46ED">
        <w:t>ational snapshot of senior secondary languages education</w:t>
      </w:r>
      <w:bookmarkEnd w:id="275"/>
      <w:bookmarkEnd w:id="276"/>
      <w:bookmarkEnd w:id="277"/>
      <w:bookmarkEnd w:id="278"/>
    </w:p>
    <w:p w14:paraId="258AF9AE" w14:textId="77777777" w:rsidR="00BB190A" w:rsidRPr="003F46ED" w:rsidRDefault="00BB190A" w:rsidP="00B30583">
      <w:bookmarkStart w:id="279" w:name="_Toc402180481"/>
      <w:bookmarkStart w:id="280" w:name="_Toc273790540"/>
      <w:r w:rsidRPr="003F46ED">
        <w:t>This section provides an overview of senior secondary languages education in Australia. It</w:t>
      </w:r>
      <w:r w:rsidR="00565909" w:rsidRPr="003F46ED">
        <w:t xml:space="preserve"> in</w:t>
      </w:r>
      <w:r w:rsidRPr="003F46ED">
        <w:t>cludes:</w:t>
      </w:r>
      <w:bookmarkEnd w:id="279"/>
      <w:r w:rsidRPr="003F46ED">
        <w:t xml:space="preserve"> </w:t>
      </w:r>
    </w:p>
    <w:p w14:paraId="5F9950AA" w14:textId="77777777" w:rsidR="00BB190A" w:rsidRPr="003F46ED" w:rsidRDefault="00BB190A" w:rsidP="00F666F6">
      <w:pPr>
        <w:pStyle w:val="ListParagraph"/>
        <w:numPr>
          <w:ilvl w:val="0"/>
          <w:numId w:val="37"/>
        </w:numPr>
      </w:pPr>
      <w:bookmarkStart w:id="281" w:name="_Toc402180482"/>
      <w:r w:rsidRPr="003F46ED">
        <w:t>discussion on what publicly available Year 12 statistics suggest regarding the state of senior secondary languages enrolments nationally</w:t>
      </w:r>
      <w:bookmarkEnd w:id="281"/>
    </w:p>
    <w:p w14:paraId="17B87C67" w14:textId="77777777" w:rsidR="00CF04D4" w:rsidRPr="003F46ED" w:rsidRDefault="00BB190A" w:rsidP="00F666F6">
      <w:pPr>
        <w:pStyle w:val="ListParagraph"/>
        <w:numPr>
          <w:ilvl w:val="0"/>
          <w:numId w:val="37"/>
        </w:numPr>
      </w:pPr>
      <w:bookmarkStart w:id="282" w:name="_Toc402180483"/>
      <w:r w:rsidRPr="003F46ED">
        <w:t>discussion on the typi</w:t>
      </w:r>
      <w:r w:rsidR="00CF04D4" w:rsidRPr="003F46ED">
        <w:t xml:space="preserve">cal </w:t>
      </w:r>
      <w:r w:rsidR="00ED4F17" w:rsidRPr="003F46ED">
        <w:t xml:space="preserve">Year </w:t>
      </w:r>
      <w:r w:rsidR="00683FD6" w:rsidRPr="003F46ED">
        <w:t xml:space="preserve">12 </w:t>
      </w:r>
      <w:r w:rsidR="00CF04D4" w:rsidRPr="003F46ED">
        <w:t>language learner in Australia</w:t>
      </w:r>
      <w:bookmarkEnd w:id="282"/>
    </w:p>
    <w:p w14:paraId="1B892B73" w14:textId="77777777" w:rsidR="00AC7D57" w:rsidRPr="003F46ED" w:rsidRDefault="00375AD0" w:rsidP="00F666F6">
      <w:pPr>
        <w:pStyle w:val="ListParagraph"/>
        <w:numPr>
          <w:ilvl w:val="0"/>
          <w:numId w:val="37"/>
        </w:numPr>
      </w:pPr>
      <w:bookmarkStart w:id="283" w:name="_Toc402180484"/>
      <w:r w:rsidRPr="003F46ED">
        <w:t>a review of languages education in Australia, comprising</w:t>
      </w:r>
      <w:r w:rsidR="00AC7D57" w:rsidRPr="003F46ED">
        <w:t>:</w:t>
      </w:r>
      <w:bookmarkEnd w:id="283"/>
    </w:p>
    <w:p w14:paraId="78549ECF" w14:textId="77777777" w:rsidR="00AC7D57" w:rsidRPr="003F46ED" w:rsidRDefault="00375AD0" w:rsidP="00F666F6">
      <w:pPr>
        <w:pStyle w:val="ListParagraph"/>
        <w:numPr>
          <w:ilvl w:val="0"/>
          <w:numId w:val="38"/>
        </w:numPr>
      </w:pPr>
      <w:bookmarkStart w:id="284" w:name="_Toc402180485"/>
      <w:r w:rsidRPr="003F46ED">
        <w:t>current policies and policy positions related to languages education in jurisdictions</w:t>
      </w:r>
      <w:bookmarkEnd w:id="284"/>
    </w:p>
    <w:p w14:paraId="615D68B4" w14:textId="77777777" w:rsidR="00AC7D57" w:rsidRPr="003F46ED" w:rsidRDefault="00123459" w:rsidP="00F666F6">
      <w:pPr>
        <w:pStyle w:val="ListParagraph"/>
        <w:numPr>
          <w:ilvl w:val="0"/>
          <w:numId w:val="38"/>
        </w:numPr>
      </w:pPr>
      <w:bookmarkStart w:id="285" w:name="_Toc402180486"/>
      <w:r w:rsidRPr="003F46ED">
        <w:t>relevant international comparisons</w:t>
      </w:r>
      <w:bookmarkEnd w:id="285"/>
    </w:p>
    <w:p w14:paraId="5786A4D2" w14:textId="77777777" w:rsidR="00AC7D57" w:rsidRPr="003F46ED" w:rsidRDefault="00AC7D57" w:rsidP="00F666F6">
      <w:pPr>
        <w:pStyle w:val="ListParagraph"/>
        <w:numPr>
          <w:ilvl w:val="0"/>
          <w:numId w:val="38"/>
        </w:numPr>
      </w:pPr>
      <w:bookmarkStart w:id="286" w:name="_Toc402180487"/>
      <w:r w:rsidRPr="003F46ED">
        <w:t>the place of languages in senior secondary certification in Australia</w:t>
      </w:r>
      <w:bookmarkEnd w:id="286"/>
    </w:p>
    <w:p w14:paraId="636DE78D" w14:textId="77777777" w:rsidR="00AC7D57" w:rsidRPr="003F46ED" w:rsidRDefault="00AC7D57" w:rsidP="00F666F6">
      <w:pPr>
        <w:pStyle w:val="ListParagraph"/>
        <w:numPr>
          <w:ilvl w:val="0"/>
          <w:numId w:val="38"/>
        </w:numPr>
      </w:pPr>
      <w:bookmarkStart w:id="287" w:name="_Toc402180488"/>
      <w:r w:rsidRPr="003F46ED">
        <w:t>the issue of eligibility criteria and retention</w:t>
      </w:r>
      <w:bookmarkEnd w:id="287"/>
    </w:p>
    <w:p w14:paraId="0A58EF35" w14:textId="77777777" w:rsidR="00BB190A" w:rsidRPr="003F46ED" w:rsidRDefault="00AC7D57" w:rsidP="00F666F6">
      <w:pPr>
        <w:pStyle w:val="ListParagraph"/>
        <w:numPr>
          <w:ilvl w:val="0"/>
          <w:numId w:val="38"/>
        </w:numPr>
      </w:pPr>
      <w:bookmarkStart w:id="288" w:name="_Toc402180489"/>
      <w:r w:rsidRPr="003F46ED">
        <w:t xml:space="preserve">scaling and moderation across Australia for the </w:t>
      </w:r>
      <w:proofErr w:type="spellStart"/>
      <w:r w:rsidRPr="003F46ED">
        <w:t>ATAR</w:t>
      </w:r>
      <w:proofErr w:type="spellEnd"/>
      <w:r w:rsidR="00CA1BE6" w:rsidRPr="003F46ED">
        <w:t xml:space="preserve"> with respect to languages</w:t>
      </w:r>
      <w:bookmarkEnd w:id="288"/>
    </w:p>
    <w:p w14:paraId="12B36CC7" w14:textId="77777777" w:rsidR="007B1D45" w:rsidRPr="003F46ED" w:rsidRDefault="00CA1BE6" w:rsidP="00F666F6">
      <w:pPr>
        <w:pStyle w:val="ListParagraph"/>
        <w:numPr>
          <w:ilvl w:val="0"/>
          <w:numId w:val="38"/>
        </w:numPr>
      </w:pPr>
      <w:bookmarkStart w:id="289" w:name="_Toc402180490"/>
      <w:proofErr w:type="gramStart"/>
      <w:r w:rsidRPr="003F46ED">
        <w:t>c</w:t>
      </w:r>
      <w:r w:rsidR="00DA075E" w:rsidRPr="003F46ED">
        <w:t>ertification</w:t>
      </w:r>
      <w:proofErr w:type="gramEnd"/>
      <w:r w:rsidR="00DA075E" w:rsidRPr="003F46ED">
        <w:t xml:space="preserve"> and retention in senior secondary languages education.</w:t>
      </w:r>
      <w:bookmarkEnd w:id="289"/>
    </w:p>
    <w:p w14:paraId="04F05D7B" w14:textId="77777777" w:rsidR="007B1D45" w:rsidRPr="003F46ED" w:rsidRDefault="00F17E96" w:rsidP="00E22FCF">
      <w:pPr>
        <w:pStyle w:val="Heading2"/>
      </w:pPr>
      <w:bookmarkStart w:id="290" w:name="_Toc402180491"/>
      <w:bookmarkStart w:id="291" w:name="_Toc276245092"/>
      <w:bookmarkStart w:id="292" w:name="_Toc445305262"/>
      <w:r w:rsidRPr="003F46ED">
        <w:t>O</w:t>
      </w:r>
      <w:r w:rsidR="000D1615" w:rsidRPr="003F46ED">
        <w:t>bservations</w:t>
      </w:r>
      <w:r w:rsidRPr="003F46ED">
        <w:t xml:space="preserve"> from Year 12 statistics</w:t>
      </w:r>
      <w:bookmarkEnd w:id="280"/>
      <w:bookmarkEnd w:id="290"/>
      <w:bookmarkEnd w:id="291"/>
      <w:bookmarkEnd w:id="292"/>
    </w:p>
    <w:p w14:paraId="4D491022" w14:textId="77777777" w:rsidR="007B1D45" w:rsidRPr="003F46ED" w:rsidRDefault="0007559B" w:rsidP="00B30583">
      <w:bookmarkStart w:id="293" w:name="_Toc402180492"/>
      <w:r w:rsidRPr="003F46ED">
        <w:t xml:space="preserve">Based on </w:t>
      </w:r>
      <w:r w:rsidR="00B30824" w:rsidRPr="003F46ED">
        <w:t>public</w:t>
      </w:r>
      <w:r w:rsidR="00931398" w:rsidRPr="003F46ED">
        <w:t>ly available data published by state and territory curriculum authorities</w:t>
      </w:r>
      <w:r w:rsidR="00CA7C3B" w:rsidRPr="003F46ED">
        <w:t>, the following observations can be made</w:t>
      </w:r>
      <w:r w:rsidR="004A07C5" w:rsidRPr="003F46ED">
        <w:t>.</w:t>
      </w:r>
      <w:r w:rsidR="00753F98" w:rsidRPr="003F46ED">
        <w:t xml:space="preserve"> </w:t>
      </w:r>
      <w:r w:rsidR="00F17E96" w:rsidRPr="003F46ED">
        <w:t>T</w:t>
      </w:r>
      <w:r w:rsidR="00753F98" w:rsidRPr="003F46ED">
        <w:t>able</w:t>
      </w:r>
      <w:r w:rsidR="00F17E96" w:rsidRPr="003F46ED">
        <w:t xml:space="preserve"> 3.1</w:t>
      </w:r>
      <w:r w:rsidR="00753F98" w:rsidRPr="003F46ED">
        <w:t xml:space="preserve"> provides a list of these sources.</w:t>
      </w:r>
      <w:bookmarkEnd w:id="293"/>
    </w:p>
    <w:p w14:paraId="6DF8CF3A" w14:textId="143EEE4F" w:rsidR="002F1F7E" w:rsidRPr="00F74E23" w:rsidRDefault="00B30824" w:rsidP="00BA49C9">
      <w:pPr>
        <w:pStyle w:val="Caption"/>
        <w:rPr>
          <w:b/>
        </w:rPr>
      </w:pPr>
      <w:bookmarkStart w:id="294" w:name="_Toc402180493"/>
      <w:r w:rsidRPr="00F74E23">
        <w:rPr>
          <w:b/>
        </w:rPr>
        <w:t>Table 3.1: Public</w:t>
      </w:r>
      <w:r w:rsidR="002F1F7E" w:rsidRPr="00F74E23">
        <w:rPr>
          <w:b/>
        </w:rPr>
        <w:t>ly available data sources for Year 12 enrolments/achievement/completions, by state/territory</w:t>
      </w:r>
      <w:bookmarkEnd w:id="294"/>
    </w:p>
    <w:tbl>
      <w:tblPr>
        <w:tblStyle w:val="TableGrid"/>
        <w:tblW w:w="10320" w:type="dxa"/>
        <w:tblLayout w:type="fixed"/>
        <w:tblLook w:val="04A0" w:firstRow="1" w:lastRow="0" w:firstColumn="1" w:lastColumn="0" w:noHBand="0" w:noVBand="1"/>
      </w:tblPr>
      <w:tblGrid>
        <w:gridCol w:w="1662"/>
        <w:gridCol w:w="3880"/>
        <w:gridCol w:w="4778"/>
      </w:tblGrid>
      <w:tr w:rsidR="00893BAE" w:rsidRPr="003F46ED" w14:paraId="7961F82C" w14:textId="77777777" w:rsidTr="00B44405">
        <w:trPr>
          <w:cantSplit/>
          <w:trHeight w:val="567"/>
          <w:tblHeader/>
        </w:trPr>
        <w:tc>
          <w:tcPr>
            <w:tcW w:w="1662" w:type="dxa"/>
            <w:shd w:val="clear" w:color="auto" w:fill="000000" w:themeFill="text1"/>
            <w:vAlign w:val="center"/>
          </w:tcPr>
          <w:p w14:paraId="7D32C805" w14:textId="77777777" w:rsidR="00490CD0" w:rsidRPr="003F46ED" w:rsidRDefault="00AA5917" w:rsidP="00B30583">
            <w:pPr>
              <w:rPr>
                <w:lang w:val="en-AU"/>
              </w:rPr>
            </w:pPr>
            <w:bookmarkStart w:id="295" w:name="_Toc402180494"/>
            <w:r w:rsidRPr="003F46ED">
              <w:rPr>
                <w:lang w:val="en-AU"/>
              </w:rPr>
              <w:t>State/territory</w:t>
            </w:r>
            <w:bookmarkEnd w:id="295"/>
          </w:p>
        </w:tc>
        <w:tc>
          <w:tcPr>
            <w:tcW w:w="3880" w:type="dxa"/>
            <w:shd w:val="clear" w:color="auto" w:fill="000000" w:themeFill="text1"/>
            <w:vAlign w:val="center"/>
          </w:tcPr>
          <w:p w14:paraId="20307402" w14:textId="77777777" w:rsidR="00490CD0" w:rsidRPr="003F46ED" w:rsidRDefault="00AA5917" w:rsidP="00B30583">
            <w:pPr>
              <w:rPr>
                <w:lang w:val="en-AU"/>
              </w:rPr>
            </w:pPr>
            <w:bookmarkStart w:id="296" w:name="_Toc402180495"/>
            <w:r w:rsidRPr="003F46ED">
              <w:rPr>
                <w:lang w:val="en-AU"/>
              </w:rPr>
              <w:t>Source</w:t>
            </w:r>
            <w:bookmarkEnd w:id="296"/>
          </w:p>
        </w:tc>
        <w:tc>
          <w:tcPr>
            <w:tcW w:w="4778" w:type="dxa"/>
            <w:shd w:val="clear" w:color="auto" w:fill="000000" w:themeFill="text1"/>
            <w:vAlign w:val="center"/>
          </w:tcPr>
          <w:p w14:paraId="7DDF44DE" w14:textId="77777777" w:rsidR="00490CD0" w:rsidRPr="003F46ED" w:rsidRDefault="00AA5917" w:rsidP="00B30583">
            <w:pPr>
              <w:rPr>
                <w:lang w:val="en-AU"/>
              </w:rPr>
            </w:pPr>
            <w:bookmarkStart w:id="297" w:name="_Toc402180496"/>
            <w:r w:rsidRPr="003F46ED">
              <w:rPr>
                <w:lang w:val="en-AU"/>
              </w:rPr>
              <w:t>Data</w:t>
            </w:r>
            <w:bookmarkEnd w:id="297"/>
          </w:p>
        </w:tc>
      </w:tr>
      <w:tr w:rsidR="00893BAE" w:rsidRPr="003F46ED" w14:paraId="32F1139C" w14:textId="77777777" w:rsidTr="00B44405">
        <w:trPr>
          <w:cantSplit/>
        </w:trPr>
        <w:tc>
          <w:tcPr>
            <w:tcW w:w="1662" w:type="dxa"/>
          </w:tcPr>
          <w:p w14:paraId="3E7AB62E" w14:textId="77777777" w:rsidR="00490CD0" w:rsidRPr="003F46ED" w:rsidRDefault="00CD5C8B" w:rsidP="00B30583">
            <w:pPr>
              <w:rPr>
                <w:lang w:val="en-AU"/>
              </w:rPr>
            </w:pPr>
            <w:bookmarkStart w:id="298" w:name="_Toc402180497"/>
            <w:r w:rsidRPr="003F46ED">
              <w:rPr>
                <w:lang w:val="en-AU"/>
              </w:rPr>
              <w:t>Australian Capital Territory</w:t>
            </w:r>
            <w:bookmarkEnd w:id="298"/>
          </w:p>
        </w:tc>
        <w:tc>
          <w:tcPr>
            <w:tcW w:w="3880" w:type="dxa"/>
          </w:tcPr>
          <w:p w14:paraId="04ABE8D8" w14:textId="77777777" w:rsidR="00D854E4" w:rsidRPr="003F46ED" w:rsidRDefault="00D854E4" w:rsidP="00B30583">
            <w:pPr>
              <w:rPr>
                <w:lang w:val="en-AU"/>
              </w:rPr>
            </w:pPr>
            <w:bookmarkStart w:id="299" w:name="_Toc402180498"/>
            <w:r w:rsidRPr="003F46ED">
              <w:rPr>
                <w:lang w:val="en-AU"/>
              </w:rPr>
              <w:t>ACT Board of Senior Secondary studies</w:t>
            </w:r>
            <w:bookmarkEnd w:id="299"/>
          </w:p>
          <w:p w14:paraId="521049AF" w14:textId="77777777" w:rsidR="00490CD0" w:rsidRPr="003F46ED" w:rsidRDefault="006E5D16" w:rsidP="00B30583">
            <w:pPr>
              <w:rPr>
                <w:rFonts w:ascii="Calibri" w:hAnsi="Calibri"/>
                <w:iCs/>
                <w:sz w:val="20"/>
                <w:szCs w:val="20"/>
                <w:lang w:val="en-AU"/>
              </w:rPr>
            </w:pPr>
            <w:hyperlink r:id="rId18" w:history="1">
              <w:bookmarkStart w:id="300" w:name="_Toc402180499"/>
              <w:r w:rsidR="00D854E4" w:rsidRPr="003F46ED">
                <w:rPr>
                  <w:rStyle w:val="Hyperlink"/>
                  <w:rFonts w:ascii="Calibri" w:hAnsi="Calibri"/>
                  <w:iCs/>
                  <w:sz w:val="20"/>
                  <w:szCs w:val="20"/>
                  <w:lang w:val="en-AU"/>
                </w:rPr>
                <w:t>http://www.bsss.act.edu.au/publications</w:t>
              </w:r>
              <w:bookmarkEnd w:id="300"/>
            </w:hyperlink>
          </w:p>
        </w:tc>
        <w:tc>
          <w:tcPr>
            <w:tcW w:w="4778" w:type="dxa"/>
          </w:tcPr>
          <w:p w14:paraId="55E7A6A6" w14:textId="77777777" w:rsidR="00490CD0" w:rsidRPr="003F46ED" w:rsidRDefault="00893BAE" w:rsidP="00B30583">
            <w:pPr>
              <w:rPr>
                <w:highlight w:val="yellow"/>
                <w:lang w:val="en-AU"/>
              </w:rPr>
            </w:pPr>
            <w:bookmarkStart w:id="301" w:name="_Toc402180500"/>
            <w:r w:rsidRPr="003F46ED">
              <w:rPr>
                <w:lang w:val="en-AU"/>
              </w:rPr>
              <w:t>Annual data reports (2005</w:t>
            </w:r>
            <w:r w:rsidR="00FF2642" w:rsidRPr="003F46ED">
              <w:rPr>
                <w:lang w:val="en-AU"/>
              </w:rPr>
              <w:t>–</w:t>
            </w:r>
            <w:r w:rsidRPr="003F46ED">
              <w:rPr>
                <w:lang w:val="en-AU"/>
              </w:rPr>
              <w:t>2013) contain Year 12 exit data on ACT cross-sectoral senior secondary students, including:</w:t>
            </w:r>
            <w:r w:rsidR="00140326" w:rsidRPr="003F46ED">
              <w:rPr>
                <w:lang w:val="en-AU"/>
              </w:rPr>
              <w:t xml:space="preserve"> 1) p</w:t>
            </w:r>
            <w:r w:rsidR="007703A1" w:rsidRPr="003F46ED">
              <w:rPr>
                <w:lang w:val="en-AU"/>
              </w:rPr>
              <w:t xml:space="preserve">ercentage </w:t>
            </w:r>
            <w:r w:rsidRPr="003F46ED">
              <w:rPr>
                <w:lang w:val="en-AU"/>
              </w:rPr>
              <w:t xml:space="preserve">of </w:t>
            </w:r>
            <w:r w:rsidR="00FF2642" w:rsidRPr="003F46ED">
              <w:rPr>
                <w:lang w:val="en-AU"/>
              </w:rPr>
              <w:t xml:space="preserve">Year </w:t>
            </w:r>
            <w:r w:rsidRPr="003F46ED">
              <w:rPr>
                <w:lang w:val="en-AU"/>
              </w:rPr>
              <w:t>12 receivers who completed courses in major subject areas</w:t>
            </w:r>
            <w:r w:rsidR="00140326" w:rsidRPr="003F46ED">
              <w:rPr>
                <w:lang w:val="en-AU"/>
              </w:rPr>
              <w:t xml:space="preserve">; 2) </w:t>
            </w:r>
            <w:r w:rsidR="007703A1" w:rsidRPr="003F46ED">
              <w:rPr>
                <w:lang w:val="en-AU"/>
              </w:rPr>
              <w:t xml:space="preserve">percentage </w:t>
            </w:r>
            <w:r w:rsidR="003E0355" w:rsidRPr="003F46ED">
              <w:rPr>
                <w:lang w:val="en-AU"/>
              </w:rPr>
              <w:t>of students receiving a Tertiary Entrance Statement who completed courses in subject areas (broken down by individual language programme)</w:t>
            </w:r>
            <w:r w:rsidR="007703A1" w:rsidRPr="003F46ED">
              <w:rPr>
                <w:lang w:val="en-AU"/>
              </w:rPr>
              <w:t>.</w:t>
            </w:r>
            <w:bookmarkEnd w:id="301"/>
          </w:p>
        </w:tc>
      </w:tr>
      <w:tr w:rsidR="00893BAE" w:rsidRPr="003F46ED" w14:paraId="3BC287D1" w14:textId="77777777" w:rsidTr="00B44405">
        <w:trPr>
          <w:cantSplit/>
        </w:trPr>
        <w:tc>
          <w:tcPr>
            <w:tcW w:w="1662" w:type="dxa"/>
          </w:tcPr>
          <w:p w14:paraId="658A1153" w14:textId="77777777" w:rsidR="00CD5C8B" w:rsidRPr="003F46ED" w:rsidRDefault="001F763B" w:rsidP="00B30583">
            <w:pPr>
              <w:rPr>
                <w:lang w:val="en-AU"/>
              </w:rPr>
            </w:pPr>
            <w:bookmarkStart w:id="302" w:name="_Toc402180501"/>
            <w:r w:rsidRPr="003F46ED">
              <w:rPr>
                <w:lang w:val="en-AU"/>
              </w:rPr>
              <w:t>New South Wales</w:t>
            </w:r>
            <w:bookmarkEnd w:id="302"/>
          </w:p>
        </w:tc>
        <w:tc>
          <w:tcPr>
            <w:tcW w:w="3880" w:type="dxa"/>
          </w:tcPr>
          <w:p w14:paraId="7CC78C31" w14:textId="77777777" w:rsidR="00893BAE" w:rsidRPr="003F46ED" w:rsidRDefault="00893BAE" w:rsidP="00B30583">
            <w:pPr>
              <w:rPr>
                <w:lang w:val="en-AU"/>
              </w:rPr>
            </w:pPr>
            <w:bookmarkStart w:id="303" w:name="_Toc402180502"/>
            <w:r w:rsidRPr="003F46ED">
              <w:rPr>
                <w:lang w:val="en-AU"/>
              </w:rPr>
              <w:t>NSW Board of Studies, Teaching and Educational Standards</w:t>
            </w:r>
            <w:bookmarkEnd w:id="303"/>
          </w:p>
          <w:p w14:paraId="0E5A3B59" w14:textId="77777777" w:rsidR="00CD5C8B" w:rsidRPr="003F46ED" w:rsidRDefault="006E5D16" w:rsidP="00B30583">
            <w:pPr>
              <w:rPr>
                <w:rFonts w:ascii="Calibri" w:hAnsi="Calibri"/>
                <w:iCs/>
                <w:sz w:val="20"/>
                <w:szCs w:val="20"/>
                <w:lang w:val="en-AU"/>
              </w:rPr>
            </w:pPr>
            <w:hyperlink r:id="rId19" w:history="1">
              <w:bookmarkStart w:id="304" w:name="_Toc402180503"/>
              <w:r w:rsidR="00893BAE" w:rsidRPr="003F46ED">
                <w:rPr>
                  <w:rStyle w:val="Hyperlink"/>
                  <w:rFonts w:ascii="Calibri" w:hAnsi="Calibri"/>
                  <w:iCs/>
                  <w:sz w:val="20"/>
                  <w:szCs w:val="20"/>
                  <w:lang w:val="en-AU"/>
                </w:rPr>
                <w:t>http://www.boardofstudies.nsw.edu.au/ebos/static/ebos_stats.html</w:t>
              </w:r>
              <w:bookmarkEnd w:id="304"/>
            </w:hyperlink>
            <w:r w:rsidR="00893BAE" w:rsidRPr="003F46ED">
              <w:rPr>
                <w:rFonts w:ascii="Calibri" w:hAnsi="Calibri"/>
                <w:iCs/>
                <w:sz w:val="20"/>
                <w:szCs w:val="20"/>
                <w:lang w:val="en-AU"/>
              </w:rPr>
              <w:t xml:space="preserve"> </w:t>
            </w:r>
          </w:p>
        </w:tc>
        <w:tc>
          <w:tcPr>
            <w:tcW w:w="4778" w:type="dxa"/>
          </w:tcPr>
          <w:p w14:paraId="36A38F70" w14:textId="77777777" w:rsidR="00CD5C8B" w:rsidRPr="003F46ED" w:rsidRDefault="00D90CFE" w:rsidP="00B30583">
            <w:pPr>
              <w:rPr>
                <w:highlight w:val="yellow"/>
                <w:lang w:val="en-AU"/>
              </w:rPr>
            </w:pPr>
            <w:bookmarkStart w:id="305" w:name="_Toc402180504"/>
            <w:r w:rsidRPr="003F46ED">
              <w:rPr>
                <w:lang w:val="en-AU"/>
              </w:rPr>
              <w:t>Statistics contain data on number of student entries in each course (includes break-down by individual languages), categorised according to learning areas</w:t>
            </w:r>
            <w:r w:rsidR="004D14AA" w:rsidRPr="003F46ED">
              <w:rPr>
                <w:lang w:val="en-AU"/>
              </w:rPr>
              <w:t xml:space="preserve">; student </w:t>
            </w:r>
            <w:r w:rsidR="00FF2642" w:rsidRPr="003F46ED">
              <w:rPr>
                <w:lang w:val="en-AU"/>
              </w:rPr>
              <w:t xml:space="preserve">entries </w:t>
            </w:r>
            <w:r w:rsidR="004D14AA" w:rsidRPr="003F46ED">
              <w:rPr>
                <w:lang w:val="en-AU"/>
              </w:rPr>
              <w:t xml:space="preserve">by </w:t>
            </w:r>
            <w:r w:rsidR="007703A1" w:rsidRPr="003F46ED">
              <w:rPr>
                <w:lang w:val="en-AU"/>
              </w:rPr>
              <w:t>gender</w:t>
            </w:r>
            <w:r w:rsidR="004D14AA" w:rsidRPr="003F46ED">
              <w:rPr>
                <w:lang w:val="en-AU"/>
              </w:rPr>
              <w:t>, 1991</w:t>
            </w:r>
            <w:r w:rsidR="00FF2642" w:rsidRPr="003F46ED">
              <w:rPr>
                <w:lang w:val="en-AU"/>
              </w:rPr>
              <w:t>–</w:t>
            </w:r>
            <w:r w:rsidR="004D14AA" w:rsidRPr="003F46ED">
              <w:rPr>
                <w:lang w:val="en-AU"/>
              </w:rPr>
              <w:t>2013</w:t>
            </w:r>
            <w:r w:rsidR="007703A1" w:rsidRPr="003F46ED">
              <w:rPr>
                <w:lang w:val="en-AU"/>
              </w:rPr>
              <w:t>.</w:t>
            </w:r>
            <w:bookmarkEnd w:id="305"/>
          </w:p>
        </w:tc>
      </w:tr>
      <w:tr w:rsidR="00893BAE" w:rsidRPr="003F46ED" w14:paraId="3DF7B31B" w14:textId="77777777" w:rsidTr="00B44405">
        <w:trPr>
          <w:cantSplit/>
        </w:trPr>
        <w:tc>
          <w:tcPr>
            <w:tcW w:w="1662" w:type="dxa"/>
          </w:tcPr>
          <w:p w14:paraId="30E12562" w14:textId="77777777" w:rsidR="00CD5C8B" w:rsidRPr="003F46ED" w:rsidRDefault="001F763B" w:rsidP="00B30583">
            <w:pPr>
              <w:rPr>
                <w:lang w:val="en-AU"/>
              </w:rPr>
            </w:pPr>
            <w:bookmarkStart w:id="306" w:name="_Toc402180505"/>
            <w:r w:rsidRPr="003F46ED">
              <w:rPr>
                <w:lang w:val="en-AU"/>
              </w:rPr>
              <w:t>Northern Territory</w:t>
            </w:r>
            <w:bookmarkEnd w:id="306"/>
          </w:p>
        </w:tc>
        <w:tc>
          <w:tcPr>
            <w:tcW w:w="3880" w:type="dxa"/>
          </w:tcPr>
          <w:p w14:paraId="4863ECE1" w14:textId="77777777" w:rsidR="00D054E6" w:rsidRPr="003F46ED" w:rsidRDefault="00D054E6" w:rsidP="00B30583">
            <w:pPr>
              <w:rPr>
                <w:lang w:val="en-AU"/>
              </w:rPr>
            </w:pPr>
            <w:bookmarkStart w:id="307" w:name="_Toc402180506"/>
            <w:r w:rsidRPr="003F46ED">
              <w:rPr>
                <w:lang w:val="en-AU"/>
              </w:rPr>
              <w:t xml:space="preserve">NT </w:t>
            </w:r>
            <w:r w:rsidR="00DD6214" w:rsidRPr="003F46ED">
              <w:rPr>
                <w:lang w:val="en-AU"/>
              </w:rPr>
              <w:t>Board of Studies</w:t>
            </w:r>
            <w:r w:rsidRPr="003F46ED">
              <w:rPr>
                <w:lang w:val="en-AU"/>
              </w:rPr>
              <w:t xml:space="preserve"> Data</w:t>
            </w:r>
            <w:bookmarkEnd w:id="307"/>
          </w:p>
          <w:p w14:paraId="3C834A22" w14:textId="77777777" w:rsidR="00CD5C8B" w:rsidRPr="003F46ED" w:rsidRDefault="006E5D16" w:rsidP="00B30583">
            <w:pPr>
              <w:rPr>
                <w:rFonts w:ascii="Calibri" w:hAnsi="Calibri"/>
                <w:iCs/>
                <w:sz w:val="20"/>
                <w:szCs w:val="20"/>
                <w:lang w:val="en-AU"/>
              </w:rPr>
            </w:pPr>
            <w:hyperlink r:id="rId20" w:history="1">
              <w:bookmarkStart w:id="308" w:name="_Toc402180507"/>
              <w:r w:rsidR="00A84100" w:rsidRPr="003F46ED">
                <w:rPr>
                  <w:rStyle w:val="Hyperlink"/>
                  <w:rFonts w:ascii="Calibri" w:hAnsi="Calibri"/>
                  <w:iCs/>
                  <w:sz w:val="20"/>
                  <w:szCs w:val="20"/>
                  <w:lang w:val="en-AU"/>
                </w:rPr>
                <w:t>http://www.education.nt.gov.au/teachers-educators/ntbos/ntcet-data/subject-enrolments</w:t>
              </w:r>
              <w:bookmarkEnd w:id="308"/>
            </w:hyperlink>
            <w:r w:rsidR="00A84100" w:rsidRPr="003F46ED">
              <w:rPr>
                <w:rFonts w:ascii="Calibri" w:hAnsi="Calibri"/>
                <w:iCs/>
                <w:sz w:val="20"/>
                <w:szCs w:val="20"/>
                <w:lang w:val="en-AU"/>
              </w:rPr>
              <w:t xml:space="preserve"> </w:t>
            </w:r>
          </w:p>
        </w:tc>
        <w:tc>
          <w:tcPr>
            <w:tcW w:w="4778" w:type="dxa"/>
          </w:tcPr>
          <w:p w14:paraId="13BFBE64" w14:textId="77777777" w:rsidR="00CD5C8B" w:rsidRPr="003F46ED" w:rsidRDefault="00D054E6" w:rsidP="00B30583">
            <w:pPr>
              <w:rPr>
                <w:highlight w:val="yellow"/>
                <w:lang w:val="en-AU"/>
              </w:rPr>
            </w:pPr>
            <w:bookmarkStart w:id="309" w:name="_Toc402180508"/>
            <w:r w:rsidRPr="003F46ED">
              <w:rPr>
                <w:lang w:val="en-AU"/>
              </w:rPr>
              <w:t>Enrolment data 2013</w:t>
            </w:r>
            <w:r w:rsidR="004D14AA" w:rsidRPr="003F46ED">
              <w:rPr>
                <w:lang w:val="en-AU"/>
              </w:rPr>
              <w:t xml:space="preserve"> (</w:t>
            </w:r>
            <w:r w:rsidRPr="003F46ED">
              <w:rPr>
                <w:lang w:val="en-AU"/>
              </w:rPr>
              <w:t>data for 2012 can be found in the 2012 archives</w:t>
            </w:r>
            <w:r w:rsidR="004D14AA" w:rsidRPr="003F46ED">
              <w:rPr>
                <w:lang w:val="en-AU"/>
              </w:rPr>
              <w:t>); 2013</w:t>
            </w:r>
            <w:r w:rsidR="00DD6214" w:rsidRPr="003F46ED">
              <w:rPr>
                <w:lang w:val="en-AU"/>
              </w:rPr>
              <w:t xml:space="preserve"> </w:t>
            </w:r>
            <w:r w:rsidR="004D14AA" w:rsidRPr="003F46ED">
              <w:rPr>
                <w:lang w:val="en-AU"/>
              </w:rPr>
              <w:t>statistics provide data</w:t>
            </w:r>
            <w:r w:rsidR="00DD6214" w:rsidRPr="003F46ED">
              <w:rPr>
                <w:lang w:val="en-AU"/>
              </w:rPr>
              <w:t xml:space="preserve"> on number of completed enrolmen</w:t>
            </w:r>
            <w:r w:rsidR="004D14AA" w:rsidRPr="003F46ED">
              <w:rPr>
                <w:lang w:val="en-AU"/>
              </w:rPr>
              <w:t xml:space="preserve">ts by learning area and </w:t>
            </w:r>
            <w:r w:rsidR="00DD6214" w:rsidRPr="003F46ED">
              <w:rPr>
                <w:lang w:val="en-AU"/>
              </w:rPr>
              <w:t xml:space="preserve">by subject </w:t>
            </w:r>
            <w:r w:rsidR="004D14AA" w:rsidRPr="003F46ED">
              <w:rPr>
                <w:lang w:val="en-AU"/>
              </w:rPr>
              <w:t>(note: l</w:t>
            </w:r>
            <w:r w:rsidR="00DD6214" w:rsidRPr="003F46ED">
              <w:rPr>
                <w:lang w:val="en-AU"/>
              </w:rPr>
              <w:t>anguages broken down by individual languages)</w:t>
            </w:r>
            <w:r w:rsidR="007703A1" w:rsidRPr="003F46ED">
              <w:rPr>
                <w:lang w:val="en-AU"/>
              </w:rPr>
              <w:t>.</w:t>
            </w:r>
            <w:bookmarkEnd w:id="309"/>
          </w:p>
        </w:tc>
      </w:tr>
      <w:tr w:rsidR="00893BAE" w:rsidRPr="003F46ED" w14:paraId="56D52415" w14:textId="77777777" w:rsidTr="00B44405">
        <w:trPr>
          <w:cantSplit/>
        </w:trPr>
        <w:tc>
          <w:tcPr>
            <w:tcW w:w="1662" w:type="dxa"/>
          </w:tcPr>
          <w:p w14:paraId="629EF629" w14:textId="77777777" w:rsidR="00CD5C8B" w:rsidRPr="003F46ED" w:rsidRDefault="00CD5C8B" w:rsidP="00B30583">
            <w:pPr>
              <w:rPr>
                <w:lang w:val="en-AU"/>
              </w:rPr>
            </w:pPr>
            <w:bookmarkStart w:id="310" w:name="_Toc402180509"/>
            <w:r w:rsidRPr="003F46ED">
              <w:rPr>
                <w:lang w:val="en-AU"/>
              </w:rPr>
              <w:lastRenderedPageBreak/>
              <w:t>Queensland</w:t>
            </w:r>
            <w:bookmarkEnd w:id="310"/>
          </w:p>
        </w:tc>
        <w:tc>
          <w:tcPr>
            <w:tcW w:w="3880" w:type="dxa"/>
          </w:tcPr>
          <w:p w14:paraId="07567D8E" w14:textId="77777777" w:rsidR="00A20465" w:rsidRPr="003F46ED" w:rsidRDefault="00A20465" w:rsidP="00B30583">
            <w:pPr>
              <w:rPr>
                <w:lang w:val="en-AU"/>
              </w:rPr>
            </w:pPr>
            <w:bookmarkStart w:id="311" w:name="_Toc402180510"/>
            <w:r w:rsidRPr="003F46ED">
              <w:rPr>
                <w:lang w:val="en-AU"/>
              </w:rPr>
              <w:t>Queensland Curriculum and Assessment Authority</w:t>
            </w:r>
            <w:bookmarkEnd w:id="311"/>
          </w:p>
          <w:p w14:paraId="1C1B7154" w14:textId="77777777" w:rsidR="00CD5C8B" w:rsidRPr="003F46ED" w:rsidRDefault="006E5D16" w:rsidP="00B30583">
            <w:pPr>
              <w:rPr>
                <w:rFonts w:ascii="Calibri" w:hAnsi="Calibri"/>
                <w:iCs/>
                <w:sz w:val="20"/>
                <w:szCs w:val="20"/>
                <w:lang w:val="en-AU"/>
              </w:rPr>
            </w:pPr>
            <w:hyperlink r:id="rId21" w:history="1">
              <w:bookmarkStart w:id="312" w:name="_Toc402180511"/>
              <w:r w:rsidR="00A20465" w:rsidRPr="003F46ED">
                <w:rPr>
                  <w:rStyle w:val="Hyperlink"/>
                  <w:rFonts w:ascii="Calibri" w:hAnsi="Calibri"/>
                  <w:iCs/>
                  <w:sz w:val="20"/>
                  <w:szCs w:val="20"/>
                  <w:lang w:val="en-AU"/>
                </w:rPr>
                <w:t>https://www.qcaa.qld.edu.au/617.html</w:t>
              </w:r>
              <w:bookmarkEnd w:id="312"/>
            </w:hyperlink>
          </w:p>
        </w:tc>
        <w:tc>
          <w:tcPr>
            <w:tcW w:w="4778" w:type="dxa"/>
          </w:tcPr>
          <w:p w14:paraId="63D75498" w14:textId="77777777" w:rsidR="00CD5C8B" w:rsidRPr="003F46ED" w:rsidRDefault="00F856A2" w:rsidP="00B30583">
            <w:pPr>
              <w:rPr>
                <w:highlight w:val="yellow"/>
                <w:lang w:val="en-AU"/>
              </w:rPr>
            </w:pPr>
            <w:bookmarkStart w:id="313" w:name="_Toc402180512"/>
            <w:r w:rsidRPr="003F46ED">
              <w:rPr>
                <w:lang w:val="en-AU"/>
              </w:rPr>
              <w:t>The data source covers 1992</w:t>
            </w:r>
            <w:r w:rsidR="00FF2642" w:rsidRPr="003F46ED">
              <w:rPr>
                <w:lang w:val="en-AU"/>
              </w:rPr>
              <w:t>–</w:t>
            </w:r>
            <w:r w:rsidRPr="003F46ED">
              <w:rPr>
                <w:lang w:val="en-AU"/>
              </w:rPr>
              <w:t>2013; contains data on subject enrolments and levels of achievement, broken down by syllabi/subject (incl. individual language subjects), for Year 11 and Year 12 students</w:t>
            </w:r>
            <w:r w:rsidR="007703A1" w:rsidRPr="003F46ED">
              <w:rPr>
                <w:lang w:val="en-AU"/>
              </w:rPr>
              <w:t>.</w:t>
            </w:r>
            <w:bookmarkEnd w:id="313"/>
          </w:p>
        </w:tc>
      </w:tr>
      <w:tr w:rsidR="00893BAE" w:rsidRPr="003F46ED" w14:paraId="497D14B4" w14:textId="77777777" w:rsidTr="00B44405">
        <w:trPr>
          <w:cantSplit/>
        </w:trPr>
        <w:tc>
          <w:tcPr>
            <w:tcW w:w="1662" w:type="dxa"/>
          </w:tcPr>
          <w:p w14:paraId="49D623CD" w14:textId="77777777" w:rsidR="00CD5C8B" w:rsidRPr="003F46ED" w:rsidRDefault="00CD5C8B" w:rsidP="00B30583">
            <w:pPr>
              <w:rPr>
                <w:lang w:val="en-AU"/>
              </w:rPr>
            </w:pPr>
            <w:bookmarkStart w:id="314" w:name="_Toc402180513"/>
            <w:r w:rsidRPr="003F46ED">
              <w:rPr>
                <w:lang w:val="en-AU"/>
              </w:rPr>
              <w:t>South Australia</w:t>
            </w:r>
            <w:bookmarkEnd w:id="314"/>
          </w:p>
        </w:tc>
        <w:tc>
          <w:tcPr>
            <w:tcW w:w="3880" w:type="dxa"/>
          </w:tcPr>
          <w:p w14:paraId="37285813" w14:textId="77777777" w:rsidR="00CD5C8B" w:rsidRPr="003F46ED" w:rsidRDefault="00470F25" w:rsidP="00B30583">
            <w:pPr>
              <w:rPr>
                <w:lang w:val="en-AU"/>
              </w:rPr>
            </w:pPr>
            <w:bookmarkStart w:id="315" w:name="_Toc402180514"/>
            <w:proofErr w:type="spellStart"/>
            <w:r w:rsidRPr="003F46ED">
              <w:rPr>
                <w:lang w:val="en-AU"/>
              </w:rPr>
              <w:t>SACE</w:t>
            </w:r>
            <w:proofErr w:type="spellEnd"/>
            <w:r w:rsidRPr="003F46ED">
              <w:rPr>
                <w:lang w:val="en-AU"/>
              </w:rPr>
              <w:t xml:space="preserve"> Board</w:t>
            </w:r>
            <w:bookmarkEnd w:id="315"/>
          </w:p>
          <w:p w14:paraId="21C79A42" w14:textId="77777777" w:rsidR="00470F25" w:rsidRPr="003F46ED" w:rsidRDefault="006E5D16" w:rsidP="00B30583">
            <w:pPr>
              <w:rPr>
                <w:rFonts w:ascii="Calibri" w:hAnsi="Calibri"/>
                <w:iCs/>
                <w:sz w:val="20"/>
                <w:szCs w:val="20"/>
                <w:lang w:val="en-AU"/>
              </w:rPr>
            </w:pPr>
            <w:hyperlink r:id="rId22" w:history="1">
              <w:bookmarkStart w:id="316" w:name="_Toc402180515"/>
              <w:r w:rsidR="00470F25" w:rsidRPr="003F46ED">
                <w:rPr>
                  <w:rStyle w:val="Hyperlink"/>
                  <w:rFonts w:ascii="Calibri" w:hAnsi="Calibri"/>
                  <w:iCs/>
                  <w:sz w:val="20"/>
                  <w:szCs w:val="20"/>
                  <w:lang w:val="en-AU"/>
                </w:rPr>
                <w:t>https://www.sace.sa.edu.au/about/key-information/annual-report</w:t>
              </w:r>
              <w:bookmarkEnd w:id="316"/>
            </w:hyperlink>
          </w:p>
        </w:tc>
        <w:tc>
          <w:tcPr>
            <w:tcW w:w="4778" w:type="dxa"/>
          </w:tcPr>
          <w:p w14:paraId="0175A927" w14:textId="77777777" w:rsidR="00CD5C8B" w:rsidRPr="003F46ED" w:rsidRDefault="00DB4662" w:rsidP="00B30583">
            <w:pPr>
              <w:rPr>
                <w:lang w:val="en-AU"/>
              </w:rPr>
            </w:pPr>
            <w:bookmarkStart w:id="317" w:name="_Toc402180516"/>
            <w:proofErr w:type="spellStart"/>
            <w:r w:rsidRPr="003F46ED">
              <w:rPr>
                <w:lang w:val="en-AU"/>
              </w:rPr>
              <w:t>SACE</w:t>
            </w:r>
            <w:proofErr w:type="spellEnd"/>
            <w:r w:rsidRPr="003F46ED">
              <w:rPr>
                <w:lang w:val="en-AU"/>
              </w:rPr>
              <w:t xml:space="preserve"> Annual reports (1999</w:t>
            </w:r>
            <w:r w:rsidR="00FF2642" w:rsidRPr="003F46ED">
              <w:rPr>
                <w:lang w:val="en-AU"/>
              </w:rPr>
              <w:t>–</w:t>
            </w:r>
            <w:r w:rsidRPr="003F46ED">
              <w:rPr>
                <w:lang w:val="en-AU"/>
              </w:rPr>
              <w:t xml:space="preserve">2013) include statistical information on completed subject enrolments for Stage 1 and Stage 2 </w:t>
            </w:r>
            <w:proofErr w:type="spellStart"/>
            <w:r w:rsidRPr="003F46ED">
              <w:rPr>
                <w:lang w:val="en-AU"/>
              </w:rPr>
              <w:t>SACE</w:t>
            </w:r>
            <w:proofErr w:type="spellEnd"/>
            <w:r w:rsidRPr="003F46ED">
              <w:rPr>
                <w:lang w:val="en-AU"/>
              </w:rPr>
              <w:t xml:space="preserve"> subjects in South Australia, broken down by learning area and subject.</w:t>
            </w:r>
            <w:bookmarkEnd w:id="317"/>
          </w:p>
          <w:p w14:paraId="19E6E21C" w14:textId="77777777" w:rsidR="00140326" w:rsidRPr="003F46ED" w:rsidRDefault="00140326" w:rsidP="00B30583">
            <w:pPr>
              <w:rPr>
                <w:highlight w:val="yellow"/>
                <w:lang w:val="en-AU"/>
              </w:rPr>
            </w:pPr>
          </w:p>
        </w:tc>
      </w:tr>
      <w:tr w:rsidR="00893BAE" w:rsidRPr="003F46ED" w14:paraId="43C0D2AD" w14:textId="77777777" w:rsidTr="00B44405">
        <w:trPr>
          <w:cantSplit/>
        </w:trPr>
        <w:tc>
          <w:tcPr>
            <w:tcW w:w="1662" w:type="dxa"/>
          </w:tcPr>
          <w:p w14:paraId="5E901C23" w14:textId="77777777" w:rsidR="00CD5C8B" w:rsidRPr="003F46ED" w:rsidRDefault="00CD5C8B" w:rsidP="00B30583">
            <w:pPr>
              <w:rPr>
                <w:lang w:val="en-AU"/>
              </w:rPr>
            </w:pPr>
            <w:bookmarkStart w:id="318" w:name="_Toc402180517"/>
            <w:r w:rsidRPr="003F46ED">
              <w:rPr>
                <w:lang w:val="en-AU"/>
              </w:rPr>
              <w:t>Tasmania</w:t>
            </w:r>
            <w:bookmarkEnd w:id="318"/>
          </w:p>
        </w:tc>
        <w:tc>
          <w:tcPr>
            <w:tcW w:w="3880" w:type="dxa"/>
          </w:tcPr>
          <w:p w14:paraId="59944BAC" w14:textId="3491E375" w:rsidR="007D312D" w:rsidRPr="003F46ED" w:rsidRDefault="007D312D" w:rsidP="00B30583">
            <w:pPr>
              <w:rPr>
                <w:lang w:val="en-AU"/>
              </w:rPr>
            </w:pPr>
            <w:bookmarkStart w:id="319" w:name="_Toc402180518"/>
            <w:r w:rsidRPr="003F46ED">
              <w:rPr>
                <w:lang w:val="en-AU"/>
              </w:rPr>
              <w:t xml:space="preserve">Tasmanian </w:t>
            </w:r>
            <w:r w:rsidR="00694930" w:rsidRPr="003F46ED">
              <w:rPr>
                <w:lang w:val="en-AU"/>
              </w:rPr>
              <w:t xml:space="preserve">Assessment Standards and Certification </w:t>
            </w:r>
            <w:r w:rsidRPr="003F46ED">
              <w:rPr>
                <w:lang w:val="en-AU"/>
              </w:rPr>
              <w:t>Authority</w:t>
            </w:r>
            <w:bookmarkEnd w:id="319"/>
          </w:p>
          <w:p w14:paraId="79EE81FA" w14:textId="1906A703" w:rsidR="00694930" w:rsidRPr="003F46ED" w:rsidRDefault="00694930" w:rsidP="00B30583">
            <w:pPr>
              <w:rPr>
                <w:lang w:val="en-AU"/>
              </w:rPr>
            </w:pPr>
            <w:r w:rsidRPr="003F46ED">
              <w:rPr>
                <w:lang w:val="en-AU"/>
              </w:rPr>
              <w:t>http://www.tqa.tas.gov.au/</w:t>
            </w:r>
          </w:p>
        </w:tc>
        <w:tc>
          <w:tcPr>
            <w:tcW w:w="4778" w:type="dxa"/>
          </w:tcPr>
          <w:p w14:paraId="4DFD45A3" w14:textId="77777777" w:rsidR="003E0355" w:rsidRPr="003F46ED" w:rsidRDefault="003E0355" w:rsidP="00B30583">
            <w:pPr>
              <w:rPr>
                <w:lang w:val="en-AU"/>
              </w:rPr>
            </w:pPr>
            <w:bookmarkStart w:id="320" w:name="_Toc402180521"/>
            <w:r w:rsidRPr="003F46ED">
              <w:rPr>
                <w:lang w:val="en-AU"/>
              </w:rPr>
              <w:t xml:space="preserve">The sources provide information on </w:t>
            </w:r>
            <w:proofErr w:type="spellStart"/>
            <w:r w:rsidRPr="003F46ED">
              <w:rPr>
                <w:lang w:val="en-AU"/>
              </w:rPr>
              <w:t>TQA</w:t>
            </w:r>
            <w:proofErr w:type="spellEnd"/>
            <w:r w:rsidRPr="003F46ED">
              <w:rPr>
                <w:lang w:val="en-AU"/>
              </w:rPr>
              <w:t xml:space="preserve"> Accredited Senior Secondary Courses:</w:t>
            </w:r>
            <w:bookmarkEnd w:id="320"/>
            <w:r w:rsidRPr="003F46ED">
              <w:rPr>
                <w:lang w:val="en-AU"/>
              </w:rPr>
              <w:t xml:space="preserve"> </w:t>
            </w:r>
          </w:p>
          <w:p w14:paraId="086554C3" w14:textId="77777777" w:rsidR="003E0355" w:rsidRPr="003F46ED" w:rsidRDefault="003E0355" w:rsidP="006E7371">
            <w:pPr>
              <w:pStyle w:val="ListParagraph"/>
              <w:numPr>
                <w:ilvl w:val="0"/>
                <w:numId w:val="3"/>
              </w:numPr>
              <w:ind w:left="360"/>
              <w:rPr>
                <w:lang w:val="en-AU"/>
              </w:rPr>
            </w:pPr>
            <w:bookmarkStart w:id="321" w:name="_Toc402180522"/>
            <w:proofErr w:type="spellStart"/>
            <w:r w:rsidRPr="003F46ED">
              <w:rPr>
                <w:lang w:val="en-AU"/>
              </w:rPr>
              <w:t>TQA</w:t>
            </w:r>
            <w:proofErr w:type="spellEnd"/>
            <w:r w:rsidRPr="003F46ED">
              <w:rPr>
                <w:lang w:val="en-AU"/>
              </w:rPr>
              <w:t xml:space="preserve"> course categories, which includes Languages as a sub-set within the sector ‘Society &amp; Culture’ (broken down by main languages)</w:t>
            </w:r>
            <w:bookmarkEnd w:id="321"/>
          </w:p>
          <w:p w14:paraId="32716873" w14:textId="77777777" w:rsidR="00CD5C8B" w:rsidRPr="003F46ED" w:rsidRDefault="007703A1" w:rsidP="006E7371">
            <w:pPr>
              <w:pStyle w:val="ListParagraph"/>
              <w:numPr>
                <w:ilvl w:val="0"/>
                <w:numId w:val="3"/>
              </w:numPr>
              <w:ind w:left="360"/>
              <w:rPr>
                <w:lang w:val="en-AU"/>
              </w:rPr>
            </w:pPr>
            <w:bookmarkStart w:id="322" w:name="_Toc402180523"/>
            <w:proofErr w:type="gramStart"/>
            <w:r w:rsidRPr="003F46ED">
              <w:rPr>
                <w:lang w:val="en-AU"/>
              </w:rPr>
              <w:t>statistics</w:t>
            </w:r>
            <w:proofErr w:type="gramEnd"/>
            <w:r w:rsidRPr="003F46ED">
              <w:rPr>
                <w:lang w:val="en-AU"/>
              </w:rPr>
              <w:t xml:space="preserve"> </w:t>
            </w:r>
            <w:r w:rsidR="003E0355" w:rsidRPr="003F46ED">
              <w:rPr>
                <w:lang w:val="en-AU"/>
              </w:rPr>
              <w:t>on number of students with results (2003</w:t>
            </w:r>
            <w:r w:rsidRPr="003F46ED">
              <w:rPr>
                <w:lang w:val="en-AU"/>
              </w:rPr>
              <w:t>–</w:t>
            </w:r>
            <w:r w:rsidR="003E0355" w:rsidRPr="003F46ED">
              <w:rPr>
                <w:lang w:val="en-AU"/>
              </w:rPr>
              <w:t xml:space="preserve">2013), by </w:t>
            </w:r>
            <w:r w:rsidRPr="003F46ED">
              <w:rPr>
                <w:lang w:val="en-AU"/>
              </w:rPr>
              <w:t>grades</w:t>
            </w:r>
            <w:r w:rsidR="003E0355" w:rsidRPr="003F46ED">
              <w:rPr>
                <w:lang w:val="en-AU"/>
              </w:rPr>
              <w:t xml:space="preserve">, gender and </w:t>
            </w:r>
            <w:r w:rsidRPr="003F46ED">
              <w:rPr>
                <w:lang w:val="en-AU"/>
              </w:rPr>
              <w:t>awards.</w:t>
            </w:r>
            <w:bookmarkEnd w:id="322"/>
          </w:p>
        </w:tc>
      </w:tr>
      <w:tr w:rsidR="00893BAE" w:rsidRPr="003F46ED" w14:paraId="2EC0BFAE" w14:textId="77777777" w:rsidTr="00B44405">
        <w:trPr>
          <w:cantSplit/>
        </w:trPr>
        <w:tc>
          <w:tcPr>
            <w:tcW w:w="1662" w:type="dxa"/>
          </w:tcPr>
          <w:p w14:paraId="575F1AF3" w14:textId="77777777" w:rsidR="00CD5C8B" w:rsidRPr="003F46ED" w:rsidRDefault="00CD5C8B" w:rsidP="00B30583">
            <w:pPr>
              <w:rPr>
                <w:lang w:val="en-AU"/>
              </w:rPr>
            </w:pPr>
            <w:bookmarkStart w:id="323" w:name="_Toc402180524"/>
            <w:r w:rsidRPr="003F46ED">
              <w:rPr>
                <w:lang w:val="en-AU"/>
              </w:rPr>
              <w:t>Victoria</w:t>
            </w:r>
            <w:bookmarkEnd w:id="323"/>
          </w:p>
        </w:tc>
        <w:tc>
          <w:tcPr>
            <w:tcW w:w="3880" w:type="dxa"/>
          </w:tcPr>
          <w:p w14:paraId="7699CFE4" w14:textId="77777777" w:rsidR="00CD5C8B" w:rsidRPr="003F46ED" w:rsidRDefault="00AA1DBF" w:rsidP="00B30583">
            <w:pPr>
              <w:rPr>
                <w:lang w:val="en-AU"/>
              </w:rPr>
            </w:pPr>
            <w:bookmarkStart w:id="324" w:name="_Toc402180525"/>
            <w:r w:rsidRPr="003F46ED">
              <w:rPr>
                <w:lang w:val="en-AU"/>
              </w:rPr>
              <w:t>Victorian Curriculum and Assessment Authority</w:t>
            </w:r>
            <w:bookmarkEnd w:id="324"/>
          </w:p>
          <w:p w14:paraId="05C94216" w14:textId="77777777" w:rsidR="00AA1DBF" w:rsidRPr="003F46ED" w:rsidRDefault="006E5D16" w:rsidP="00B30583">
            <w:pPr>
              <w:rPr>
                <w:rFonts w:ascii="Calibri" w:hAnsi="Calibri"/>
                <w:iCs/>
                <w:sz w:val="20"/>
                <w:szCs w:val="20"/>
                <w:lang w:val="en-AU"/>
              </w:rPr>
            </w:pPr>
            <w:hyperlink r:id="rId23" w:history="1">
              <w:bookmarkStart w:id="325" w:name="_Toc402180526"/>
              <w:r w:rsidR="00AA1DBF" w:rsidRPr="003F46ED">
                <w:rPr>
                  <w:rStyle w:val="Hyperlink"/>
                  <w:rFonts w:ascii="Calibri" w:hAnsi="Calibri"/>
                  <w:iCs/>
                  <w:sz w:val="20"/>
                  <w:szCs w:val="20"/>
                  <w:lang w:val="en-AU"/>
                </w:rPr>
                <w:t>http://www.vcaa.vic.edu.au/Pages/vce/statistics/subjectstats.aspx</w:t>
              </w:r>
              <w:bookmarkEnd w:id="325"/>
            </w:hyperlink>
          </w:p>
        </w:tc>
        <w:tc>
          <w:tcPr>
            <w:tcW w:w="4778" w:type="dxa"/>
          </w:tcPr>
          <w:p w14:paraId="14F8FAF8" w14:textId="77777777" w:rsidR="00551EF2" w:rsidRPr="003F46ED" w:rsidRDefault="00AA1DBF" w:rsidP="00B30583">
            <w:pPr>
              <w:rPr>
                <w:lang w:val="en-AU"/>
              </w:rPr>
            </w:pPr>
            <w:bookmarkStart w:id="326" w:name="_Toc402180527"/>
            <w:r w:rsidRPr="003F46ED">
              <w:rPr>
                <w:lang w:val="en-AU"/>
              </w:rPr>
              <w:t>Statistical information about senior secondary certificate assessment for 2001</w:t>
            </w:r>
            <w:r w:rsidR="007703A1" w:rsidRPr="003F46ED">
              <w:rPr>
                <w:lang w:val="en-AU"/>
              </w:rPr>
              <w:t>–</w:t>
            </w:r>
            <w:r w:rsidRPr="003F46ED">
              <w:rPr>
                <w:lang w:val="en-AU"/>
              </w:rPr>
              <w:t>2012, including Victorian Certificate of Education (</w:t>
            </w:r>
            <w:proofErr w:type="spellStart"/>
            <w:r w:rsidRPr="003F46ED">
              <w:rPr>
                <w:lang w:val="en-AU"/>
              </w:rPr>
              <w:t>VCE</w:t>
            </w:r>
            <w:proofErr w:type="spellEnd"/>
            <w:r w:rsidRPr="003F46ED">
              <w:rPr>
                <w:lang w:val="en-AU"/>
              </w:rPr>
              <w:t>), Victorian Certificate of Applied Learning (</w:t>
            </w:r>
            <w:proofErr w:type="spellStart"/>
            <w:r w:rsidRPr="003F46ED">
              <w:rPr>
                <w:lang w:val="en-AU"/>
              </w:rPr>
              <w:t>VCAL</w:t>
            </w:r>
            <w:proofErr w:type="spellEnd"/>
            <w:r w:rsidRPr="003F46ED">
              <w:rPr>
                <w:lang w:val="en-AU"/>
              </w:rPr>
              <w:t>) and Vocational Education and Training in Schools (</w:t>
            </w:r>
            <w:proofErr w:type="spellStart"/>
            <w:r w:rsidRPr="003F46ED">
              <w:rPr>
                <w:lang w:val="en-AU"/>
              </w:rPr>
              <w:t>VETiS</w:t>
            </w:r>
            <w:proofErr w:type="spellEnd"/>
            <w:r w:rsidRPr="003F46ED">
              <w:rPr>
                <w:lang w:val="en-AU"/>
              </w:rPr>
              <w:t>), undertak</w:t>
            </w:r>
            <w:r w:rsidR="00C9119A" w:rsidRPr="003F46ED">
              <w:rPr>
                <w:lang w:val="en-AU"/>
              </w:rPr>
              <w:t>en as part of both certificates; s</w:t>
            </w:r>
            <w:r w:rsidRPr="003F46ED">
              <w:rPr>
                <w:lang w:val="en-AU"/>
              </w:rPr>
              <w:t xml:space="preserve">ection 2 (on each annual overview webpage) provides information on enrolments and satisfactory completion, broken down by individual </w:t>
            </w:r>
            <w:proofErr w:type="spellStart"/>
            <w:r w:rsidRPr="003F46ED">
              <w:rPr>
                <w:lang w:val="en-AU"/>
              </w:rPr>
              <w:t>VCE</w:t>
            </w:r>
            <w:proofErr w:type="spellEnd"/>
            <w:r w:rsidRPr="003F46ED">
              <w:rPr>
                <w:lang w:val="en-AU"/>
              </w:rPr>
              <w:t xml:space="preserve"> units.</w:t>
            </w:r>
            <w:bookmarkEnd w:id="326"/>
          </w:p>
        </w:tc>
      </w:tr>
      <w:tr w:rsidR="00893BAE" w:rsidRPr="003F46ED" w14:paraId="5B16DCD9" w14:textId="77777777" w:rsidTr="00B44405">
        <w:trPr>
          <w:cantSplit/>
        </w:trPr>
        <w:tc>
          <w:tcPr>
            <w:tcW w:w="1662" w:type="dxa"/>
          </w:tcPr>
          <w:p w14:paraId="338649E8" w14:textId="77777777" w:rsidR="00CD5C8B" w:rsidRPr="003F46ED" w:rsidRDefault="00CD5C8B" w:rsidP="00B30583">
            <w:pPr>
              <w:rPr>
                <w:lang w:val="en-AU"/>
              </w:rPr>
            </w:pPr>
            <w:bookmarkStart w:id="327" w:name="_Toc402180528"/>
            <w:r w:rsidRPr="003F46ED">
              <w:rPr>
                <w:lang w:val="en-AU"/>
              </w:rPr>
              <w:t>Western Australia</w:t>
            </w:r>
            <w:bookmarkEnd w:id="327"/>
          </w:p>
        </w:tc>
        <w:tc>
          <w:tcPr>
            <w:tcW w:w="3880" w:type="dxa"/>
          </w:tcPr>
          <w:p w14:paraId="41CE1F00" w14:textId="77777777" w:rsidR="00CD5C8B" w:rsidRPr="003F46ED" w:rsidRDefault="003D6316" w:rsidP="00B30583">
            <w:pPr>
              <w:rPr>
                <w:lang w:val="en-AU"/>
              </w:rPr>
            </w:pPr>
            <w:bookmarkStart w:id="328" w:name="_Toc402180529"/>
            <w:r w:rsidRPr="003F46ED">
              <w:rPr>
                <w:lang w:val="en-AU"/>
              </w:rPr>
              <w:t>WA School Curriculum and Standards Authority</w:t>
            </w:r>
            <w:bookmarkEnd w:id="328"/>
          </w:p>
          <w:p w14:paraId="2C7003EB" w14:textId="77777777" w:rsidR="007B1D45" w:rsidRPr="003F46ED" w:rsidRDefault="006E5D16" w:rsidP="00B30583">
            <w:pPr>
              <w:rPr>
                <w:rFonts w:ascii="Calibri" w:hAnsi="Calibri"/>
                <w:iCs/>
                <w:sz w:val="20"/>
                <w:szCs w:val="20"/>
                <w:lang w:val="en-AU"/>
              </w:rPr>
            </w:pPr>
            <w:hyperlink r:id="rId24" w:history="1">
              <w:bookmarkStart w:id="329" w:name="_Toc402180530"/>
              <w:r w:rsidR="003D6316" w:rsidRPr="003F46ED">
                <w:rPr>
                  <w:rStyle w:val="Hyperlink"/>
                  <w:rFonts w:ascii="Calibri" w:hAnsi="Calibri"/>
                  <w:iCs/>
                  <w:sz w:val="20"/>
                  <w:szCs w:val="20"/>
                  <w:lang w:val="en-AU"/>
                </w:rPr>
                <w:t>http://www.scsa.wa.edu.au/internet/Publications/Reports/Statistical_Reports</w:t>
              </w:r>
            </w:hyperlink>
            <w:r w:rsidR="003D6316" w:rsidRPr="003F46ED">
              <w:rPr>
                <w:rFonts w:ascii="Calibri" w:hAnsi="Calibri"/>
                <w:iCs/>
                <w:sz w:val="20"/>
                <w:szCs w:val="20"/>
                <w:lang w:val="en-AU"/>
              </w:rPr>
              <w:t xml:space="preserve"> (general)</w:t>
            </w:r>
            <w:bookmarkEnd w:id="329"/>
          </w:p>
          <w:p w14:paraId="5BCBE80D" w14:textId="06FCD47A" w:rsidR="003D6316" w:rsidRPr="003F46ED" w:rsidRDefault="006E5D16" w:rsidP="00B30583">
            <w:pPr>
              <w:rPr>
                <w:rFonts w:ascii="Calibri" w:hAnsi="Calibri"/>
                <w:iCs/>
                <w:sz w:val="20"/>
                <w:szCs w:val="20"/>
                <w:lang w:val="en-AU"/>
              </w:rPr>
            </w:pPr>
            <w:hyperlink r:id="rId25" w:history="1">
              <w:bookmarkStart w:id="330" w:name="_Toc402180531"/>
              <w:r w:rsidR="003D6316" w:rsidRPr="003F46ED">
                <w:rPr>
                  <w:rStyle w:val="Hyperlink"/>
                  <w:rFonts w:ascii="Calibri" w:hAnsi="Calibri"/>
                  <w:iCs/>
                  <w:sz w:val="20"/>
                  <w:szCs w:val="20"/>
                  <w:lang w:val="en-AU"/>
                </w:rPr>
                <w:t>http://www.scsa.wa.edu.au/internet/Publications/Reports/Statistical_Reports/Secondary_Education_Statistics/Default</w:t>
              </w:r>
            </w:hyperlink>
            <w:r w:rsidR="003D6316" w:rsidRPr="003F46ED">
              <w:rPr>
                <w:rFonts w:ascii="Calibri" w:hAnsi="Calibri"/>
                <w:iCs/>
                <w:sz w:val="20"/>
                <w:szCs w:val="20"/>
                <w:lang w:val="en-AU"/>
              </w:rPr>
              <w:t xml:space="preserve"> (see Table 3.2 in each Annual Report)</w:t>
            </w:r>
            <w:bookmarkEnd w:id="330"/>
          </w:p>
        </w:tc>
        <w:tc>
          <w:tcPr>
            <w:tcW w:w="4778" w:type="dxa"/>
          </w:tcPr>
          <w:p w14:paraId="38922EB6" w14:textId="77777777" w:rsidR="00CD5C8B" w:rsidRPr="003F46ED" w:rsidRDefault="0009239D" w:rsidP="00B30583">
            <w:pPr>
              <w:rPr>
                <w:lang w:val="en-AU"/>
              </w:rPr>
            </w:pPr>
            <w:bookmarkStart w:id="331" w:name="_Toc402180532"/>
            <w:r w:rsidRPr="003F46ED">
              <w:rPr>
                <w:lang w:val="en-AU"/>
              </w:rPr>
              <w:t>Data (2000</w:t>
            </w:r>
            <w:r w:rsidR="007703A1" w:rsidRPr="003F46ED">
              <w:rPr>
                <w:lang w:val="en-AU"/>
              </w:rPr>
              <w:t>–</w:t>
            </w:r>
            <w:r w:rsidRPr="003F46ED">
              <w:rPr>
                <w:lang w:val="en-AU"/>
              </w:rPr>
              <w:t>2013) refers to the number of students who completed each course unit within learning areas</w:t>
            </w:r>
            <w:r w:rsidR="007703A1" w:rsidRPr="003F46ED">
              <w:rPr>
                <w:lang w:val="en-AU"/>
              </w:rPr>
              <w:t>.</w:t>
            </w:r>
            <w:bookmarkEnd w:id="331"/>
          </w:p>
        </w:tc>
      </w:tr>
    </w:tbl>
    <w:p w14:paraId="17235DC8" w14:textId="77777777" w:rsidR="00A0274B" w:rsidRPr="003F46ED" w:rsidRDefault="00A0274B" w:rsidP="00B30583">
      <w:r w:rsidRPr="003F46ED">
        <w:br w:type="page"/>
      </w:r>
    </w:p>
    <w:p w14:paraId="6FF2C008" w14:textId="77777777" w:rsidR="007B1D45" w:rsidRPr="003F46ED" w:rsidRDefault="0006551A" w:rsidP="00F536F8">
      <w:pPr>
        <w:pStyle w:val="Heading3"/>
      </w:pPr>
      <w:bookmarkStart w:id="332" w:name="_Toc402180533"/>
      <w:r w:rsidRPr="003F46ED">
        <w:lastRenderedPageBreak/>
        <w:t xml:space="preserve">Languages </w:t>
      </w:r>
      <w:r w:rsidR="007051A6" w:rsidRPr="003F46ED">
        <w:t>in the senior secondary years</w:t>
      </w:r>
      <w:bookmarkEnd w:id="332"/>
    </w:p>
    <w:p w14:paraId="63BD7D9D" w14:textId="77777777" w:rsidR="007B1D45" w:rsidRPr="003F46ED" w:rsidRDefault="00FA0849" w:rsidP="00B30583">
      <w:bookmarkStart w:id="333" w:name="_Toc402180534"/>
      <w:r w:rsidRPr="003F46ED">
        <w:t>T</w:t>
      </w:r>
      <w:r w:rsidR="00D81293" w:rsidRPr="003F46ED">
        <w:t>he proportion</w:t>
      </w:r>
      <w:r w:rsidR="005D797B" w:rsidRPr="003F46ED">
        <w:t xml:space="preserve"> nationally</w:t>
      </w:r>
      <w:r w:rsidR="00D81293" w:rsidRPr="003F46ED">
        <w:t xml:space="preserve"> of senior secondary students studying a lang</w:t>
      </w:r>
      <w:r w:rsidR="005D797B" w:rsidRPr="003F46ED">
        <w:t>uage ha</w:t>
      </w:r>
      <w:r w:rsidR="00D81293" w:rsidRPr="003F46ED">
        <w:t>s</w:t>
      </w:r>
      <w:r w:rsidRPr="003F46ED">
        <w:t xml:space="preserve"> </w:t>
      </w:r>
      <w:r w:rsidR="005D797B" w:rsidRPr="003F46ED">
        <w:t xml:space="preserve">been low </w:t>
      </w:r>
      <w:r w:rsidR="003F3BCF" w:rsidRPr="003F46ED">
        <w:t xml:space="preserve">but </w:t>
      </w:r>
      <w:r w:rsidR="00554214" w:rsidRPr="003F46ED">
        <w:t xml:space="preserve">quite </w:t>
      </w:r>
      <w:r w:rsidR="00D81293" w:rsidRPr="003F46ED">
        <w:t xml:space="preserve">stable </w:t>
      </w:r>
      <w:r w:rsidR="005D797B" w:rsidRPr="003F46ED">
        <w:t>for over 20 years</w:t>
      </w:r>
      <w:r w:rsidR="00D81293" w:rsidRPr="003F46ED">
        <w:t>. It sits</w:t>
      </w:r>
      <w:r w:rsidR="005D797B" w:rsidRPr="003F46ED">
        <w:t xml:space="preserve"> currently</w:t>
      </w:r>
      <w:r w:rsidR="00D81293" w:rsidRPr="003F46ED">
        <w:t xml:space="preserve"> at an estimated 11 per cent of students. However, proportions </w:t>
      </w:r>
      <w:r w:rsidR="00554214" w:rsidRPr="003F46ED">
        <w:t xml:space="preserve">within jurisdictions </w:t>
      </w:r>
      <w:r w:rsidR="00D81293" w:rsidRPr="003F46ED">
        <w:t>differ considerably. Consultations</w:t>
      </w:r>
      <w:r w:rsidR="009326D1" w:rsidRPr="003F46ED">
        <w:t xml:space="preserve"> have</w:t>
      </w:r>
      <w:r w:rsidR="00D81293" w:rsidRPr="003F46ED">
        <w:t xml:space="preserve"> </w:t>
      </w:r>
      <w:r w:rsidR="001B7E94" w:rsidRPr="003F46ED">
        <w:t>revealed</w:t>
      </w:r>
      <w:r w:rsidR="00D81293" w:rsidRPr="003F46ED">
        <w:t xml:space="preserve"> that </w:t>
      </w:r>
      <w:r w:rsidR="00EB5C58" w:rsidRPr="003F46ED">
        <w:t>Vic</w:t>
      </w:r>
      <w:r w:rsidR="00D81293" w:rsidRPr="003F46ED">
        <w:t xml:space="preserve"> has the highest proportion of students studying a language while </w:t>
      </w:r>
      <w:r w:rsidR="000464C9" w:rsidRPr="003F46ED">
        <w:t>WA</w:t>
      </w:r>
      <w:r w:rsidR="00D81293" w:rsidRPr="003F46ED">
        <w:t xml:space="preserve"> has the lowest.</w:t>
      </w:r>
      <w:bookmarkEnd w:id="333"/>
      <w:r w:rsidR="00D81293" w:rsidRPr="003F46ED">
        <w:t xml:space="preserve"> </w:t>
      </w:r>
      <w:r w:rsidR="00573876" w:rsidRPr="003F46ED">
        <w:t>From another angle</w:t>
      </w:r>
      <w:bookmarkStart w:id="334" w:name="_Toc402180535"/>
      <w:r w:rsidR="00573876" w:rsidRPr="003F46ED">
        <w:t>,</w:t>
      </w:r>
      <w:r w:rsidR="00840300" w:rsidRPr="003F46ED">
        <w:t xml:space="preserve"> </w:t>
      </w:r>
      <w:r w:rsidR="00840300" w:rsidRPr="003F46ED">
        <w:rPr>
          <w:rFonts w:cs="Calibri"/>
        </w:rPr>
        <w:t>8</w:t>
      </w:r>
      <w:r w:rsidR="00ED2485" w:rsidRPr="003F46ED">
        <w:rPr>
          <w:rFonts w:cs="Calibri"/>
        </w:rPr>
        <w:t>9</w:t>
      </w:r>
      <w:r w:rsidR="00840300" w:rsidRPr="003F46ED">
        <w:rPr>
          <w:rFonts w:cs="Calibri"/>
        </w:rPr>
        <w:t xml:space="preserve"> per cent of senior secondary students are choosing subject combinations</w:t>
      </w:r>
      <w:r w:rsidR="00840300" w:rsidRPr="003F46ED">
        <w:rPr>
          <w:rFonts w:cs="Calibri"/>
          <w:i/>
        </w:rPr>
        <w:t xml:space="preserve"> that exclude languages</w:t>
      </w:r>
      <w:r w:rsidR="00840300" w:rsidRPr="003F46ED">
        <w:rPr>
          <w:rFonts w:cs="Calibri"/>
        </w:rPr>
        <w:t>.</w:t>
      </w:r>
      <w:bookmarkEnd w:id="334"/>
    </w:p>
    <w:p w14:paraId="5750758D" w14:textId="77777777" w:rsidR="007B1D45" w:rsidRPr="003F46ED" w:rsidRDefault="00770534" w:rsidP="00B30583">
      <w:bookmarkStart w:id="335" w:name="_Toc402180536"/>
      <w:r w:rsidRPr="003F46ED">
        <w:t xml:space="preserve">The data indicates that languages have, by a significant margin, the least number of enrolments nationally among all </w:t>
      </w:r>
      <w:r w:rsidR="00451EA9" w:rsidRPr="003F46ED">
        <w:t xml:space="preserve">senior secondary </w:t>
      </w:r>
      <w:r w:rsidRPr="003F46ED">
        <w:t>learning areas</w:t>
      </w:r>
      <w:r w:rsidR="00D51564" w:rsidRPr="003F46ED">
        <w:t xml:space="preserve">. </w:t>
      </w:r>
      <w:r w:rsidR="00B86798" w:rsidRPr="003F46ED">
        <w:t>It also</w:t>
      </w:r>
      <w:r w:rsidR="00CF661C" w:rsidRPr="003F46ED">
        <w:t xml:space="preserve"> </w:t>
      </w:r>
      <w:r w:rsidR="00451EA9" w:rsidRPr="003F46ED">
        <w:t xml:space="preserve">shows </w:t>
      </w:r>
      <w:r w:rsidR="00CF661C" w:rsidRPr="003F46ED">
        <w:t xml:space="preserve">that some jurisdictions are seeing increases in Year 12 language enrolments. But these increases are </w:t>
      </w:r>
      <w:r w:rsidR="00701C53" w:rsidRPr="003F46ED">
        <w:t xml:space="preserve">very </w:t>
      </w:r>
      <w:r w:rsidR="00CF661C" w:rsidRPr="003F46ED">
        <w:t>minor</w:t>
      </w:r>
      <w:r w:rsidR="002F448F" w:rsidRPr="003F46ED">
        <w:t xml:space="preserve"> </w:t>
      </w:r>
      <w:r w:rsidR="005318DA" w:rsidRPr="003F46ED">
        <w:t>as a</w:t>
      </w:r>
      <w:r w:rsidR="002F448F" w:rsidRPr="003F46ED">
        <w:t xml:space="preserve"> proportion of total Year 12 cohort</w:t>
      </w:r>
      <w:r w:rsidR="00CF661C" w:rsidRPr="003F46ED">
        <w:t>.</w:t>
      </w:r>
      <w:r w:rsidR="006A42F2" w:rsidRPr="003F46ED">
        <w:t xml:space="preserve"> </w:t>
      </w:r>
      <w:r w:rsidR="00BB360B" w:rsidRPr="003F46ED">
        <w:t xml:space="preserve">A 29-percentage point gain for Australia </w:t>
      </w:r>
      <w:r w:rsidR="00F3750E" w:rsidRPr="003F46ED">
        <w:t xml:space="preserve">– </w:t>
      </w:r>
      <w:r w:rsidR="00BB360B" w:rsidRPr="003F46ED">
        <w:t xml:space="preserve">to have 40 per cent of senior secondary students studying a language within a decade </w:t>
      </w:r>
      <w:r w:rsidR="00F3750E" w:rsidRPr="003F46ED">
        <w:t xml:space="preserve">– </w:t>
      </w:r>
      <w:r w:rsidR="00BB360B" w:rsidRPr="003F46ED">
        <w:t>will</w:t>
      </w:r>
      <w:r w:rsidR="00F3750E" w:rsidRPr="003F46ED">
        <w:t xml:space="preserve"> </w:t>
      </w:r>
      <w:r w:rsidR="00BB360B" w:rsidRPr="003F46ED">
        <w:t>be a major challenge without new and diffe</w:t>
      </w:r>
      <w:r w:rsidR="003574B7" w:rsidRPr="003F46ED">
        <w:t>rent action by jurisdictions,</w:t>
      </w:r>
      <w:r w:rsidR="00BB360B" w:rsidRPr="003F46ED">
        <w:t xml:space="preserve"> </w:t>
      </w:r>
      <w:r w:rsidR="003574B7" w:rsidRPr="003F46ED">
        <w:t>sectors and schools</w:t>
      </w:r>
      <w:r w:rsidR="00232D1A" w:rsidRPr="003F46ED">
        <w:t>.</w:t>
      </w:r>
      <w:bookmarkEnd w:id="335"/>
    </w:p>
    <w:p w14:paraId="44D3D9D7" w14:textId="77777777" w:rsidR="007B1D45" w:rsidRPr="003F46ED" w:rsidRDefault="00EB5C58" w:rsidP="00B30583">
      <w:bookmarkStart w:id="336" w:name="_Toc402180537"/>
      <w:r w:rsidRPr="003F46ED">
        <w:t>SA</w:t>
      </w:r>
      <w:r w:rsidR="00316ACA" w:rsidRPr="003F46ED">
        <w:t xml:space="preserve"> provides an instructive case on</w:t>
      </w:r>
      <w:r w:rsidR="00B418A9" w:rsidRPr="003F46ED">
        <w:t xml:space="preserve"> the impact that changes to</w:t>
      </w:r>
      <w:r w:rsidR="00316ACA" w:rsidRPr="003F46ED">
        <w:t xml:space="preserve"> senior secondary certification</w:t>
      </w:r>
      <w:r w:rsidR="004F09DA" w:rsidRPr="003F46ED">
        <w:t xml:space="preserve"> structures</w:t>
      </w:r>
      <w:r w:rsidR="00B418A9" w:rsidRPr="003F46ED">
        <w:t xml:space="preserve"> can have</w:t>
      </w:r>
      <w:r w:rsidR="00316ACA" w:rsidRPr="003F46ED">
        <w:t xml:space="preserve"> on languages enrolments in a relatively short time. </w:t>
      </w:r>
      <w:r w:rsidR="00C93620" w:rsidRPr="003F46ED">
        <w:t>Since 2011, t</w:t>
      </w:r>
      <w:r w:rsidR="00316ACA" w:rsidRPr="003F46ED">
        <w:t>he introduction of a new senior secondary structure</w:t>
      </w:r>
      <w:r w:rsidR="007703A1" w:rsidRPr="003F46ED">
        <w:t xml:space="preserve"> – </w:t>
      </w:r>
      <w:r w:rsidR="00316ACA" w:rsidRPr="003F46ED">
        <w:t xml:space="preserve">four subjects plus a </w:t>
      </w:r>
      <w:r w:rsidR="004F09DA" w:rsidRPr="003F46ED">
        <w:t xml:space="preserve">mandatory </w:t>
      </w:r>
      <w:r w:rsidR="00316ACA" w:rsidRPr="003F46ED">
        <w:t>research project</w:t>
      </w:r>
      <w:r w:rsidR="007703A1" w:rsidRPr="003F46ED">
        <w:t xml:space="preserve"> – </w:t>
      </w:r>
      <w:r w:rsidR="00B418A9" w:rsidRPr="003F46ED">
        <w:t>has</w:t>
      </w:r>
      <w:r w:rsidR="00316ACA" w:rsidRPr="003F46ED">
        <w:t xml:space="preserve"> seen an obvious downward trend in languages enrolments. This is due to the combined factors of</w:t>
      </w:r>
      <w:r w:rsidR="00021C23" w:rsidRPr="003F46ED">
        <w:t>:</w:t>
      </w:r>
      <w:r w:rsidR="00316ACA" w:rsidRPr="003F46ED">
        <w:t xml:space="preserve"> 1) reducing the number of subjects a studen</w:t>
      </w:r>
      <w:r w:rsidR="00021C23" w:rsidRPr="003F46ED">
        <w:t xml:space="preserve">t can do to a very small number; </w:t>
      </w:r>
      <w:r w:rsidR="00316ACA" w:rsidRPr="003F46ED">
        <w:t xml:space="preserve">and 2) introducing a new </w:t>
      </w:r>
      <w:r w:rsidR="00021C23" w:rsidRPr="003F46ED">
        <w:t>compulsory subject</w:t>
      </w:r>
      <w:r w:rsidR="00316ACA" w:rsidRPr="003F46ED">
        <w:t xml:space="preserve"> </w:t>
      </w:r>
      <w:r w:rsidR="00021C23" w:rsidRPr="003F46ED">
        <w:t>(the research p</w:t>
      </w:r>
      <w:r w:rsidR="00316ACA" w:rsidRPr="003F46ED">
        <w:t>roject</w:t>
      </w:r>
      <w:r w:rsidR="00021C23" w:rsidRPr="003F46ED">
        <w:t>)</w:t>
      </w:r>
      <w:r w:rsidR="00316ACA" w:rsidRPr="003F46ED">
        <w:t>.</w:t>
      </w:r>
      <w:bookmarkEnd w:id="336"/>
    </w:p>
    <w:p w14:paraId="05EB0935" w14:textId="77777777" w:rsidR="007B1D45" w:rsidRPr="003F46ED" w:rsidRDefault="00316ACA" w:rsidP="00B30583">
      <w:bookmarkStart w:id="337" w:name="_Toc402180538"/>
      <w:r w:rsidRPr="003F46ED">
        <w:t xml:space="preserve">Conversely, in </w:t>
      </w:r>
      <w:r w:rsidR="00EB5C58" w:rsidRPr="003F46ED">
        <w:t>Vic</w:t>
      </w:r>
      <w:r w:rsidR="0088726F" w:rsidRPr="003F46ED">
        <w:t>, students are encouraged</w:t>
      </w:r>
      <w:r w:rsidR="00AF7E17" w:rsidRPr="003F46ED">
        <w:t xml:space="preserve"> to study a language </w:t>
      </w:r>
      <w:r w:rsidR="00AF7E17" w:rsidRPr="003F46ED">
        <w:rPr>
          <w:i/>
        </w:rPr>
        <w:t>and</w:t>
      </w:r>
      <w:r w:rsidR="0088726F" w:rsidRPr="003F46ED">
        <w:t xml:space="preserve"> </w:t>
      </w:r>
      <w:r w:rsidR="00AB0227" w:rsidRPr="003F46ED">
        <w:t>take a fifth and</w:t>
      </w:r>
      <w:r w:rsidR="00303FA4" w:rsidRPr="003F46ED">
        <w:t>/or</w:t>
      </w:r>
      <w:r w:rsidR="00AB0227" w:rsidRPr="003F46ED">
        <w:t xml:space="preserve"> sixth subject using </w:t>
      </w:r>
      <w:proofErr w:type="spellStart"/>
      <w:r w:rsidR="00AB0227" w:rsidRPr="003F46ED">
        <w:t>ATAR</w:t>
      </w:r>
      <w:proofErr w:type="spellEnd"/>
      <w:r w:rsidR="00AB0227" w:rsidRPr="003F46ED">
        <w:t xml:space="preserve"> bonus incentives. </w:t>
      </w:r>
      <w:r w:rsidR="00013EB1" w:rsidRPr="003F46ED">
        <w:t>These incentives have be</w:t>
      </w:r>
      <w:r w:rsidR="009263DB" w:rsidRPr="003F46ED">
        <w:t>e</w:t>
      </w:r>
      <w:r w:rsidR="00013EB1" w:rsidRPr="003F46ED">
        <w:t xml:space="preserve">n in place for some time </w:t>
      </w:r>
      <w:r w:rsidR="003A616F" w:rsidRPr="003F46ED">
        <w:t xml:space="preserve">and could be one of the reasons why </w:t>
      </w:r>
      <w:r w:rsidR="00EB5C58" w:rsidRPr="003F46ED">
        <w:t>Vic</w:t>
      </w:r>
      <w:r w:rsidR="003A616F" w:rsidRPr="003F46ED">
        <w:t xml:space="preserve"> has the highest proportion</w:t>
      </w:r>
      <w:r w:rsidR="00303FA4" w:rsidRPr="003F46ED">
        <w:t xml:space="preserve"> nationally</w:t>
      </w:r>
      <w:r w:rsidR="003A616F" w:rsidRPr="003F46ED">
        <w:t xml:space="preserve"> of senior secondary students </w:t>
      </w:r>
      <w:r w:rsidR="006933CF" w:rsidRPr="003F46ED">
        <w:t>studying a</w:t>
      </w:r>
      <w:r w:rsidR="003A616F" w:rsidRPr="003F46ED">
        <w:t xml:space="preserve"> languages subject for certification.</w:t>
      </w:r>
      <w:bookmarkEnd w:id="337"/>
    </w:p>
    <w:p w14:paraId="649CB7B0" w14:textId="77777777" w:rsidR="007B1D45" w:rsidRPr="003F46ED" w:rsidRDefault="00CC054E" w:rsidP="00F536F8">
      <w:pPr>
        <w:pStyle w:val="Heading3"/>
      </w:pPr>
      <w:bookmarkStart w:id="338" w:name="_Toc402180539"/>
      <w:r w:rsidRPr="003F46ED">
        <w:t>T</w:t>
      </w:r>
      <w:r w:rsidR="0006551A" w:rsidRPr="003F46ED">
        <w:t>he top six languages</w:t>
      </w:r>
      <w:r w:rsidRPr="003F46ED">
        <w:t xml:space="preserve"> in Year 12 by enrolment</w:t>
      </w:r>
      <w:bookmarkEnd w:id="338"/>
    </w:p>
    <w:p w14:paraId="19BEE3DA" w14:textId="24CCEC94" w:rsidR="006933CF" w:rsidRPr="003F46ED" w:rsidRDefault="006933CF" w:rsidP="00B30583">
      <w:bookmarkStart w:id="339" w:name="_Toc402180540"/>
      <w:r w:rsidRPr="003F46ED">
        <w:t>Th</w:t>
      </w:r>
      <w:r w:rsidR="00497029" w:rsidRPr="003F46ED">
        <w:t>re</w:t>
      </w:r>
      <w:r w:rsidRPr="003F46ED">
        <w:t>e</w:t>
      </w:r>
      <w:r w:rsidR="00497029" w:rsidRPr="003F46ED">
        <w:t xml:space="preserve"> of the</w:t>
      </w:r>
      <w:r w:rsidRPr="003F46ED">
        <w:t xml:space="preserve"> top</w:t>
      </w:r>
      <w:r w:rsidR="00687C53" w:rsidRPr="003F46ED">
        <w:t xml:space="preserve"> six languages in Year</w:t>
      </w:r>
      <w:r w:rsidRPr="003F46ED">
        <w:t xml:space="preserve"> 12 by enrolment are</w:t>
      </w:r>
      <w:r w:rsidR="00497029" w:rsidRPr="003F46ED">
        <w:t xml:space="preserve"> Asian and three are European.</w:t>
      </w:r>
      <w:bookmarkEnd w:id="339"/>
    </w:p>
    <w:p w14:paraId="4B37E51B" w14:textId="77777777" w:rsidR="006933CF" w:rsidRPr="003F46ED" w:rsidRDefault="006933CF" w:rsidP="00F666F6">
      <w:pPr>
        <w:pStyle w:val="ListParagraph"/>
        <w:numPr>
          <w:ilvl w:val="0"/>
          <w:numId w:val="39"/>
        </w:numPr>
      </w:pPr>
      <w:bookmarkStart w:id="340" w:name="_Toc402180541"/>
      <w:r w:rsidRPr="003F46ED">
        <w:t>Asian</w:t>
      </w:r>
      <w:r w:rsidR="00497029" w:rsidRPr="003F46ED">
        <w:t>:</w:t>
      </w:r>
      <w:r w:rsidRPr="003F46ED">
        <w:t xml:space="preserve"> Japanese, Chinese (Mandarin) and Indonesian</w:t>
      </w:r>
      <w:bookmarkEnd w:id="340"/>
    </w:p>
    <w:p w14:paraId="3A5D1E84" w14:textId="77777777" w:rsidR="006933CF" w:rsidRPr="003F46ED" w:rsidRDefault="006933CF" w:rsidP="00F666F6">
      <w:pPr>
        <w:pStyle w:val="ListParagraph"/>
        <w:numPr>
          <w:ilvl w:val="0"/>
          <w:numId w:val="39"/>
        </w:numPr>
      </w:pPr>
      <w:bookmarkStart w:id="341" w:name="_Toc402180542"/>
      <w:r w:rsidRPr="003F46ED">
        <w:t>European</w:t>
      </w:r>
      <w:r w:rsidR="00497029" w:rsidRPr="003F46ED">
        <w:t>:</w:t>
      </w:r>
      <w:r w:rsidRPr="003F46ED">
        <w:t xml:space="preserve"> French</w:t>
      </w:r>
      <w:r w:rsidR="00497029" w:rsidRPr="003F46ED">
        <w:t>, Italian and German</w:t>
      </w:r>
      <w:bookmarkEnd w:id="341"/>
    </w:p>
    <w:p w14:paraId="0B3CCBF6" w14:textId="77777777" w:rsidR="007B1D45" w:rsidRPr="003F46ED" w:rsidRDefault="002027EF" w:rsidP="00B30583">
      <w:bookmarkStart w:id="342" w:name="_Toc402180543"/>
      <w:r w:rsidRPr="003F46ED">
        <w:t>From a macro perspective, programme funding for specific languages seems only to have redistributed enrolments among different languages. It has resulted in little change</w:t>
      </w:r>
      <w:r w:rsidR="009E73F9" w:rsidRPr="003F46ED">
        <w:t xml:space="preserve"> overall</w:t>
      </w:r>
      <w:r w:rsidRPr="003F46ED">
        <w:t xml:space="preserve"> to senior secondary languages enrolments nationally.</w:t>
      </w:r>
      <w:bookmarkEnd w:id="342"/>
    </w:p>
    <w:p w14:paraId="01FD9993" w14:textId="77777777" w:rsidR="007B1D45" w:rsidRPr="003F46ED" w:rsidRDefault="006D4CA0" w:rsidP="00B30583">
      <w:pPr>
        <w:rPr>
          <w:rFonts w:cs="Calibri"/>
          <w:bCs/>
        </w:rPr>
      </w:pPr>
      <w:bookmarkStart w:id="343" w:name="_Toc402180544"/>
      <w:r w:rsidRPr="003F46ED">
        <w:t>In the period since 2008, which saw the start of the National Asian Languages and Studies in Schools Program (</w:t>
      </w:r>
      <w:proofErr w:type="spellStart"/>
      <w:r w:rsidRPr="003F46ED">
        <w:t>NALSSP</w:t>
      </w:r>
      <w:proofErr w:type="spellEnd"/>
      <w:r w:rsidR="0026218B" w:rsidRPr="003F46ED">
        <w:t>,</w:t>
      </w:r>
      <w:r w:rsidRPr="003F46ED">
        <w:t xml:space="preserve"> 2008–2012), language enrolments fluctuated, especially in the six most popular at Year 12</w:t>
      </w:r>
      <w:r w:rsidR="00AC08E4" w:rsidRPr="003F46ED">
        <w:t>. There</w:t>
      </w:r>
      <w:r w:rsidRPr="003F46ED">
        <w:rPr>
          <w:rFonts w:cs="Calibri"/>
          <w:bCs/>
        </w:rPr>
        <w:t xml:space="preserve"> appeared to</w:t>
      </w:r>
      <w:r w:rsidR="00AC08E4" w:rsidRPr="003F46ED">
        <w:rPr>
          <w:rFonts w:cs="Calibri"/>
          <w:bCs/>
        </w:rPr>
        <w:t xml:space="preserve"> be</w:t>
      </w:r>
      <w:r w:rsidRPr="003F46ED">
        <w:rPr>
          <w:rFonts w:cs="Calibri"/>
          <w:bCs/>
        </w:rPr>
        <w:t xml:space="preserve"> an indirect correlation between European and Asian languages. While enrolments in some Asian languages improved</w:t>
      </w:r>
      <w:r w:rsidR="00AC08E4" w:rsidRPr="003F46ED">
        <w:rPr>
          <w:rFonts w:cs="Calibri"/>
          <w:bCs/>
        </w:rPr>
        <w:t>, enrolme</w:t>
      </w:r>
      <w:r w:rsidRPr="003F46ED">
        <w:rPr>
          <w:rFonts w:cs="Calibri"/>
          <w:bCs/>
        </w:rPr>
        <w:t>nts in some of the European languages declined. French and Italian continue to ha</w:t>
      </w:r>
      <w:r w:rsidR="00790E81" w:rsidRPr="003F46ED">
        <w:rPr>
          <w:rFonts w:cs="Calibri"/>
          <w:bCs/>
        </w:rPr>
        <w:t>ve strong enrolments nationally</w:t>
      </w:r>
      <w:r w:rsidRPr="003F46ED">
        <w:rPr>
          <w:rFonts w:cs="Calibri"/>
          <w:bCs/>
        </w:rPr>
        <w:t xml:space="preserve"> but German is declining.</w:t>
      </w:r>
      <w:bookmarkEnd w:id="343"/>
    </w:p>
    <w:p w14:paraId="0FB3B9D4" w14:textId="77777777" w:rsidR="007B1D45" w:rsidRPr="003F46ED" w:rsidRDefault="00BD3E17" w:rsidP="00B30583">
      <w:bookmarkStart w:id="344" w:name="_Toc402180545"/>
      <w:r w:rsidRPr="003F46ED">
        <w:t xml:space="preserve">In the </w:t>
      </w:r>
      <w:proofErr w:type="spellStart"/>
      <w:r w:rsidRPr="003F46ED">
        <w:t>NALSSP</w:t>
      </w:r>
      <w:proofErr w:type="spellEnd"/>
      <w:r w:rsidRPr="003F46ED">
        <w:t xml:space="preserve"> period, </w:t>
      </w:r>
      <w:r w:rsidR="002F64E9" w:rsidRPr="003F46ED">
        <w:t xml:space="preserve">Chinese saw an initial rise but </w:t>
      </w:r>
      <w:r w:rsidRPr="003F46ED">
        <w:t xml:space="preserve">enrolments </w:t>
      </w:r>
      <w:r w:rsidR="002F64E9" w:rsidRPr="003F46ED">
        <w:t>decline</w:t>
      </w:r>
      <w:r w:rsidRPr="003F46ED">
        <w:t>d</w:t>
      </w:r>
      <w:r w:rsidR="002F64E9" w:rsidRPr="003F46ED">
        <w:t xml:space="preserve"> </w:t>
      </w:r>
      <w:r w:rsidRPr="003F46ED">
        <w:t>from</w:t>
      </w:r>
      <w:r w:rsidR="002F64E9" w:rsidRPr="003F46ED">
        <w:t xml:space="preserve"> 2010. </w:t>
      </w:r>
      <w:r w:rsidR="00827361" w:rsidRPr="003F46ED">
        <w:t>Japanese</w:t>
      </w:r>
      <w:r w:rsidR="002F64E9" w:rsidRPr="003F46ED">
        <w:t xml:space="preserve"> enrolments </w:t>
      </w:r>
      <w:r w:rsidR="00381FC2" w:rsidRPr="003F46ED">
        <w:t>appear to have been</w:t>
      </w:r>
      <w:r w:rsidR="002F64E9" w:rsidRPr="003F46ED">
        <w:t xml:space="preserve"> boosted by </w:t>
      </w:r>
      <w:proofErr w:type="spellStart"/>
      <w:r w:rsidR="002F64E9" w:rsidRPr="003F46ED">
        <w:t>NALSSP</w:t>
      </w:r>
      <w:proofErr w:type="spellEnd"/>
      <w:r w:rsidR="00827361" w:rsidRPr="003F46ED">
        <w:t>.</w:t>
      </w:r>
      <w:r w:rsidR="00542676" w:rsidRPr="003F46ED">
        <w:t xml:space="preserve"> </w:t>
      </w:r>
      <w:r w:rsidR="00827361" w:rsidRPr="003F46ED">
        <w:t>Indonesian</w:t>
      </w:r>
      <w:r w:rsidR="00542676" w:rsidRPr="003F46ED">
        <w:t xml:space="preserve"> enrolments continued to decline despite the </w:t>
      </w:r>
      <w:proofErr w:type="spellStart"/>
      <w:r w:rsidR="00542676" w:rsidRPr="003F46ED">
        <w:t>NALSSP</w:t>
      </w:r>
      <w:proofErr w:type="spellEnd"/>
      <w:r w:rsidR="00542676" w:rsidRPr="003F46ED">
        <w:t>, b</w:t>
      </w:r>
      <w:r w:rsidR="00827361" w:rsidRPr="003F46ED">
        <w:t xml:space="preserve">ut it is important to note that </w:t>
      </w:r>
      <w:r w:rsidR="004C483C" w:rsidRPr="003F46ED">
        <w:t>Department of Foreign Affairs and Trade (</w:t>
      </w:r>
      <w:proofErr w:type="spellStart"/>
      <w:r w:rsidR="00827361" w:rsidRPr="003F46ED">
        <w:t>DFAT</w:t>
      </w:r>
      <w:proofErr w:type="spellEnd"/>
      <w:r w:rsidR="004C483C" w:rsidRPr="003F46ED">
        <w:t>)</w:t>
      </w:r>
      <w:r w:rsidR="00827361" w:rsidRPr="003F46ED">
        <w:t xml:space="preserve"> travel warnings to Indonesia remained </w:t>
      </w:r>
      <w:r w:rsidR="00542676" w:rsidRPr="003F46ED">
        <w:t>in place throughout this period. This</w:t>
      </w:r>
      <w:r w:rsidR="00827361" w:rsidRPr="003F46ED">
        <w:t xml:space="preserve"> appears to have discouraged </w:t>
      </w:r>
      <w:r w:rsidR="00FE023D" w:rsidRPr="003F46ED">
        <w:t xml:space="preserve">some </w:t>
      </w:r>
      <w:r w:rsidR="00827361" w:rsidRPr="003F46ED">
        <w:t>schools and/or students from continuing with their Indonesian</w:t>
      </w:r>
      <w:r w:rsidR="001F3633" w:rsidRPr="003F46ED">
        <w:t xml:space="preserve"> language</w:t>
      </w:r>
      <w:r w:rsidR="00827361" w:rsidRPr="003F46ED">
        <w:t xml:space="preserve"> programmes</w:t>
      </w:r>
      <w:r w:rsidR="001F3633" w:rsidRPr="003F46ED">
        <w:t xml:space="preserve">, </w:t>
      </w:r>
      <w:r w:rsidR="00827361" w:rsidRPr="003F46ED">
        <w:t>demonstrat</w:t>
      </w:r>
      <w:r w:rsidR="001F3633" w:rsidRPr="003F46ED">
        <w:t>ing</w:t>
      </w:r>
      <w:r w:rsidR="00827361" w:rsidRPr="003F46ED">
        <w:t xml:space="preserve"> how the broader </w:t>
      </w:r>
      <w:r w:rsidR="00815529" w:rsidRPr="003F46ED">
        <w:t>socio-political</w:t>
      </w:r>
      <w:r w:rsidR="00542676" w:rsidRPr="003F46ED">
        <w:t xml:space="preserve"> </w:t>
      </w:r>
      <w:r w:rsidR="00827361" w:rsidRPr="003F46ED">
        <w:t>context can impact on languages education.</w:t>
      </w:r>
      <w:bookmarkEnd w:id="344"/>
    </w:p>
    <w:p w14:paraId="214C6F7A" w14:textId="77777777" w:rsidR="007B1D45" w:rsidRPr="003F46ED" w:rsidRDefault="00EF27E9" w:rsidP="00B30583">
      <w:bookmarkStart w:id="345" w:name="_Toc402180546"/>
      <w:r w:rsidRPr="003F46ED">
        <w:lastRenderedPageBreak/>
        <w:t xml:space="preserve">When the learning area observations are combined with </w:t>
      </w:r>
      <w:r w:rsidR="00B73F2F" w:rsidRPr="003F46ED">
        <w:t xml:space="preserve">the </w:t>
      </w:r>
      <w:r w:rsidRPr="003F46ED">
        <w:t>language specific observation</w:t>
      </w:r>
      <w:r w:rsidR="00A47FF7" w:rsidRPr="003F46ED">
        <w:t>s</w:t>
      </w:r>
      <w:r w:rsidRPr="003F46ED">
        <w:t>, it appears that structural change at the senior secondary years has more significant impact on enrolments than programme-based funding.</w:t>
      </w:r>
      <w:bookmarkEnd w:id="345"/>
      <w:r w:rsidR="008F51ED" w:rsidRPr="003F46ED">
        <w:t xml:space="preserve"> </w:t>
      </w:r>
    </w:p>
    <w:p w14:paraId="77F73C7A" w14:textId="77777777" w:rsidR="007B1D45" w:rsidRPr="003F46ED" w:rsidRDefault="00D01D18" w:rsidP="00B30583">
      <w:bookmarkStart w:id="346" w:name="_Toc402180547"/>
      <w:r w:rsidRPr="003F46ED">
        <w:t>However, this is</w:t>
      </w:r>
      <w:r w:rsidR="007F7612" w:rsidRPr="003F46ED">
        <w:t xml:space="preserve"> not </w:t>
      </w:r>
      <w:r w:rsidRPr="003F46ED">
        <w:t xml:space="preserve">to </w:t>
      </w:r>
      <w:r w:rsidR="007F7612" w:rsidRPr="003F46ED">
        <w:t xml:space="preserve">imply that programme-based funding has not been useful in building </w:t>
      </w:r>
      <w:r w:rsidR="00136B0C" w:rsidRPr="003F46ED">
        <w:t xml:space="preserve">a stronger languages pipeline </w:t>
      </w:r>
      <w:r w:rsidR="00351650" w:rsidRPr="003F46ED">
        <w:t>leading up</w:t>
      </w:r>
      <w:r w:rsidR="00206674" w:rsidRPr="003F46ED">
        <w:t xml:space="preserve"> to </w:t>
      </w:r>
      <w:r w:rsidR="007A6EED" w:rsidRPr="003F46ED">
        <w:t xml:space="preserve">senior secondary, in terms of better </w:t>
      </w:r>
      <w:r w:rsidR="00FE1D54" w:rsidRPr="003F46ED">
        <w:t xml:space="preserve">levels of </w:t>
      </w:r>
      <w:r w:rsidR="007A6EED" w:rsidRPr="003F46ED">
        <w:t xml:space="preserve">provision, improved </w:t>
      </w:r>
      <w:r w:rsidR="00B05EC2" w:rsidRPr="003F46ED">
        <w:t xml:space="preserve">programme </w:t>
      </w:r>
      <w:r w:rsidR="007A6EED" w:rsidRPr="003F46ED">
        <w:t xml:space="preserve">quality </w:t>
      </w:r>
      <w:r w:rsidR="00FE1D54" w:rsidRPr="003F46ED">
        <w:t>and more engaged</w:t>
      </w:r>
      <w:r w:rsidR="00206674" w:rsidRPr="003F46ED">
        <w:t xml:space="preserve"> learners.</w:t>
      </w:r>
      <w:r w:rsidRPr="003F46ED">
        <w:t xml:space="preserve"> For example, </w:t>
      </w:r>
      <w:r w:rsidR="00CF518E" w:rsidRPr="003F46ED">
        <w:t xml:space="preserve">research conducted by AEF on </w:t>
      </w:r>
      <w:r w:rsidRPr="003F46ED">
        <w:t>the changes in schools resulting from the Becoming Asia Liter</w:t>
      </w:r>
      <w:r w:rsidR="001B665F" w:rsidRPr="003F46ED">
        <w:t>ate: Grants to Schools (</w:t>
      </w:r>
      <w:proofErr w:type="spellStart"/>
      <w:r w:rsidR="001B665F" w:rsidRPr="003F46ED">
        <w:t>BALGS</w:t>
      </w:r>
      <w:proofErr w:type="spellEnd"/>
      <w:r w:rsidR="001B665F" w:rsidRPr="003F46ED">
        <w:t>)</w:t>
      </w:r>
      <w:r w:rsidR="00BD6317" w:rsidRPr="003F46ED">
        <w:t xml:space="preserve"> programme</w:t>
      </w:r>
      <w:r w:rsidR="004B65BE" w:rsidRPr="003F46ED">
        <w:t>,</w:t>
      </w:r>
      <w:r w:rsidR="00BD6317" w:rsidRPr="003F46ED">
        <w:t xml:space="preserve"> </w:t>
      </w:r>
      <w:r w:rsidR="004B65BE" w:rsidRPr="003F46ED">
        <w:t>which</w:t>
      </w:r>
      <w:r w:rsidR="00BD6317" w:rsidRPr="003F46ED">
        <w:t xml:space="preserve"> was part of </w:t>
      </w:r>
      <w:proofErr w:type="spellStart"/>
      <w:r w:rsidR="00BD6317" w:rsidRPr="003F46ED">
        <w:t>NALSSP</w:t>
      </w:r>
      <w:proofErr w:type="spellEnd"/>
      <w:r w:rsidR="004B65BE" w:rsidRPr="003F46ED">
        <w:t>,</w:t>
      </w:r>
      <w:r w:rsidR="001B665F" w:rsidRPr="003F46ED">
        <w:t xml:space="preserve"> demonstrate</w:t>
      </w:r>
      <w:r w:rsidR="0010342E" w:rsidRPr="003F46ED">
        <w:t>s</w:t>
      </w:r>
      <w:r w:rsidR="001B665F" w:rsidRPr="003F46ED">
        <w:t xml:space="preserve"> clearly the positive impact of such funding (AEF, 2013).</w:t>
      </w:r>
      <w:r w:rsidR="00206674" w:rsidRPr="003F46ED">
        <w:t xml:space="preserve"> But if all of this good work is to translate into increa</w:t>
      </w:r>
      <w:r w:rsidR="00B447B1" w:rsidRPr="003F46ED">
        <w:t>sed senior secondary enrolments</w:t>
      </w:r>
      <w:r w:rsidR="001D2694" w:rsidRPr="003F46ED">
        <w:t>,</w:t>
      </w:r>
      <w:r w:rsidR="00206674" w:rsidRPr="003F46ED">
        <w:t xml:space="preserve"> then </w:t>
      </w:r>
      <w:r w:rsidR="00C138A6" w:rsidRPr="003F46ED">
        <w:t xml:space="preserve">some </w:t>
      </w:r>
      <w:r w:rsidR="00206674" w:rsidRPr="003F46ED">
        <w:t>revision of senior secondary structures</w:t>
      </w:r>
      <w:r w:rsidR="00C138A6" w:rsidRPr="003F46ED">
        <w:t xml:space="preserve"> will be necessary.</w:t>
      </w:r>
      <w:bookmarkEnd w:id="346"/>
    </w:p>
    <w:p w14:paraId="16FFA5C6" w14:textId="77777777" w:rsidR="007B1D45" w:rsidRPr="003F46ED" w:rsidRDefault="008A5475" w:rsidP="00F536F8">
      <w:pPr>
        <w:pStyle w:val="Heading3"/>
      </w:pPr>
      <w:bookmarkStart w:id="347" w:name="_Toc273790541"/>
      <w:bookmarkStart w:id="348" w:name="_Toc402180548"/>
      <w:r w:rsidRPr="003F46ED">
        <w:t>Who typically studies languages at senior secondary in Australia?</w:t>
      </w:r>
      <w:bookmarkEnd w:id="347"/>
      <w:bookmarkEnd w:id="348"/>
    </w:p>
    <w:p w14:paraId="2BE20369" w14:textId="77777777" w:rsidR="007B1D45" w:rsidRPr="003F46ED" w:rsidRDefault="0019640F" w:rsidP="00B30583">
      <w:bookmarkStart w:id="349" w:name="_Toc402180549"/>
      <w:r w:rsidRPr="003F46ED">
        <w:t xml:space="preserve">The ACER report </w:t>
      </w:r>
      <w:r w:rsidRPr="003F46ED">
        <w:rPr>
          <w:i/>
        </w:rPr>
        <w:t xml:space="preserve">Subject Choice by Students in Year 12 in Australian Secondary Schools </w:t>
      </w:r>
      <w:r w:rsidRPr="003F46ED">
        <w:t xml:space="preserve">(Fullarton &amp; </w:t>
      </w:r>
      <w:proofErr w:type="spellStart"/>
      <w:r w:rsidRPr="003F46ED">
        <w:t>Ainley</w:t>
      </w:r>
      <w:proofErr w:type="spellEnd"/>
      <w:r w:rsidRPr="003F46ED">
        <w:t>, 2000) was part of the Longitudinal Surveys of Australian Yo</w:t>
      </w:r>
      <w:r w:rsidR="0058688E" w:rsidRPr="003F46ED">
        <w:t>uth (</w:t>
      </w:r>
      <w:proofErr w:type="spellStart"/>
      <w:r w:rsidR="0058688E" w:rsidRPr="003F46ED">
        <w:t>LSAY</w:t>
      </w:r>
      <w:proofErr w:type="spellEnd"/>
      <w:r w:rsidR="0058688E" w:rsidRPr="003F46ED">
        <w:t xml:space="preserve">), a research </w:t>
      </w:r>
      <w:r w:rsidR="000B44EA" w:rsidRPr="003F46ED">
        <w:t>programme</w:t>
      </w:r>
      <w:r w:rsidRPr="003F46ED">
        <w:t xml:space="preserve"> managed by ACER and the Australian Government. It offers valuable information about the profile of Year 12 students enrolled in languages. The age of the</w:t>
      </w:r>
      <w:r w:rsidR="006301C5" w:rsidRPr="003F46ED">
        <w:t xml:space="preserve"> report</w:t>
      </w:r>
      <w:r w:rsidRPr="003F46ED">
        <w:t xml:space="preserve">, however, </w:t>
      </w:r>
      <w:r w:rsidR="001F04C5" w:rsidRPr="003F46ED">
        <w:t>supports</w:t>
      </w:r>
      <w:r w:rsidRPr="003F46ED">
        <w:t xml:space="preserve"> the need for</w:t>
      </w:r>
      <w:r w:rsidR="009E5C0B" w:rsidRPr="003F46ED">
        <w:t xml:space="preserve"> nationally consistent and </w:t>
      </w:r>
      <w:r w:rsidR="003404FB" w:rsidRPr="003F46ED">
        <w:t>constant</w:t>
      </w:r>
      <w:r w:rsidRPr="003F46ED">
        <w:t xml:space="preserve"> data collection</w:t>
      </w:r>
      <w:r w:rsidR="003404FB" w:rsidRPr="003F46ED">
        <w:t>,</w:t>
      </w:r>
      <w:r w:rsidR="00475149" w:rsidRPr="003F46ED">
        <w:t xml:space="preserve"> both</w:t>
      </w:r>
      <w:r w:rsidRPr="003F46ED">
        <w:t xml:space="preserve"> </w:t>
      </w:r>
      <w:r w:rsidR="009E5C0B" w:rsidRPr="003F46ED">
        <w:t xml:space="preserve">to track developments in </w:t>
      </w:r>
      <w:r w:rsidR="0058199F" w:rsidRPr="003F46ED">
        <w:t>how</w:t>
      </w:r>
      <w:r w:rsidR="009E5C0B" w:rsidRPr="003F46ED">
        <w:t xml:space="preserve"> languages education</w:t>
      </w:r>
      <w:r w:rsidR="0058199F" w:rsidRPr="003F46ED">
        <w:t xml:space="preserve"> is provided and accessed in Australia</w:t>
      </w:r>
      <w:r w:rsidR="003404FB" w:rsidRPr="003F46ED">
        <w:t xml:space="preserve"> and to inform national improvement strategies</w:t>
      </w:r>
      <w:r w:rsidR="00AB333E" w:rsidRPr="003F46ED">
        <w:t xml:space="preserve"> for languages</w:t>
      </w:r>
      <w:r w:rsidR="003404FB" w:rsidRPr="003F46ED">
        <w:t>.</w:t>
      </w:r>
      <w:bookmarkEnd w:id="349"/>
    </w:p>
    <w:p w14:paraId="3C8F9D10" w14:textId="77777777" w:rsidR="007B1D45" w:rsidRPr="003F46ED" w:rsidRDefault="0019640F" w:rsidP="00B30583">
      <w:pPr>
        <w:rPr>
          <w:szCs w:val="22"/>
        </w:rPr>
      </w:pPr>
      <w:bookmarkStart w:id="350" w:name="_Toc402180550"/>
      <w:r w:rsidRPr="003F46ED">
        <w:rPr>
          <w:szCs w:val="22"/>
        </w:rPr>
        <w:t>Based on the report, the typical Year 12 student of languages is most likely</w:t>
      </w:r>
      <w:r w:rsidR="008274D5" w:rsidRPr="003F46ED">
        <w:rPr>
          <w:szCs w:val="22"/>
        </w:rPr>
        <w:t xml:space="preserve">: </w:t>
      </w:r>
      <w:r w:rsidRPr="003F46ED">
        <w:t>female</w:t>
      </w:r>
      <w:r w:rsidR="008274D5" w:rsidRPr="003F46ED">
        <w:t xml:space="preserve">; </w:t>
      </w:r>
      <w:r w:rsidRPr="003F46ED">
        <w:t xml:space="preserve">of high </w:t>
      </w:r>
      <w:r w:rsidR="00E25D08" w:rsidRPr="003F46ED">
        <w:t>socio-economic status (</w:t>
      </w:r>
      <w:r w:rsidRPr="003F46ED">
        <w:t>SES</w:t>
      </w:r>
      <w:r w:rsidR="00E25D08" w:rsidRPr="003F46ED">
        <w:t>)</w:t>
      </w:r>
      <w:r w:rsidR="008274D5" w:rsidRPr="003F46ED">
        <w:t xml:space="preserve">; </w:t>
      </w:r>
      <w:r w:rsidR="0095654A" w:rsidRPr="003F46ED">
        <w:t>to have</w:t>
      </w:r>
      <w:r w:rsidRPr="003F46ED">
        <w:t xml:space="preserve"> parents born overseas (non-English speaking country)</w:t>
      </w:r>
      <w:r w:rsidR="008274D5" w:rsidRPr="003F46ED">
        <w:t xml:space="preserve">; </w:t>
      </w:r>
      <w:r w:rsidR="0095654A" w:rsidRPr="003F46ED">
        <w:t>to</w:t>
      </w:r>
      <w:r w:rsidR="0056247B" w:rsidRPr="003F46ED">
        <w:t xml:space="preserve"> be</w:t>
      </w:r>
      <w:r w:rsidRPr="003F46ED">
        <w:t xml:space="preserve"> </w:t>
      </w:r>
      <w:r w:rsidR="0095654A" w:rsidRPr="003F46ED">
        <w:t>excel</w:t>
      </w:r>
      <w:r w:rsidR="0056247B" w:rsidRPr="003F46ED">
        <w:t>ling</w:t>
      </w:r>
      <w:r w:rsidR="00945AA9" w:rsidRPr="003F46ED">
        <w:t xml:space="preserve"> in numeracy and literacy or be a </w:t>
      </w:r>
      <w:r w:rsidRPr="003F46ED">
        <w:t>hig</w:t>
      </w:r>
      <w:r w:rsidR="00945AA9" w:rsidRPr="003F46ED">
        <w:t>h academic achiever in general (see also Fullarton et al., 2003)</w:t>
      </w:r>
      <w:r w:rsidR="008274D5" w:rsidRPr="003F46ED">
        <w:t xml:space="preserve">; </w:t>
      </w:r>
      <w:r w:rsidR="0056247B" w:rsidRPr="003F46ED">
        <w:t xml:space="preserve">to be </w:t>
      </w:r>
      <w:r w:rsidRPr="003F46ED">
        <w:t>attending an Independent school in a capital city.</w:t>
      </w:r>
      <w:bookmarkEnd w:id="350"/>
      <w:r w:rsidRPr="003F46ED">
        <w:t xml:space="preserve"> </w:t>
      </w:r>
    </w:p>
    <w:p w14:paraId="664847C8" w14:textId="77777777" w:rsidR="007B1D45" w:rsidRPr="003F46ED" w:rsidRDefault="0019640F" w:rsidP="00B30583">
      <w:bookmarkStart w:id="351" w:name="_Toc402180551"/>
      <w:r w:rsidRPr="003F46ED">
        <w:t>While this obse</w:t>
      </w:r>
      <w:r w:rsidR="0082458A" w:rsidRPr="003F46ED">
        <w:t>rvation is based on data that are</w:t>
      </w:r>
      <w:r w:rsidRPr="003F46ED">
        <w:t xml:space="preserve"> 16 years old</w:t>
      </w:r>
      <w:r w:rsidR="00863B53" w:rsidRPr="003F46ED">
        <w:t xml:space="preserve"> (from 1998)</w:t>
      </w:r>
      <w:r w:rsidRPr="003F46ED">
        <w:t xml:space="preserve">, there have been </w:t>
      </w:r>
      <w:r w:rsidR="008F7926" w:rsidRPr="003F46ED">
        <w:t>few</w:t>
      </w:r>
      <w:r w:rsidRPr="003F46ED">
        <w:t xml:space="preserve"> significant shifts</w:t>
      </w:r>
      <w:r w:rsidR="002359FD" w:rsidRPr="003F46ED">
        <w:t xml:space="preserve"> over this time in the </w:t>
      </w:r>
      <w:r w:rsidR="0077129C" w:rsidRPr="003F46ED">
        <w:t>typical</w:t>
      </w:r>
      <w:r w:rsidR="002359FD" w:rsidRPr="003F46ED">
        <w:t xml:space="preserve"> profile of a Year 12 </w:t>
      </w:r>
      <w:r w:rsidR="00137820" w:rsidRPr="003F46ED">
        <w:t xml:space="preserve">language </w:t>
      </w:r>
      <w:r w:rsidR="002359FD" w:rsidRPr="003F46ED">
        <w:t xml:space="preserve">student </w:t>
      </w:r>
      <w:r w:rsidRPr="003F46ED">
        <w:t xml:space="preserve">(see, for example, survey findings for this research in Attachment 2). </w:t>
      </w:r>
      <w:r w:rsidR="004B1E0A" w:rsidRPr="003F46ED">
        <w:t xml:space="preserve">However, based on the </w:t>
      </w:r>
      <w:r w:rsidR="004B1E0A" w:rsidRPr="003F46ED">
        <w:rPr>
          <w:i/>
        </w:rPr>
        <w:t>National Report on Schooling 2010</w:t>
      </w:r>
      <w:r w:rsidR="004B1E0A" w:rsidRPr="003F46ED">
        <w:t>, the proportion of males</w:t>
      </w:r>
      <w:r w:rsidR="00E4285B" w:rsidRPr="003F46ED">
        <w:t xml:space="preserve"> studying a language in Year 12 has improved</w:t>
      </w:r>
      <w:r w:rsidR="00745B1F" w:rsidRPr="003F46ED">
        <w:t>:</w:t>
      </w:r>
      <w:r w:rsidR="00CF7172" w:rsidRPr="003F46ED">
        <w:t xml:space="preserve"> </w:t>
      </w:r>
      <w:r w:rsidR="00E4285B" w:rsidRPr="003F46ED">
        <w:t>nine per cent male and 14 per cent female</w:t>
      </w:r>
      <w:r w:rsidR="00EF1321" w:rsidRPr="003F46ED">
        <w:t xml:space="preserve"> (Australian Curriculum Assessment and Reporting Authority [ACARA], </w:t>
      </w:r>
      <w:r w:rsidR="00427D2E" w:rsidRPr="003F46ED">
        <w:t>2014)</w:t>
      </w:r>
      <w:r w:rsidR="00CF7172" w:rsidRPr="003F46ED">
        <w:t>.</w:t>
      </w:r>
      <w:bookmarkEnd w:id="351"/>
    </w:p>
    <w:p w14:paraId="7D5A70E3" w14:textId="77777777" w:rsidR="007B1D45" w:rsidRPr="003F46ED" w:rsidRDefault="00C9768D" w:rsidP="00E22FCF">
      <w:pPr>
        <w:pStyle w:val="Heading2"/>
      </w:pPr>
      <w:bookmarkStart w:id="352" w:name="_Toc273790542"/>
      <w:bookmarkStart w:id="353" w:name="_Toc402180569"/>
      <w:bookmarkStart w:id="354" w:name="_Toc276245093"/>
      <w:bookmarkStart w:id="355" w:name="_Toc445305263"/>
      <w:r w:rsidRPr="003F46ED">
        <w:t>L</w:t>
      </w:r>
      <w:r w:rsidR="00D844E5" w:rsidRPr="003F46ED">
        <w:t>anguages education in Australia</w:t>
      </w:r>
      <w:bookmarkEnd w:id="352"/>
      <w:bookmarkEnd w:id="353"/>
      <w:bookmarkEnd w:id="354"/>
      <w:bookmarkEnd w:id="355"/>
    </w:p>
    <w:p w14:paraId="54786F71" w14:textId="7DF6BA6A" w:rsidR="0056287E" w:rsidRPr="003F46ED" w:rsidRDefault="0056287E" w:rsidP="00B30583">
      <w:bookmarkStart w:id="356" w:name="_Toc402180570"/>
      <w:r w:rsidRPr="003F46ED">
        <w:t>Despite Australia’s widely acknowledged ethno-linguistic diversity, the reality is that 77 per cent of Australians speak only English at home</w:t>
      </w:r>
      <w:r w:rsidR="00713CDA" w:rsidRPr="003F46ED">
        <w:t xml:space="preserve"> (Australian Bureau of Statistics</w:t>
      </w:r>
      <w:r w:rsidR="00BB3CB3" w:rsidRPr="003F46ED">
        <w:t xml:space="preserve"> [ABS], 2012)</w:t>
      </w:r>
      <w:r w:rsidRPr="003F46ED">
        <w:t xml:space="preserve">. As a nation, the challenge </w:t>
      </w:r>
      <w:r w:rsidR="004536DD" w:rsidRPr="003F46ED">
        <w:t xml:space="preserve">to </w:t>
      </w:r>
      <w:r w:rsidR="00865D58" w:rsidRPr="003F46ED">
        <w:t xml:space="preserve">realise a more </w:t>
      </w:r>
      <w:r w:rsidR="00694930" w:rsidRPr="003F46ED">
        <w:t>multilingual</w:t>
      </w:r>
      <w:r w:rsidR="00865D58" w:rsidRPr="003F46ED">
        <w:t xml:space="preserve"> Australia</w:t>
      </w:r>
      <w:r w:rsidR="004536DD" w:rsidRPr="003F46ED">
        <w:t xml:space="preserve"> </w:t>
      </w:r>
      <w:r w:rsidR="005657B6" w:rsidRPr="003F46ED">
        <w:t>is two-fold.</w:t>
      </w:r>
      <w:bookmarkEnd w:id="356"/>
    </w:p>
    <w:p w14:paraId="2B58154C" w14:textId="77777777" w:rsidR="0056287E" w:rsidRPr="003F46ED" w:rsidRDefault="005657B6" w:rsidP="00F666F6">
      <w:pPr>
        <w:pStyle w:val="ListParagraph"/>
        <w:numPr>
          <w:ilvl w:val="0"/>
          <w:numId w:val="40"/>
        </w:numPr>
      </w:pPr>
      <w:bookmarkStart w:id="357" w:name="_Toc402180571"/>
      <w:r w:rsidRPr="003F46ED">
        <w:t>F</w:t>
      </w:r>
      <w:r w:rsidR="0056287E" w:rsidRPr="003F46ED">
        <w:t>or the majority of Australian students, it is about embracing the value and utility of learning a second language</w:t>
      </w:r>
      <w:r w:rsidRPr="003F46ED">
        <w:t>.</w:t>
      </w:r>
      <w:bookmarkEnd w:id="357"/>
    </w:p>
    <w:p w14:paraId="33C7756D" w14:textId="77777777" w:rsidR="007B1D45" w:rsidRPr="003F46ED" w:rsidRDefault="005657B6" w:rsidP="00F666F6">
      <w:pPr>
        <w:pStyle w:val="ListParagraph"/>
        <w:numPr>
          <w:ilvl w:val="0"/>
          <w:numId w:val="40"/>
        </w:numPr>
      </w:pPr>
      <w:bookmarkStart w:id="358" w:name="_Toc402180572"/>
      <w:r w:rsidRPr="003F46ED">
        <w:t>F</w:t>
      </w:r>
      <w:r w:rsidR="0056287E" w:rsidRPr="003F46ED">
        <w:t>or the remainder, it is about recognising and valuing the</w:t>
      </w:r>
      <w:r w:rsidR="00C93438" w:rsidRPr="003F46ED">
        <w:t xml:space="preserve"> diverse</w:t>
      </w:r>
      <w:r w:rsidR="0056287E" w:rsidRPr="003F46ED">
        <w:t xml:space="preserve"> linguistic capital </w:t>
      </w:r>
      <w:r w:rsidR="00694930" w:rsidRPr="003F46ED">
        <w:t xml:space="preserve">linguists </w:t>
      </w:r>
      <w:r w:rsidR="0056287E" w:rsidRPr="003F46ED">
        <w:t>bring to education</w:t>
      </w:r>
      <w:r w:rsidR="00C93438" w:rsidRPr="003F46ED">
        <w:t xml:space="preserve"> specifically and to society as a whole</w:t>
      </w:r>
      <w:r w:rsidR="0056287E" w:rsidRPr="003F46ED">
        <w:t>.</w:t>
      </w:r>
      <w:bookmarkEnd w:id="358"/>
    </w:p>
    <w:p w14:paraId="7A1E535A" w14:textId="77777777" w:rsidR="007B1D45" w:rsidRPr="003F46ED" w:rsidRDefault="0056287E" w:rsidP="00B30583">
      <w:bookmarkStart w:id="359" w:name="_Toc402180573"/>
      <w:r w:rsidRPr="003F46ED">
        <w:t xml:space="preserve">The dissonance between Australia’s ethno-linguistic diversity and monolingual (English-speaking) majority needs to be reconciled through an inclusive </w:t>
      </w:r>
      <w:r w:rsidR="004D1837" w:rsidRPr="003F46ED">
        <w:t xml:space="preserve">argument </w:t>
      </w:r>
      <w:r w:rsidRPr="003F46ED">
        <w:t xml:space="preserve">for languages </w:t>
      </w:r>
      <w:r w:rsidR="00C601C0" w:rsidRPr="003F46ED">
        <w:t xml:space="preserve">and languages education: one that recognises </w:t>
      </w:r>
      <w:r w:rsidR="001D49CA" w:rsidRPr="003F46ED">
        <w:t xml:space="preserve">as valuable </w:t>
      </w:r>
      <w:r w:rsidR="00E706BC" w:rsidRPr="003F46ED">
        <w:t xml:space="preserve">and useful </w:t>
      </w:r>
      <w:r w:rsidR="00C601C0" w:rsidRPr="003F46ED">
        <w:rPr>
          <w:i/>
        </w:rPr>
        <w:t>both</w:t>
      </w:r>
      <w:r w:rsidR="008B570E" w:rsidRPr="003F46ED">
        <w:t xml:space="preserve"> </w:t>
      </w:r>
      <w:r w:rsidR="00C601C0" w:rsidRPr="003F46ED">
        <w:t xml:space="preserve">learning </w:t>
      </w:r>
      <w:r w:rsidR="008B570E" w:rsidRPr="003F46ED">
        <w:t>an additional language</w:t>
      </w:r>
      <w:r w:rsidR="00C601C0" w:rsidRPr="003F46ED">
        <w:t xml:space="preserve"> </w:t>
      </w:r>
      <w:r w:rsidR="00C601C0" w:rsidRPr="003F46ED">
        <w:rPr>
          <w:i/>
        </w:rPr>
        <w:t>and</w:t>
      </w:r>
      <w:r w:rsidR="008B570E" w:rsidRPr="003F46ED">
        <w:t xml:space="preserve"> </w:t>
      </w:r>
      <w:r w:rsidR="00C601C0" w:rsidRPr="003F46ED">
        <w:t>learning a language to maintain one’s l</w:t>
      </w:r>
      <w:r w:rsidR="008B570E" w:rsidRPr="003F46ED">
        <w:t>inguistic and cultural heritage</w:t>
      </w:r>
      <w:r w:rsidR="00C601C0" w:rsidRPr="003F46ED">
        <w:t>.</w:t>
      </w:r>
      <w:bookmarkEnd w:id="359"/>
    </w:p>
    <w:p w14:paraId="1488DD83" w14:textId="77777777" w:rsidR="007B1D45" w:rsidRPr="003F46ED" w:rsidRDefault="00357409" w:rsidP="00B30583">
      <w:bookmarkStart w:id="360" w:name="_Toc402180574"/>
      <w:r w:rsidRPr="003F46ED">
        <w:t xml:space="preserve">The data in </w:t>
      </w:r>
      <w:r w:rsidR="00983414" w:rsidRPr="003F46ED">
        <w:t>Figure</w:t>
      </w:r>
      <w:r w:rsidR="0056287E" w:rsidRPr="003F46ED">
        <w:t xml:space="preserve"> </w:t>
      </w:r>
      <w:r w:rsidR="00A42749" w:rsidRPr="003F46ED">
        <w:t>3</w:t>
      </w:r>
      <w:r w:rsidR="00AB3287" w:rsidRPr="003F46ED">
        <w:t>.1</w:t>
      </w:r>
      <w:r w:rsidR="00983414" w:rsidRPr="003F46ED">
        <w:t xml:space="preserve"> </w:t>
      </w:r>
      <w:r w:rsidR="0056287E" w:rsidRPr="003F46ED">
        <w:t>reinforce</w:t>
      </w:r>
      <w:r w:rsidR="007B4357" w:rsidRPr="003F46ED">
        <w:t>s</w:t>
      </w:r>
      <w:r w:rsidR="0056287E" w:rsidRPr="003F46ED">
        <w:t xml:space="preserve"> that equity of sociolinguistic experience is impossible, but </w:t>
      </w:r>
      <w:r w:rsidR="000C79B3" w:rsidRPr="003F46ED">
        <w:t xml:space="preserve">the </w:t>
      </w:r>
      <w:r w:rsidR="0056287E" w:rsidRPr="003F46ED">
        <w:t>education</w:t>
      </w:r>
      <w:r w:rsidR="000C79B3" w:rsidRPr="003F46ED">
        <w:t xml:space="preserve"> sector</w:t>
      </w:r>
      <w:r w:rsidR="0056287E" w:rsidRPr="003F46ED">
        <w:t xml:space="preserve"> can work to ensure that all students </w:t>
      </w:r>
      <w:r w:rsidR="00270A26" w:rsidRPr="003F46ED">
        <w:t>have</w:t>
      </w:r>
      <w:r w:rsidR="00CB516D" w:rsidRPr="003F46ED">
        <w:t xml:space="preserve"> </w:t>
      </w:r>
      <w:r w:rsidR="00270A26" w:rsidRPr="003F46ED">
        <w:t xml:space="preserve">the ability to </w:t>
      </w:r>
      <w:r w:rsidR="008A7AE9" w:rsidRPr="003F46ED">
        <w:t xml:space="preserve">access </w:t>
      </w:r>
      <w:r w:rsidR="0056287E" w:rsidRPr="003F46ED">
        <w:t>quality language learning experiences.</w:t>
      </w:r>
      <w:bookmarkEnd w:id="360"/>
    </w:p>
    <w:p w14:paraId="54439338" w14:textId="077C5608" w:rsidR="007B1D45" w:rsidRPr="00F74E23" w:rsidRDefault="006409CD" w:rsidP="00F74E23">
      <w:pPr>
        <w:pStyle w:val="Caption"/>
        <w:rPr>
          <w:b/>
        </w:rPr>
      </w:pPr>
      <w:bookmarkStart w:id="361" w:name="_Toc402180576"/>
      <w:r w:rsidRPr="00F74E23" w:rsidDel="002F1F7E">
        <w:rPr>
          <w:b/>
        </w:rPr>
        <w:lastRenderedPageBreak/>
        <w:t>Figure 3</w:t>
      </w:r>
      <w:r w:rsidR="006229B2" w:rsidRPr="00F74E23" w:rsidDel="002F1F7E">
        <w:rPr>
          <w:b/>
        </w:rPr>
        <w:t>.</w:t>
      </w:r>
      <w:r w:rsidR="003F3D5A" w:rsidRPr="00F74E23">
        <w:rPr>
          <w:b/>
        </w:rPr>
        <w:t>1</w:t>
      </w:r>
      <w:r w:rsidR="000E0CF0" w:rsidRPr="00F74E23" w:rsidDel="002F1F7E">
        <w:rPr>
          <w:b/>
        </w:rPr>
        <w:t>: People speaking English only at home in Australia (Source: ABS, 2011)</w:t>
      </w:r>
      <w:bookmarkEnd w:id="361"/>
    </w:p>
    <w:p w14:paraId="0EBD52D7" w14:textId="77777777" w:rsidR="00527947" w:rsidRPr="003F46ED" w:rsidRDefault="00527947" w:rsidP="00B30583">
      <w:bookmarkStart w:id="362" w:name="_Toc402180575"/>
      <w:bookmarkStart w:id="363" w:name="_Toc402180577"/>
      <w:r w:rsidRPr="003F46ED">
        <w:rPr>
          <w:noProof/>
          <w:lang w:eastAsia="en-AU"/>
        </w:rPr>
        <w:drawing>
          <wp:inline distT="0" distB="0" distL="0" distR="0" wp14:anchorId="3438CA04" wp14:editId="01AAC111">
            <wp:extent cx="4312920" cy="3395963"/>
            <wp:effectExtent l="0" t="0" r="0" b="0"/>
            <wp:docPr id="23" name="Content Placeholder 2" descr="Figure 3.1 is a map of Australia showing the national spread between states and territories of people speaking English at home sourced from the Australian Bureau of Statistics 2011. The image shows the population on the east coast of Australia as having a high proportion of English speaking only at home with the variance between 87.25 percent and 95.11 per cent. The west coast shows a variance of between 41.11 per cent and 87.25 percent, whilst the metro areas of Perth show a variance  between 87.25 per cent and 95.11 percent speaking English at home. Central Australia shows a variance of between 41.11 per cent and 87.25 percent.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Content Placeholder 2"/>
                    <pic:cNvPicPr>
                      <a:picLocks noGrp="1"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4313033" cy="3396052"/>
                    </a:xfrm>
                    <a:prstGeom prst="rect">
                      <a:avLst/>
                    </a:prstGeom>
                  </pic:spPr>
                </pic:pic>
              </a:graphicData>
            </a:graphic>
          </wp:inline>
        </w:drawing>
      </w:r>
      <w:bookmarkEnd w:id="362"/>
    </w:p>
    <w:p w14:paraId="5604662C" w14:textId="101FB549" w:rsidR="007B1D45" w:rsidRPr="003F46ED" w:rsidRDefault="00C27525" w:rsidP="00527947">
      <w:pPr>
        <w:pStyle w:val="Heading3"/>
      </w:pPr>
      <w:r w:rsidRPr="003F46ED">
        <w:t>Current policies and policy positions related to languages education in jurisdictions</w:t>
      </w:r>
      <w:bookmarkEnd w:id="363"/>
    </w:p>
    <w:p w14:paraId="37710B91" w14:textId="77777777" w:rsidR="007B1D45" w:rsidRPr="003F46ED" w:rsidRDefault="00C44EFA" w:rsidP="00B30583">
      <w:bookmarkStart w:id="364" w:name="_Toc402180578"/>
      <w:r w:rsidRPr="003F46ED">
        <w:t>The following analysis of the current state of languages education in Australia</w:t>
      </w:r>
      <w:r w:rsidR="0072081D" w:rsidRPr="003F46ED">
        <w:t xml:space="preserve"> – </w:t>
      </w:r>
      <w:r w:rsidRPr="003F46ED">
        <w:t>including international perspectives where relevant</w:t>
      </w:r>
      <w:r w:rsidR="0072081D" w:rsidRPr="003F46ED">
        <w:t xml:space="preserve"> – </w:t>
      </w:r>
      <w:r w:rsidRPr="003F46ED">
        <w:t xml:space="preserve">has been adapted from the ‘Policy and literature review’ conducted by Dr Michelle Kohler and Dr Timothy Curnow of the Research Centre for Languages and Cultures, University of South Australia. The full version of the review </w:t>
      </w:r>
      <w:r w:rsidR="006D7DEC" w:rsidRPr="003F46ED">
        <w:t xml:space="preserve">has been included in this report as </w:t>
      </w:r>
      <w:r w:rsidRPr="003F46ED">
        <w:t>Attachment 1.</w:t>
      </w:r>
      <w:bookmarkEnd w:id="364"/>
    </w:p>
    <w:p w14:paraId="195D8DE8" w14:textId="01D08453" w:rsidR="0015468F" w:rsidRPr="003F46ED" w:rsidRDefault="003F3D5A" w:rsidP="00B30583">
      <w:pPr>
        <w:sectPr w:rsidR="0015468F" w:rsidRPr="003F46ED" w:rsidSect="00A734C7">
          <w:type w:val="continuous"/>
          <w:pgSz w:w="11900" w:h="16840"/>
          <w:pgMar w:top="1985" w:right="1134" w:bottom="1440" w:left="1134" w:header="709" w:footer="709" w:gutter="0"/>
          <w:cols w:space="720"/>
          <w:docGrid w:linePitch="299"/>
        </w:sectPr>
      </w:pPr>
      <w:bookmarkStart w:id="365" w:name="_Toc402180579"/>
      <w:r w:rsidRPr="003F46ED">
        <w:t>A</w:t>
      </w:r>
      <w:r w:rsidR="00377BB7" w:rsidRPr="003F46ED">
        <w:t xml:space="preserve">n overview of the current state of policies and policy positions related </w:t>
      </w:r>
      <w:r w:rsidR="00AA1FDA" w:rsidRPr="003F46ED">
        <w:t>to languages education in state and territory jurisdictions</w:t>
      </w:r>
      <w:r w:rsidRPr="003F46ED">
        <w:t xml:space="preserve"> in provided in Table 3.2</w:t>
      </w:r>
      <w:r w:rsidR="00377BB7" w:rsidRPr="003F46ED">
        <w:t xml:space="preserve">. It is </w:t>
      </w:r>
      <w:r w:rsidR="008C512C" w:rsidRPr="003F46ED">
        <w:t xml:space="preserve">followed by discussion of </w:t>
      </w:r>
      <w:r w:rsidR="00377BB7" w:rsidRPr="003F46ED">
        <w:t>key features and implications vis-à-vis the issue</w:t>
      </w:r>
      <w:r w:rsidR="00D36515" w:rsidRPr="003F46ED">
        <w:t>s</w:t>
      </w:r>
      <w:r w:rsidR="00377BB7" w:rsidRPr="003F46ED">
        <w:t xml:space="preserve"> of student retention and engagement in languages </w:t>
      </w:r>
      <w:r w:rsidR="00844067" w:rsidRPr="003F46ED">
        <w:t xml:space="preserve">through </w:t>
      </w:r>
      <w:r w:rsidR="00377BB7" w:rsidRPr="003F46ED">
        <w:t>to the senior secondary years.</w:t>
      </w:r>
      <w:bookmarkEnd w:id="365"/>
    </w:p>
    <w:p w14:paraId="2A2BA028" w14:textId="77777777" w:rsidR="00E45E3A" w:rsidRPr="00F74E23" w:rsidRDefault="00E45E3A" w:rsidP="00BA49C9">
      <w:pPr>
        <w:pStyle w:val="Caption"/>
        <w:rPr>
          <w:b/>
        </w:rPr>
      </w:pPr>
      <w:r w:rsidRPr="00F74E23">
        <w:rPr>
          <w:b/>
        </w:rPr>
        <w:lastRenderedPageBreak/>
        <w:t>Table 3.1: Current policies related to language learning in government schools according to each state and territory: Entry to Year 10</w:t>
      </w:r>
    </w:p>
    <w:p w14:paraId="66ABE44A" w14:textId="77777777" w:rsidR="00E45E3A" w:rsidRPr="00F74E23" w:rsidRDefault="00E45E3A" w:rsidP="00F74E23">
      <w:pPr>
        <w:spacing w:after="0"/>
        <w:rPr>
          <w:b/>
        </w:rPr>
      </w:pPr>
      <w:r w:rsidRPr="00F74E23">
        <w:rPr>
          <w:b/>
        </w:rPr>
        <w:t>Australian Capital Territory (As advised and/or verified by the ACT Education and Training Directorate)</w:t>
      </w:r>
    </w:p>
    <w:tbl>
      <w:tblPr>
        <w:tblStyle w:val="TableGrid"/>
        <w:tblW w:w="5000" w:type="pct"/>
        <w:tblLook w:val="04A0" w:firstRow="1" w:lastRow="0" w:firstColumn="1" w:lastColumn="0" w:noHBand="0" w:noVBand="1"/>
      </w:tblPr>
      <w:tblGrid>
        <w:gridCol w:w="3033"/>
        <w:gridCol w:w="4085"/>
        <w:gridCol w:w="4210"/>
        <w:gridCol w:w="2297"/>
      </w:tblGrid>
      <w:tr w:rsidR="00E45E3A" w:rsidRPr="00A951BB" w14:paraId="47C107EB" w14:textId="77777777" w:rsidTr="004866BD">
        <w:trPr>
          <w:cantSplit/>
          <w:tblHeader/>
        </w:trPr>
        <w:tc>
          <w:tcPr>
            <w:tcW w:w="1113" w:type="pct"/>
            <w:shd w:val="clear" w:color="auto" w:fill="000000" w:themeFill="text1"/>
          </w:tcPr>
          <w:p w14:paraId="6B61C8D7" w14:textId="77777777" w:rsidR="00E45E3A" w:rsidRPr="00A951BB" w:rsidRDefault="00E45E3A" w:rsidP="007D0385">
            <w:pPr>
              <w:rPr>
                <w:b/>
                <w:sz w:val="20"/>
                <w:szCs w:val="20"/>
              </w:rPr>
            </w:pPr>
            <w:r w:rsidRPr="00A951BB">
              <w:rPr>
                <w:b/>
                <w:sz w:val="20"/>
                <w:szCs w:val="20"/>
              </w:rPr>
              <w:t>Title of Policy</w:t>
            </w:r>
          </w:p>
        </w:tc>
        <w:tc>
          <w:tcPr>
            <w:tcW w:w="1499" w:type="pct"/>
            <w:shd w:val="clear" w:color="auto" w:fill="000000" w:themeFill="text1"/>
          </w:tcPr>
          <w:p w14:paraId="2162D7C5" w14:textId="77777777" w:rsidR="00E45E3A" w:rsidRPr="00A951BB" w:rsidRDefault="00E45E3A" w:rsidP="007D0385">
            <w:pPr>
              <w:rPr>
                <w:b/>
                <w:sz w:val="20"/>
                <w:szCs w:val="20"/>
              </w:rPr>
            </w:pPr>
            <w:r w:rsidRPr="00A951BB">
              <w:rPr>
                <w:b/>
                <w:sz w:val="20"/>
                <w:szCs w:val="20"/>
              </w:rPr>
              <w:t>Stated Purpose</w:t>
            </w:r>
          </w:p>
        </w:tc>
        <w:tc>
          <w:tcPr>
            <w:tcW w:w="1545" w:type="pct"/>
            <w:shd w:val="clear" w:color="auto" w:fill="000000" w:themeFill="text1"/>
          </w:tcPr>
          <w:p w14:paraId="67FC5730" w14:textId="77777777" w:rsidR="00E45E3A" w:rsidRPr="00A951BB" w:rsidRDefault="00E45E3A" w:rsidP="007D0385">
            <w:pPr>
              <w:rPr>
                <w:b/>
                <w:sz w:val="20"/>
                <w:szCs w:val="20"/>
              </w:rPr>
            </w:pPr>
            <w:r w:rsidRPr="00A951BB">
              <w:rPr>
                <w:b/>
                <w:sz w:val="20"/>
                <w:szCs w:val="20"/>
              </w:rPr>
              <w:t>Implementation</w:t>
            </w:r>
          </w:p>
        </w:tc>
        <w:tc>
          <w:tcPr>
            <w:tcW w:w="843" w:type="pct"/>
            <w:shd w:val="clear" w:color="auto" w:fill="000000" w:themeFill="text1"/>
          </w:tcPr>
          <w:p w14:paraId="56A9B63C" w14:textId="77777777" w:rsidR="00E45E3A" w:rsidRPr="00A951BB" w:rsidRDefault="00E45E3A" w:rsidP="007D0385">
            <w:pPr>
              <w:rPr>
                <w:b/>
                <w:sz w:val="20"/>
                <w:szCs w:val="20"/>
              </w:rPr>
            </w:pPr>
            <w:r w:rsidRPr="00A951BB">
              <w:rPr>
                <w:b/>
                <w:sz w:val="20"/>
                <w:szCs w:val="20"/>
              </w:rPr>
              <w:t>Implications</w:t>
            </w:r>
          </w:p>
        </w:tc>
      </w:tr>
      <w:tr w:rsidR="00E45E3A" w:rsidRPr="00A951BB" w14:paraId="09EEF145" w14:textId="77777777" w:rsidTr="004866BD">
        <w:trPr>
          <w:cantSplit/>
        </w:trPr>
        <w:tc>
          <w:tcPr>
            <w:tcW w:w="1113" w:type="pct"/>
          </w:tcPr>
          <w:p w14:paraId="5359A055" w14:textId="77777777" w:rsidR="00E45E3A" w:rsidRPr="00A951BB" w:rsidRDefault="00E45E3A" w:rsidP="007D0385">
            <w:pPr>
              <w:widowControl w:val="0"/>
              <w:autoSpaceDE w:val="0"/>
              <w:autoSpaceDN w:val="0"/>
              <w:adjustRightInd w:val="0"/>
              <w:spacing w:before="60" w:after="60"/>
              <w:ind w:right="-8"/>
              <w:rPr>
                <w:sz w:val="20"/>
                <w:szCs w:val="20"/>
              </w:rPr>
            </w:pPr>
            <w:r w:rsidRPr="00A951BB">
              <w:rPr>
                <w:sz w:val="20"/>
                <w:szCs w:val="20"/>
              </w:rPr>
              <w:t>ACT Government Community Services policy for Languages</w:t>
            </w:r>
          </w:p>
          <w:p w14:paraId="3068AE2D" w14:textId="77777777" w:rsidR="00E45E3A" w:rsidRPr="00A951BB" w:rsidRDefault="00E45E3A" w:rsidP="007D0385">
            <w:pPr>
              <w:rPr>
                <w:sz w:val="20"/>
                <w:szCs w:val="20"/>
              </w:rPr>
            </w:pPr>
            <w:r w:rsidRPr="00A951BB">
              <w:rPr>
                <w:i/>
                <w:sz w:val="20"/>
                <w:szCs w:val="20"/>
              </w:rPr>
              <w:t>Many Voices 2012–2016 Languages Policy</w:t>
            </w:r>
          </w:p>
        </w:tc>
        <w:tc>
          <w:tcPr>
            <w:tcW w:w="1499" w:type="pct"/>
          </w:tcPr>
          <w:p w14:paraId="3AEED142" w14:textId="77777777" w:rsidR="00E45E3A" w:rsidRPr="00A951BB" w:rsidRDefault="00E45E3A" w:rsidP="007D0385">
            <w:pPr>
              <w:widowControl w:val="0"/>
              <w:autoSpaceDE w:val="0"/>
              <w:autoSpaceDN w:val="0"/>
              <w:adjustRightInd w:val="0"/>
              <w:spacing w:before="60" w:after="60"/>
              <w:ind w:right="235"/>
              <w:rPr>
                <w:sz w:val="20"/>
                <w:szCs w:val="20"/>
              </w:rPr>
            </w:pPr>
            <w:r w:rsidRPr="00A951BB">
              <w:rPr>
                <w:b/>
                <w:sz w:val="20"/>
                <w:szCs w:val="20"/>
              </w:rPr>
              <w:t>Aim:</w:t>
            </w:r>
            <w:r w:rsidRPr="00A951BB">
              <w:rPr>
                <w:sz w:val="20"/>
                <w:szCs w:val="20"/>
              </w:rPr>
              <w:t xml:space="preserve"> to encourage </w:t>
            </w:r>
            <w:proofErr w:type="spellStart"/>
            <w:r w:rsidRPr="00A951BB">
              <w:rPr>
                <w:sz w:val="20"/>
                <w:szCs w:val="20"/>
              </w:rPr>
              <w:t>Canberrans</w:t>
            </w:r>
            <w:proofErr w:type="spellEnd"/>
            <w:r w:rsidRPr="00A951BB">
              <w:rPr>
                <w:sz w:val="20"/>
                <w:szCs w:val="20"/>
              </w:rPr>
              <w:t xml:space="preserve"> to learn and treasure languages other than English.</w:t>
            </w:r>
          </w:p>
          <w:p w14:paraId="76DEB3CE" w14:textId="77777777" w:rsidR="00E45E3A" w:rsidRPr="00A951BB" w:rsidRDefault="00E45E3A" w:rsidP="007D0385">
            <w:pPr>
              <w:rPr>
                <w:sz w:val="20"/>
                <w:szCs w:val="20"/>
              </w:rPr>
            </w:pPr>
            <w:r w:rsidRPr="00A951BB">
              <w:rPr>
                <w:b/>
                <w:sz w:val="20"/>
                <w:szCs w:val="20"/>
              </w:rPr>
              <w:t>Specific aims</w:t>
            </w:r>
            <w:r w:rsidRPr="00A951BB">
              <w:rPr>
                <w:sz w:val="20"/>
                <w:szCs w:val="20"/>
              </w:rPr>
              <w:t>: access to high quality language learning opportunities; enhance access, choice and continuity of language programmes in both the ACT public and community sectors; work with the ACT community languages sector to deliver sustainable language programmes and develop community understanding of languages education.</w:t>
            </w:r>
          </w:p>
        </w:tc>
        <w:tc>
          <w:tcPr>
            <w:tcW w:w="1545" w:type="pct"/>
          </w:tcPr>
          <w:p w14:paraId="58A4D614" w14:textId="77777777" w:rsidR="00E45E3A" w:rsidRPr="00A951BB" w:rsidRDefault="00E45E3A" w:rsidP="007D0385">
            <w:pPr>
              <w:widowControl w:val="0"/>
              <w:autoSpaceDE w:val="0"/>
              <w:autoSpaceDN w:val="0"/>
              <w:adjustRightInd w:val="0"/>
              <w:ind w:right="-4366"/>
              <w:jc w:val="both"/>
              <w:rPr>
                <w:color w:val="000000"/>
                <w:sz w:val="20"/>
                <w:szCs w:val="20"/>
                <w:shd w:val="clear" w:color="auto" w:fill="FFFFFF"/>
              </w:rPr>
            </w:pPr>
            <w:r w:rsidRPr="00A951BB">
              <w:rPr>
                <w:color w:val="000000"/>
                <w:sz w:val="20"/>
                <w:szCs w:val="20"/>
                <w:shd w:val="clear" w:color="auto" w:fill="FFFFFF"/>
              </w:rPr>
              <w:t>Support strategies include:</w:t>
            </w:r>
          </w:p>
          <w:p w14:paraId="46B59ADA" w14:textId="77777777" w:rsidR="00E45E3A" w:rsidRPr="00A951BB" w:rsidRDefault="00E45E3A" w:rsidP="00E45E3A">
            <w:pPr>
              <w:widowControl w:val="0"/>
              <w:numPr>
                <w:ilvl w:val="0"/>
                <w:numId w:val="5"/>
              </w:numPr>
              <w:autoSpaceDE w:val="0"/>
              <w:autoSpaceDN w:val="0"/>
              <w:adjustRightInd w:val="0"/>
              <w:spacing w:after="0" w:line="276" w:lineRule="auto"/>
              <w:ind w:left="399" w:right="-4366" w:hanging="283"/>
              <w:contextualSpacing/>
              <w:jc w:val="both"/>
              <w:rPr>
                <w:sz w:val="20"/>
                <w:szCs w:val="20"/>
              </w:rPr>
            </w:pPr>
            <w:r w:rsidRPr="00A951BB">
              <w:rPr>
                <w:sz w:val="20"/>
                <w:szCs w:val="20"/>
              </w:rPr>
              <w:t>language assistants programme</w:t>
            </w:r>
          </w:p>
          <w:p w14:paraId="40027204" w14:textId="77777777" w:rsidR="00E45E3A" w:rsidRPr="00A951BB" w:rsidRDefault="00E45E3A" w:rsidP="00E45E3A">
            <w:pPr>
              <w:widowControl w:val="0"/>
              <w:numPr>
                <w:ilvl w:val="0"/>
                <w:numId w:val="5"/>
              </w:numPr>
              <w:autoSpaceDE w:val="0"/>
              <w:autoSpaceDN w:val="0"/>
              <w:adjustRightInd w:val="0"/>
              <w:spacing w:after="0" w:line="276" w:lineRule="auto"/>
              <w:ind w:left="399" w:right="-4366" w:hanging="283"/>
              <w:contextualSpacing/>
              <w:jc w:val="both"/>
              <w:rPr>
                <w:sz w:val="20"/>
                <w:szCs w:val="20"/>
              </w:rPr>
            </w:pPr>
            <w:r w:rsidRPr="00A951BB">
              <w:rPr>
                <w:sz w:val="20"/>
                <w:szCs w:val="20"/>
              </w:rPr>
              <w:t>professional learning for Community Language School teachers</w:t>
            </w:r>
          </w:p>
        </w:tc>
        <w:tc>
          <w:tcPr>
            <w:tcW w:w="843" w:type="pct"/>
          </w:tcPr>
          <w:p w14:paraId="38DCCE9B" w14:textId="77777777" w:rsidR="00E45E3A" w:rsidRPr="00A951BB" w:rsidRDefault="00E45E3A" w:rsidP="007D0385">
            <w:pPr>
              <w:rPr>
                <w:sz w:val="20"/>
                <w:szCs w:val="20"/>
              </w:rPr>
            </w:pPr>
          </w:p>
        </w:tc>
      </w:tr>
      <w:tr w:rsidR="00E45E3A" w:rsidRPr="00A951BB" w14:paraId="2D45764C" w14:textId="77777777" w:rsidTr="004866BD">
        <w:trPr>
          <w:cantSplit/>
        </w:trPr>
        <w:tc>
          <w:tcPr>
            <w:tcW w:w="1113" w:type="pct"/>
          </w:tcPr>
          <w:p w14:paraId="2EAA9931" w14:textId="77777777" w:rsidR="00E45E3A" w:rsidRPr="00A951BB" w:rsidRDefault="00E45E3A" w:rsidP="007D0385">
            <w:pPr>
              <w:spacing w:before="120" w:after="120"/>
              <w:rPr>
                <w:sz w:val="20"/>
                <w:szCs w:val="20"/>
              </w:rPr>
            </w:pPr>
            <w:r w:rsidRPr="00A951BB">
              <w:rPr>
                <w:sz w:val="20"/>
                <w:szCs w:val="20"/>
              </w:rPr>
              <w:t>Education Act 2004</w:t>
            </w:r>
          </w:p>
        </w:tc>
        <w:tc>
          <w:tcPr>
            <w:tcW w:w="1499" w:type="pct"/>
          </w:tcPr>
          <w:p w14:paraId="61C3BE52" w14:textId="77777777" w:rsidR="00E45E3A" w:rsidRPr="00A951BB" w:rsidRDefault="00E45E3A" w:rsidP="007D0385">
            <w:pPr>
              <w:rPr>
                <w:sz w:val="20"/>
                <w:szCs w:val="20"/>
              </w:rPr>
            </w:pPr>
            <w:r w:rsidRPr="00A951BB">
              <w:rPr>
                <w:sz w:val="20"/>
                <w:szCs w:val="20"/>
              </w:rPr>
              <w:t>The Education Act 2004 provides the legislative requirements for the provision of education within the ACT.</w:t>
            </w:r>
          </w:p>
        </w:tc>
        <w:tc>
          <w:tcPr>
            <w:tcW w:w="1545" w:type="pct"/>
          </w:tcPr>
          <w:p w14:paraId="2D69419B" w14:textId="77777777" w:rsidR="00E45E3A" w:rsidRPr="00A951BB" w:rsidRDefault="00E45E3A" w:rsidP="007D0385">
            <w:pPr>
              <w:rPr>
                <w:sz w:val="20"/>
                <w:szCs w:val="20"/>
              </w:rPr>
            </w:pPr>
          </w:p>
        </w:tc>
        <w:tc>
          <w:tcPr>
            <w:tcW w:w="843" w:type="pct"/>
          </w:tcPr>
          <w:p w14:paraId="3A06ADC7" w14:textId="77777777" w:rsidR="00E45E3A" w:rsidRPr="00A951BB" w:rsidRDefault="00E45E3A" w:rsidP="007D0385">
            <w:pPr>
              <w:rPr>
                <w:sz w:val="20"/>
                <w:szCs w:val="20"/>
              </w:rPr>
            </w:pPr>
          </w:p>
        </w:tc>
      </w:tr>
      <w:tr w:rsidR="00E45E3A" w:rsidRPr="00A951BB" w14:paraId="1E895F66" w14:textId="77777777" w:rsidTr="004866BD">
        <w:trPr>
          <w:cantSplit/>
        </w:trPr>
        <w:tc>
          <w:tcPr>
            <w:tcW w:w="1113" w:type="pct"/>
          </w:tcPr>
          <w:p w14:paraId="5CD814A1" w14:textId="77777777" w:rsidR="00E45E3A" w:rsidRPr="00A951BB" w:rsidRDefault="00E45E3A" w:rsidP="007D0385">
            <w:pPr>
              <w:spacing w:before="60" w:after="60"/>
              <w:rPr>
                <w:sz w:val="20"/>
                <w:szCs w:val="20"/>
              </w:rPr>
            </w:pPr>
            <w:r w:rsidRPr="00A951BB">
              <w:rPr>
                <w:i/>
                <w:iCs/>
                <w:sz w:val="20"/>
                <w:szCs w:val="20"/>
              </w:rPr>
              <w:lastRenderedPageBreak/>
              <w:t>Curriculum Requirements in ACT Public Schools, Preschool to Year 10</w:t>
            </w:r>
            <w:r w:rsidRPr="00A951BB">
              <w:rPr>
                <w:sz w:val="20"/>
                <w:szCs w:val="20"/>
              </w:rPr>
              <w:t xml:space="preserve"> (2009)</w:t>
            </w:r>
          </w:p>
          <w:p w14:paraId="689C4837" w14:textId="77777777" w:rsidR="00E45E3A" w:rsidRPr="00A951BB" w:rsidRDefault="00E45E3A" w:rsidP="007D0385">
            <w:pPr>
              <w:rPr>
                <w:sz w:val="20"/>
                <w:szCs w:val="20"/>
              </w:rPr>
            </w:pPr>
          </w:p>
        </w:tc>
        <w:tc>
          <w:tcPr>
            <w:tcW w:w="1499" w:type="pct"/>
          </w:tcPr>
          <w:p w14:paraId="4E8B5D1E" w14:textId="77777777" w:rsidR="00E45E3A" w:rsidRPr="00A951BB" w:rsidRDefault="00E45E3A" w:rsidP="007D0385">
            <w:pPr>
              <w:rPr>
                <w:sz w:val="20"/>
                <w:szCs w:val="20"/>
              </w:rPr>
            </w:pPr>
          </w:p>
        </w:tc>
        <w:tc>
          <w:tcPr>
            <w:tcW w:w="1545" w:type="pct"/>
          </w:tcPr>
          <w:p w14:paraId="53801A65" w14:textId="77777777" w:rsidR="00E45E3A" w:rsidRPr="00A951BB" w:rsidRDefault="00E45E3A" w:rsidP="007D0385">
            <w:pPr>
              <w:rPr>
                <w:sz w:val="20"/>
                <w:szCs w:val="20"/>
              </w:rPr>
            </w:pPr>
            <w:r w:rsidRPr="00A951BB">
              <w:rPr>
                <w:sz w:val="20"/>
                <w:szCs w:val="20"/>
              </w:rPr>
              <w:t xml:space="preserve">The </w:t>
            </w:r>
            <w:r w:rsidRPr="00A951BB">
              <w:rPr>
                <w:i/>
                <w:sz w:val="20"/>
                <w:szCs w:val="20"/>
              </w:rPr>
              <w:t xml:space="preserve">Curriculum Requirements in ACT Schools, Preschool to Year 10 </w:t>
            </w:r>
            <w:r w:rsidRPr="00A951BB">
              <w:rPr>
                <w:sz w:val="20"/>
                <w:szCs w:val="20"/>
              </w:rPr>
              <w:t>Policy</w:t>
            </w:r>
            <w:r w:rsidRPr="00A951BB">
              <w:rPr>
                <w:i/>
                <w:sz w:val="20"/>
                <w:szCs w:val="20"/>
              </w:rPr>
              <w:t xml:space="preserve"> </w:t>
            </w:r>
            <w:r w:rsidRPr="00A951BB">
              <w:rPr>
                <w:sz w:val="20"/>
                <w:szCs w:val="20"/>
              </w:rPr>
              <w:t>2009 states the minimum requirements for language programmes in ACT public schools as:</w:t>
            </w:r>
          </w:p>
          <w:p w14:paraId="74816E01" w14:textId="77777777" w:rsidR="00E45E3A" w:rsidRPr="00A951BB" w:rsidRDefault="00E45E3A" w:rsidP="007D0385">
            <w:pPr>
              <w:rPr>
                <w:i/>
                <w:sz w:val="20"/>
                <w:szCs w:val="20"/>
              </w:rPr>
            </w:pPr>
            <w:r w:rsidRPr="00A951BB">
              <w:rPr>
                <w:i/>
                <w:sz w:val="20"/>
                <w:szCs w:val="20"/>
              </w:rPr>
              <w:t>Schools have flexibility in how they implement their curriculum plans and deliver their teaching and learning programmes, provided that:</w:t>
            </w:r>
          </w:p>
          <w:p w14:paraId="246609FC" w14:textId="77777777" w:rsidR="00E45E3A" w:rsidRPr="00A951BB" w:rsidRDefault="00E45E3A" w:rsidP="00E45E3A">
            <w:pPr>
              <w:numPr>
                <w:ilvl w:val="0"/>
                <w:numId w:val="4"/>
              </w:numPr>
              <w:spacing w:after="0"/>
              <w:ind w:left="375" w:hanging="284"/>
              <w:rPr>
                <w:i/>
                <w:sz w:val="20"/>
                <w:szCs w:val="20"/>
              </w:rPr>
            </w:pPr>
            <w:r w:rsidRPr="00A951BB">
              <w:rPr>
                <w:sz w:val="20"/>
                <w:szCs w:val="20"/>
              </w:rPr>
              <w:t>e</w:t>
            </w:r>
            <w:r w:rsidRPr="00A951BB">
              <w:rPr>
                <w:i/>
                <w:sz w:val="20"/>
                <w:szCs w:val="20"/>
              </w:rPr>
              <w:t>ach year, from Years 3–6, schools provide a minimum of 60 minutes per week of language education in one of the eight priority languages</w:t>
            </w:r>
          </w:p>
          <w:p w14:paraId="7999D87E" w14:textId="77777777" w:rsidR="00E45E3A" w:rsidRPr="00A951BB" w:rsidRDefault="00E45E3A" w:rsidP="00E45E3A">
            <w:pPr>
              <w:numPr>
                <w:ilvl w:val="0"/>
                <w:numId w:val="4"/>
              </w:numPr>
              <w:spacing w:after="0"/>
              <w:ind w:left="375" w:hanging="284"/>
              <w:rPr>
                <w:i/>
                <w:sz w:val="20"/>
                <w:szCs w:val="20"/>
              </w:rPr>
            </w:pPr>
            <w:proofErr w:type="gramStart"/>
            <w:r w:rsidRPr="00A951BB">
              <w:rPr>
                <w:i/>
                <w:sz w:val="20"/>
                <w:szCs w:val="20"/>
              </w:rPr>
              <w:t>in</w:t>
            </w:r>
            <w:proofErr w:type="gramEnd"/>
            <w:r w:rsidRPr="00A951BB">
              <w:rPr>
                <w:i/>
                <w:sz w:val="20"/>
                <w:szCs w:val="20"/>
              </w:rPr>
              <w:t xml:space="preserve"> Years 7–8, schools provide a minimum of 150 minutes (or online) per week of languages education in one of the eight priority languages.</w:t>
            </w:r>
          </w:p>
          <w:p w14:paraId="1E1352B6" w14:textId="77777777" w:rsidR="00E45E3A" w:rsidRPr="00A951BB" w:rsidRDefault="00E45E3A" w:rsidP="007D0385">
            <w:pPr>
              <w:rPr>
                <w:sz w:val="20"/>
                <w:szCs w:val="20"/>
              </w:rPr>
            </w:pPr>
            <w:r w:rsidRPr="00A951BB">
              <w:rPr>
                <w:sz w:val="20"/>
                <w:szCs w:val="20"/>
              </w:rPr>
              <w:t>The eight priority languages are French, Chinese (Mandarin), German, Italian Indonesian, Japanese, Korean and Spanish.</w:t>
            </w:r>
          </w:p>
          <w:p w14:paraId="6658CA09" w14:textId="77777777" w:rsidR="00E45E3A" w:rsidRPr="00A951BB" w:rsidRDefault="00E45E3A" w:rsidP="007D0385">
            <w:pPr>
              <w:rPr>
                <w:spacing w:val="-4"/>
                <w:sz w:val="20"/>
                <w:szCs w:val="20"/>
              </w:rPr>
            </w:pPr>
            <w:r w:rsidRPr="00A951BB">
              <w:rPr>
                <w:sz w:val="20"/>
                <w:szCs w:val="20"/>
              </w:rPr>
              <w:t>Schools and school networks are encouraged to provide a languages</w:t>
            </w:r>
            <w:r w:rsidRPr="00A951BB">
              <w:rPr>
                <w:spacing w:val="-4"/>
                <w:sz w:val="20"/>
                <w:szCs w:val="20"/>
              </w:rPr>
              <w:t xml:space="preserve"> pathway that provides same language </w:t>
            </w:r>
            <w:r w:rsidRPr="00A951BB">
              <w:rPr>
                <w:sz w:val="20"/>
                <w:szCs w:val="20"/>
              </w:rPr>
              <w:t>availability from primary to high school to senior secondary college.</w:t>
            </w:r>
          </w:p>
          <w:p w14:paraId="774BA4C4" w14:textId="77777777" w:rsidR="00E45E3A" w:rsidRPr="00A951BB" w:rsidRDefault="00E45E3A" w:rsidP="007D0385">
            <w:pPr>
              <w:rPr>
                <w:i/>
                <w:sz w:val="20"/>
                <w:szCs w:val="20"/>
              </w:rPr>
            </w:pPr>
            <w:r w:rsidRPr="00A951BB">
              <w:rPr>
                <w:sz w:val="20"/>
                <w:szCs w:val="20"/>
              </w:rPr>
              <w:t>Principals are required to comply with ACT Education and Training Directorate policies and procedures.</w:t>
            </w:r>
          </w:p>
        </w:tc>
        <w:tc>
          <w:tcPr>
            <w:tcW w:w="843" w:type="pct"/>
          </w:tcPr>
          <w:p w14:paraId="2BFCE9D1" w14:textId="77777777" w:rsidR="00E45E3A" w:rsidRPr="00A951BB" w:rsidRDefault="00E45E3A" w:rsidP="007D0385">
            <w:pPr>
              <w:spacing w:before="60" w:after="60"/>
              <w:rPr>
                <w:sz w:val="20"/>
                <w:szCs w:val="20"/>
              </w:rPr>
            </w:pPr>
            <w:r w:rsidRPr="00A951BB">
              <w:rPr>
                <w:sz w:val="20"/>
                <w:szCs w:val="20"/>
              </w:rPr>
              <w:t xml:space="preserve">All public schools are required to offer languages in Years 3–8. </w:t>
            </w:r>
          </w:p>
          <w:p w14:paraId="20A2BF15" w14:textId="77777777" w:rsidR="00E45E3A" w:rsidRPr="00A951BB" w:rsidRDefault="00E45E3A" w:rsidP="007D0385">
            <w:pPr>
              <w:spacing w:before="60" w:after="60"/>
              <w:rPr>
                <w:sz w:val="20"/>
                <w:szCs w:val="20"/>
              </w:rPr>
            </w:pPr>
          </w:p>
        </w:tc>
      </w:tr>
      <w:tr w:rsidR="00E45E3A" w:rsidRPr="00A951BB" w14:paraId="6D7130AF" w14:textId="77777777" w:rsidTr="004866BD">
        <w:trPr>
          <w:cantSplit/>
        </w:trPr>
        <w:tc>
          <w:tcPr>
            <w:tcW w:w="1113" w:type="pct"/>
          </w:tcPr>
          <w:p w14:paraId="171D8C92" w14:textId="77777777" w:rsidR="00E45E3A" w:rsidRPr="00A951BB" w:rsidRDefault="00E45E3A" w:rsidP="007D0385">
            <w:pPr>
              <w:spacing w:before="60" w:after="60"/>
              <w:rPr>
                <w:sz w:val="20"/>
                <w:szCs w:val="20"/>
              </w:rPr>
            </w:pPr>
            <w:r w:rsidRPr="00A951BB">
              <w:rPr>
                <w:sz w:val="20"/>
                <w:szCs w:val="20"/>
              </w:rPr>
              <w:lastRenderedPageBreak/>
              <w:t>Australian Curriculum (implementation)</w:t>
            </w:r>
          </w:p>
          <w:p w14:paraId="63A67F93" w14:textId="77777777" w:rsidR="00E45E3A" w:rsidRPr="00A951BB" w:rsidRDefault="00E45E3A" w:rsidP="007D0385">
            <w:pPr>
              <w:rPr>
                <w:sz w:val="20"/>
                <w:szCs w:val="20"/>
              </w:rPr>
            </w:pPr>
          </w:p>
        </w:tc>
        <w:tc>
          <w:tcPr>
            <w:tcW w:w="1499" w:type="pct"/>
          </w:tcPr>
          <w:p w14:paraId="05790FA2" w14:textId="77777777" w:rsidR="00E45E3A" w:rsidRPr="00A951BB" w:rsidRDefault="00E45E3A" w:rsidP="007D0385">
            <w:pPr>
              <w:rPr>
                <w:sz w:val="20"/>
                <w:szCs w:val="20"/>
              </w:rPr>
            </w:pPr>
            <w:r w:rsidRPr="00A951BB">
              <w:rPr>
                <w:sz w:val="20"/>
                <w:szCs w:val="20"/>
              </w:rPr>
              <w:t xml:space="preserve">The Australian Curriculum priority of </w:t>
            </w:r>
            <w:r w:rsidRPr="00A951BB">
              <w:rPr>
                <w:i/>
                <w:iCs/>
                <w:sz w:val="20"/>
                <w:szCs w:val="20"/>
              </w:rPr>
              <w:t xml:space="preserve">Asia and Australia’s Engagement with Asia </w:t>
            </w:r>
            <w:r w:rsidRPr="00A951BB">
              <w:rPr>
                <w:sz w:val="20"/>
                <w:szCs w:val="20"/>
              </w:rPr>
              <w:t xml:space="preserve">further supports the learning of Asian languages while the general capability, </w:t>
            </w:r>
            <w:r w:rsidRPr="00A951BB">
              <w:rPr>
                <w:i/>
                <w:iCs/>
                <w:sz w:val="20"/>
                <w:szCs w:val="20"/>
              </w:rPr>
              <w:t xml:space="preserve">Intercultural understanding, </w:t>
            </w:r>
            <w:r w:rsidRPr="00A951BB">
              <w:rPr>
                <w:sz w:val="20"/>
                <w:szCs w:val="20"/>
              </w:rPr>
              <w:t>is supported through the teaching and learning of languages.</w:t>
            </w:r>
          </w:p>
        </w:tc>
        <w:tc>
          <w:tcPr>
            <w:tcW w:w="1545" w:type="pct"/>
          </w:tcPr>
          <w:p w14:paraId="10597C8A" w14:textId="77777777" w:rsidR="00E45E3A" w:rsidRPr="00A951BB" w:rsidRDefault="00E45E3A" w:rsidP="007D0385">
            <w:pPr>
              <w:spacing w:before="60" w:after="20"/>
              <w:rPr>
                <w:sz w:val="20"/>
                <w:szCs w:val="20"/>
              </w:rPr>
            </w:pPr>
            <w:r w:rsidRPr="00A951BB">
              <w:rPr>
                <w:sz w:val="20"/>
                <w:szCs w:val="20"/>
              </w:rPr>
              <w:t xml:space="preserve">The ACT is phasing implementation of the </w:t>
            </w:r>
            <w:r w:rsidRPr="00A951BB">
              <w:rPr>
                <w:i/>
                <w:sz w:val="20"/>
                <w:szCs w:val="20"/>
              </w:rPr>
              <w:t xml:space="preserve">Australian Curriculum: Languages </w:t>
            </w:r>
            <w:r w:rsidRPr="00A951BB">
              <w:rPr>
                <w:sz w:val="20"/>
                <w:szCs w:val="20"/>
              </w:rPr>
              <w:t xml:space="preserve">(these subjects are published on the </w:t>
            </w:r>
            <w:r w:rsidRPr="00A951BB">
              <w:rPr>
                <w:i/>
                <w:sz w:val="20"/>
                <w:szCs w:val="20"/>
              </w:rPr>
              <w:t xml:space="preserve">Australian Curriculum </w:t>
            </w:r>
            <w:r w:rsidRPr="00A951BB">
              <w:rPr>
                <w:sz w:val="20"/>
                <w:szCs w:val="20"/>
              </w:rPr>
              <w:t>website as ‘available for use: awaiting final endorsement’):</w:t>
            </w:r>
          </w:p>
          <w:p w14:paraId="540B86EF" w14:textId="77777777" w:rsidR="00E45E3A" w:rsidRPr="00A951BB" w:rsidRDefault="00E45E3A" w:rsidP="007D0385">
            <w:pPr>
              <w:spacing w:before="60" w:after="20"/>
              <w:rPr>
                <w:sz w:val="20"/>
                <w:szCs w:val="20"/>
              </w:rPr>
            </w:pPr>
            <w:r w:rsidRPr="00A951BB">
              <w:rPr>
                <w:sz w:val="20"/>
                <w:szCs w:val="20"/>
              </w:rPr>
              <w:t xml:space="preserve">Timeframes for phasing in </w:t>
            </w:r>
            <w:r w:rsidRPr="00A951BB">
              <w:rPr>
                <w:i/>
                <w:sz w:val="20"/>
                <w:szCs w:val="20"/>
              </w:rPr>
              <w:t xml:space="preserve">Languages </w:t>
            </w:r>
            <w:r w:rsidRPr="00A951BB">
              <w:rPr>
                <w:sz w:val="20"/>
                <w:szCs w:val="20"/>
              </w:rPr>
              <w:t>are as follows:</w:t>
            </w:r>
          </w:p>
          <w:p w14:paraId="59445FA1" w14:textId="77777777" w:rsidR="00E45E3A" w:rsidRPr="00A951BB" w:rsidRDefault="00E45E3A" w:rsidP="007D0385">
            <w:pPr>
              <w:spacing w:before="40" w:after="40"/>
              <w:rPr>
                <w:sz w:val="20"/>
                <w:szCs w:val="20"/>
              </w:rPr>
            </w:pPr>
            <w:r w:rsidRPr="00A951BB">
              <w:rPr>
                <w:sz w:val="20"/>
                <w:szCs w:val="20"/>
              </w:rPr>
              <w:t xml:space="preserve">2015: </w:t>
            </w:r>
            <w:proofErr w:type="spellStart"/>
            <w:r w:rsidRPr="00A951BB">
              <w:rPr>
                <w:sz w:val="20"/>
                <w:szCs w:val="20"/>
              </w:rPr>
              <w:t>Familiarisation</w:t>
            </w:r>
            <w:proofErr w:type="spellEnd"/>
            <w:r w:rsidRPr="00A951BB">
              <w:rPr>
                <w:sz w:val="20"/>
                <w:szCs w:val="20"/>
              </w:rPr>
              <w:t xml:space="preserve"> and engagement </w:t>
            </w:r>
          </w:p>
          <w:p w14:paraId="2F159767" w14:textId="77777777" w:rsidR="00E45E3A" w:rsidRPr="00A951BB" w:rsidRDefault="00E45E3A" w:rsidP="007D0385">
            <w:pPr>
              <w:spacing w:before="40" w:after="40"/>
              <w:rPr>
                <w:sz w:val="20"/>
                <w:szCs w:val="20"/>
              </w:rPr>
            </w:pPr>
            <w:r w:rsidRPr="00A951BB">
              <w:rPr>
                <w:sz w:val="20"/>
                <w:szCs w:val="20"/>
              </w:rPr>
              <w:t>2016: Consolidation and planning</w:t>
            </w:r>
          </w:p>
          <w:p w14:paraId="6A5E242E" w14:textId="77777777" w:rsidR="00E45E3A" w:rsidRPr="00A951BB" w:rsidRDefault="00E45E3A" w:rsidP="007D0385">
            <w:pPr>
              <w:spacing w:before="40" w:after="40"/>
              <w:rPr>
                <w:sz w:val="20"/>
                <w:szCs w:val="20"/>
              </w:rPr>
            </w:pPr>
            <w:r w:rsidRPr="00A951BB">
              <w:rPr>
                <w:sz w:val="20"/>
                <w:szCs w:val="20"/>
              </w:rPr>
              <w:t xml:space="preserve">2017: Teaching and assessing  </w:t>
            </w:r>
          </w:p>
          <w:p w14:paraId="389EE9C7" w14:textId="77777777" w:rsidR="00E45E3A" w:rsidRPr="00A951BB" w:rsidRDefault="00E45E3A" w:rsidP="007D0385">
            <w:pPr>
              <w:rPr>
                <w:sz w:val="20"/>
                <w:szCs w:val="20"/>
              </w:rPr>
            </w:pPr>
            <w:r w:rsidRPr="00A951BB">
              <w:rPr>
                <w:sz w:val="20"/>
                <w:szCs w:val="20"/>
              </w:rPr>
              <w:t>2017: Reporting using the Achievement Standards</w:t>
            </w:r>
          </w:p>
        </w:tc>
        <w:tc>
          <w:tcPr>
            <w:tcW w:w="843" w:type="pct"/>
          </w:tcPr>
          <w:p w14:paraId="437B54CE" w14:textId="77777777" w:rsidR="00E45E3A" w:rsidRPr="00A951BB" w:rsidRDefault="00E45E3A" w:rsidP="007D0385">
            <w:pPr>
              <w:rPr>
                <w:sz w:val="20"/>
                <w:szCs w:val="20"/>
              </w:rPr>
            </w:pPr>
          </w:p>
        </w:tc>
      </w:tr>
    </w:tbl>
    <w:p w14:paraId="42F86594" w14:textId="77777777" w:rsidR="00E45E3A" w:rsidRDefault="00E45E3A">
      <w:pPr>
        <w:spacing w:after="0"/>
        <w:rPr>
          <w:rFonts w:eastAsiaTheme="majorEastAsia"/>
          <w:b/>
          <w:bCs/>
          <w:color w:val="4F81BD" w:themeColor="accent1"/>
          <w:sz w:val="20"/>
          <w:szCs w:val="20"/>
        </w:rPr>
      </w:pPr>
      <w:r>
        <w:rPr>
          <w:sz w:val="20"/>
          <w:szCs w:val="20"/>
        </w:rPr>
        <w:br w:type="page"/>
      </w:r>
    </w:p>
    <w:p w14:paraId="2A659F37" w14:textId="6FD46A21" w:rsidR="00E45E3A" w:rsidRPr="00F74E23" w:rsidRDefault="00E45E3A" w:rsidP="00F74E23">
      <w:pPr>
        <w:spacing w:after="0"/>
        <w:rPr>
          <w:b/>
        </w:rPr>
      </w:pPr>
      <w:r w:rsidRPr="00F74E23">
        <w:rPr>
          <w:b/>
        </w:rPr>
        <w:lastRenderedPageBreak/>
        <w:t>New South Wales (As advised and/or verified by the Board of Studies, Teaching and Educational Standards NSW (</w:t>
      </w:r>
      <w:proofErr w:type="spellStart"/>
      <w:r w:rsidRPr="00F74E23">
        <w:rPr>
          <w:b/>
        </w:rPr>
        <w:t>BOSTES</w:t>
      </w:r>
      <w:proofErr w:type="spellEnd"/>
      <w:r w:rsidRPr="00F74E23">
        <w:rPr>
          <w:b/>
        </w:rPr>
        <w:t>) updated August 2014)</w:t>
      </w:r>
    </w:p>
    <w:tbl>
      <w:tblPr>
        <w:tblStyle w:val="TableGrid"/>
        <w:tblW w:w="5000" w:type="pct"/>
        <w:tblLook w:val="04A0" w:firstRow="1" w:lastRow="0" w:firstColumn="1" w:lastColumn="0" w:noHBand="0" w:noVBand="1"/>
      </w:tblPr>
      <w:tblGrid>
        <w:gridCol w:w="3033"/>
        <w:gridCol w:w="4085"/>
        <w:gridCol w:w="4210"/>
        <w:gridCol w:w="2297"/>
      </w:tblGrid>
      <w:tr w:rsidR="00E45E3A" w:rsidRPr="00A951BB" w14:paraId="521A4C4C" w14:textId="77777777" w:rsidTr="004866BD">
        <w:trPr>
          <w:cantSplit/>
          <w:tblHeader/>
        </w:trPr>
        <w:tc>
          <w:tcPr>
            <w:tcW w:w="1113" w:type="pct"/>
            <w:shd w:val="clear" w:color="auto" w:fill="000000" w:themeFill="text1"/>
          </w:tcPr>
          <w:p w14:paraId="1799BB34" w14:textId="77777777" w:rsidR="00E45E3A" w:rsidRPr="00A951BB" w:rsidRDefault="00E45E3A" w:rsidP="007D0385">
            <w:pPr>
              <w:rPr>
                <w:b/>
                <w:sz w:val="20"/>
                <w:szCs w:val="20"/>
              </w:rPr>
            </w:pPr>
            <w:r w:rsidRPr="00A951BB">
              <w:rPr>
                <w:b/>
                <w:sz w:val="20"/>
                <w:szCs w:val="20"/>
              </w:rPr>
              <w:t>Title of Policy</w:t>
            </w:r>
          </w:p>
        </w:tc>
        <w:tc>
          <w:tcPr>
            <w:tcW w:w="1499" w:type="pct"/>
            <w:shd w:val="clear" w:color="auto" w:fill="000000" w:themeFill="text1"/>
          </w:tcPr>
          <w:p w14:paraId="7FAF7288" w14:textId="77777777" w:rsidR="00E45E3A" w:rsidRPr="00A951BB" w:rsidRDefault="00E45E3A" w:rsidP="007D0385">
            <w:pPr>
              <w:rPr>
                <w:b/>
                <w:sz w:val="20"/>
                <w:szCs w:val="20"/>
              </w:rPr>
            </w:pPr>
            <w:r w:rsidRPr="00A951BB">
              <w:rPr>
                <w:b/>
                <w:sz w:val="20"/>
                <w:szCs w:val="20"/>
              </w:rPr>
              <w:t>Stated Purpose</w:t>
            </w:r>
          </w:p>
        </w:tc>
        <w:tc>
          <w:tcPr>
            <w:tcW w:w="1545" w:type="pct"/>
            <w:shd w:val="clear" w:color="auto" w:fill="000000" w:themeFill="text1"/>
          </w:tcPr>
          <w:p w14:paraId="08C9D7E7" w14:textId="77777777" w:rsidR="00E45E3A" w:rsidRPr="00A951BB" w:rsidRDefault="00E45E3A" w:rsidP="007D0385">
            <w:pPr>
              <w:rPr>
                <w:b/>
                <w:sz w:val="20"/>
                <w:szCs w:val="20"/>
              </w:rPr>
            </w:pPr>
            <w:r w:rsidRPr="00A951BB">
              <w:rPr>
                <w:b/>
                <w:sz w:val="20"/>
                <w:szCs w:val="20"/>
              </w:rPr>
              <w:t>Implementation</w:t>
            </w:r>
          </w:p>
        </w:tc>
        <w:tc>
          <w:tcPr>
            <w:tcW w:w="843" w:type="pct"/>
            <w:shd w:val="clear" w:color="auto" w:fill="000000" w:themeFill="text1"/>
          </w:tcPr>
          <w:p w14:paraId="426C5C36" w14:textId="77777777" w:rsidR="00E45E3A" w:rsidRPr="00A951BB" w:rsidRDefault="00E45E3A" w:rsidP="007D0385">
            <w:pPr>
              <w:rPr>
                <w:b/>
                <w:sz w:val="20"/>
                <w:szCs w:val="20"/>
              </w:rPr>
            </w:pPr>
            <w:r w:rsidRPr="00A951BB">
              <w:rPr>
                <w:b/>
                <w:sz w:val="20"/>
                <w:szCs w:val="20"/>
              </w:rPr>
              <w:t>Implications</w:t>
            </w:r>
          </w:p>
        </w:tc>
      </w:tr>
      <w:tr w:rsidR="00E45E3A" w:rsidRPr="00A951BB" w14:paraId="41B2FA3C" w14:textId="77777777" w:rsidTr="004866BD">
        <w:trPr>
          <w:cantSplit/>
        </w:trPr>
        <w:tc>
          <w:tcPr>
            <w:tcW w:w="1113" w:type="pct"/>
          </w:tcPr>
          <w:p w14:paraId="55EDE0CA" w14:textId="77777777" w:rsidR="00E45E3A" w:rsidRPr="00A476FB" w:rsidRDefault="00E45E3A" w:rsidP="007D0385">
            <w:pPr>
              <w:tabs>
                <w:tab w:val="left" w:pos="-1094"/>
              </w:tabs>
              <w:rPr>
                <w:sz w:val="20"/>
                <w:szCs w:val="20"/>
              </w:rPr>
            </w:pPr>
            <w:r w:rsidRPr="00A476FB">
              <w:rPr>
                <w:sz w:val="20"/>
                <w:szCs w:val="20"/>
              </w:rPr>
              <w:t>At the request of the Minister for Education, the Board of Studies, Teaching and Educational Standards (</w:t>
            </w:r>
            <w:proofErr w:type="spellStart"/>
            <w:r w:rsidRPr="00A476FB">
              <w:rPr>
                <w:sz w:val="20"/>
                <w:szCs w:val="20"/>
              </w:rPr>
              <w:t>BOSTES</w:t>
            </w:r>
            <w:proofErr w:type="spellEnd"/>
            <w:r w:rsidRPr="00A476FB">
              <w:rPr>
                <w:sz w:val="20"/>
                <w:szCs w:val="20"/>
              </w:rPr>
              <w:t xml:space="preserve">) </w:t>
            </w:r>
            <w:proofErr w:type="gramStart"/>
            <w:r w:rsidRPr="00A476FB">
              <w:rPr>
                <w:sz w:val="20"/>
                <w:szCs w:val="20"/>
              </w:rPr>
              <w:t>has</w:t>
            </w:r>
            <w:proofErr w:type="gramEnd"/>
            <w:r w:rsidRPr="00A476FB">
              <w:rPr>
                <w:sz w:val="20"/>
                <w:szCs w:val="20"/>
              </w:rPr>
              <w:t xml:space="preserve"> completed a three-year review of languages education in NSW.</w:t>
            </w:r>
          </w:p>
          <w:p w14:paraId="19DFB874" w14:textId="77777777" w:rsidR="00E45E3A" w:rsidRPr="00A476FB" w:rsidRDefault="00E45E3A" w:rsidP="007D0385">
            <w:pPr>
              <w:tabs>
                <w:tab w:val="left" w:pos="-1094"/>
              </w:tabs>
              <w:rPr>
                <w:sz w:val="20"/>
                <w:szCs w:val="20"/>
              </w:rPr>
            </w:pPr>
            <w:r w:rsidRPr="00A476FB">
              <w:rPr>
                <w:sz w:val="20"/>
                <w:szCs w:val="20"/>
              </w:rPr>
              <w:t xml:space="preserve">The main themes emerging from the review’s research and consultation feedback were developed into proposals incorporating short, medium and long-term goals to address demand and supply issues for languages education. These proposals were endorsed by the </w:t>
            </w:r>
            <w:proofErr w:type="spellStart"/>
            <w:r w:rsidRPr="00A476FB">
              <w:rPr>
                <w:sz w:val="20"/>
                <w:szCs w:val="20"/>
              </w:rPr>
              <w:t>BOSTES</w:t>
            </w:r>
            <w:proofErr w:type="spellEnd"/>
            <w:r w:rsidRPr="00A476FB">
              <w:rPr>
                <w:sz w:val="20"/>
                <w:szCs w:val="20"/>
              </w:rPr>
              <w:t xml:space="preserve"> and the NSW Schools Advisory Council and were announced by the Minister for Education.</w:t>
            </w:r>
          </w:p>
          <w:p w14:paraId="36B406B8" w14:textId="77777777" w:rsidR="00E45E3A" w:rsidRPr="009B4DC3" w:rsidRDefault="00E45E3A" w:rsidP="007D0385">
            <w:pPr>
              <w:tabs>
                <w:tab w:val="left" w:pos="426"/>
                <w:tab w:val="left" w:pos="1560"/>
              </w:tabs>
            </w:pPr>
            <w:r w:rsidRPr="00A476FB">
              <w:rPr>
                <w:sz w:val="20"/>
                <w:szCs w:val="20"/>
              </w:rPr>
              <w:t xml:space="preserve">The proposed actions will be progressed through a </w:t>
            </w:r>
            <w:r w:rsidRPr="00A476FB">
              <w:rPr>
                <w:i/>
                <w:sz w:val="20"/>
                <w:szCs w:val="20"/>
              </w:rPr>
              <w:t>NSW Languages Education Action Plan</w:t>
            </w:r>
            <w:r w:rsidRPr="008D7B0F">
              <w:rPr>
                <w:i/>
              </w:rPr>
              <w:t>.</w:t>
            </w:r>
          </w:p>
        </w:tc>
        <w:tc>
          <w:tcPr>
            <w:tcW w:w="1499" w:type="pct"/>
          </w:tcPr>
          <w:p w14:paraId="33728CBF" w14:textId="77777777" w:rsidR="00E45E3A" w:rsidRPr="00A951BB" w:rsidRDefault="00E45E3A" w:rsidP="007D0385">
            <w:pPr>
              <w:rPr>
                <w:sz w:val="20"/>
                <w:szCs w:val="20"/>
              </w:rPr>
            </w:pPr>
            <w:r w:rsidRPr="00A476FB">
              <w:rPr>
                <w:sz w:val="20"/>
                <w:szCs w:val="20"/>
              </w:rPr>
              <w:t xml:space="preserve">The </w:t>
            </w:r>
            <w:r w:rsidRPr="00A476FB">
              <w:rPr>
                <w:i/>
                <w:sz w:val="20"/>
                <w:szCs w:val="20"/>
              </w:rPr>
              <w:t>NSW Languages Education Action Plan</w:t>
            </w:r>
            <w:r w:rsidRPr="00A476FB">
              <w:rPr>
                <w:sz w:val="20"/>
                <w:szCs w:val="20"/>
              </w:rPr>
              <w:t xml:space="preserve"> sets out an integrated and sustainable approach to languages education with the aim of fostering growth in student participation in languages K-12.</w:t>
            </w:r>
          </w:p>
        </w:tc>
        <w:tc>
          <w:tcPr>
            <w:tcW w:w="1545" w:type="pct"/>
          </w:tcPr>
          <w:p w14:paraId="4C8E554D" w14:textId="77777777" w:rsidR="00E45E3A" w:rsidRPr="00A476FB" w:rsidRDefault="00E45E3A" w:rsidP="007D0385">
            <w:pPr>
              <w:tabs>
                <w:tab w:val="left" w:pos="-1094"/>
              </w:tabs>
              <w:rPr>
                <w:sz w:val="20"/>
                <w:szCs w:val="20"/>
              </w:rPr>
            </w:pPr>
            <w:r w:rsidRPr="00A476FB">
              <w:rPr>
                <w:sz w:val="20"/>
                <w:szCs w:val="20"/>
              </w:rPr>
              <w:t>A NSW Languages Advisory Panel with high level representation from the education sectors, community organisations, business and industry has been established.</w:t>
            </w:r>
          </w:p>
          <w:p w14:paraId="0B6B439E" w14:textId="77777777" w:rsidR="00E45E3A" w:rsidRPr="00A476FB" w:rsidRDefault="00E45E3A" w:rsidP="007D0385">
            <w:pPr>
              <w:tabs>
                <w:tab w:val="left" w:pos="-1094"/>
              </w:tabs>
              <w:rPr>
                <w:sz w:val="20"/>
                <w:szCs w:val="20"/>
              </w:rPr>
            </w:pPr>
          </w:p>
          <w:p w14:paraId="2D0DB34E" w14:textId="77777777" w:rsidR="00E45E3A" w:rsidRPr="00A476FB" w:rsidRDefault="00E45E3A" w:rsidP="007D0385">
            <w:pPr>
              <w:tabs>
                <w:tab w:val="left" w:pos="-1094"/>
              </w:tabs>
              <w:rPr>
                <w:sz w:val="20"/>
                <w:szCs w:val="20"/>
              </w:rPr>
            </w:pPr>
            <w:r w:rsidRPr="00A476FB">
              <w:rPr>
                <w:sz w:val="20"/>
                <w:szCs w:val="20"/>
              </w:rPr>
              <w:t>The Panel will oversee the development of a new languages education policy statement for NSW and the strategic coordination of the proposed actions.</w:t>
            </w:r>
          </w:p>
          <w:p w14:paraId="01A485F1" w14:textId="77777777" w:rsidR="00E45E3A" w:rsidRPr="00A476FB" w:rsidRDefault="00E45E3A" w:rsidP="007D0385">
            <w:pPr>
              <w:rPr>
                <w:sz w:val="20"/>
                <w:szCs w:val="20"/>
              </w:rPr>
            </w:pPr>
          </w:p>
          <w:p w14:paraId="1FB3106C" w14:textId="77777777" w:rsidR="00E45E3A" w:rsidRPr="00A476FB" w:rsidRDefault="00E45E3A" w:rsidP="007D0385">
            <w:pPr>
              <w:rPr>
                <w:sz w:val="20"/>
                <w:szCs w:val="20"/>
              </w:rPr>
            </w:pPr>
            <w:r w:rsidRPr="00A476FB">
              <w:rPr>
                <w:sz w:val="20"/>
                <w:szCs w:val="20"/>
              </w:rPr>
              <w:t>The draft policy is due for release at the end of 2015 and will be subject to extensive consultation in the first half of 2016.</w:t>
            </w:r>
          </w:p>
          <w:p w14:paraId="3389B69C" w14:textId="77777777" w:rsidR="00E45E3A" w:rsidRPr="00A951BB" w:rsidRDefault="00E45E3A" w:rsidP="007D0385">
            <w:pPr>
              <w:widowControl w:val="0"/>
              <w:autoSpaceDE w:val="0"/>
              <w:autoSpaceDN w:val="0"/>
              <w:adjustRightInd w:val="0"/>
              <w:spacing w:line="276" w:lineRule="auto"/>
              <w:ind w:right="-4366"/>
              <w:contextualSpacing/>
              <w:jc w:val="both"/>
              <w:rPr>
                <w:sz w:val="20"/>
                <w:szCs w:val="20"/>
              </w:rPr>
            </w:pPr>
          </w:p>
        </w:tc>
        <w:tc>
          <w:tcPr>
            <w:tcW w:w="843" w:type="pct"/>
          </w:tcPr>
          <w:p w14:paraId="452F4691" w14:textId="77777777" w:rsidR="00E45E3A" w:rsidRPr="00A951BB" w:rsidRDefault="00E45E3A" w:rsidP="007D0385">
            <w:pPr>
              <w:rPr>
                <w:sz w:val="20"/>
                <w:szCs w:val="20"/>
              </w:rPr>
            </w:pPr>
          </w:p>
        </w:tc>
      </w:tr>
    </w:tbl>
    <w:p w14:paraId="6E06D4D2" w14:textId="77777777" w:rsidR="00E45E3A" w:rsidRDefault="00E45E3A">
      <w:pPr>
        <w:spacing w:after="0"/>
        <w:rPr>
          <w:rFonts w:eastAsiaTheme="majorEastAsia"/>
          <w:b/>
          <w:bCs/>
          <w:color w:val="4F81BD" w:themeColor="accent1"/>
          <w:sz w:val="20"/>
          <w:szCs w:val="20"/>
        </w:rPr>
      </w:pPr>
      <w:r>
        <w:rPr>
          <w:rFonts w:eastAsiaTheme="majorEastAsia"/>
          <w:b/>
          <w:bCs/>
          <w:color w:val="4F81BD" w:themeColor="accent1"/>
          <w:sz w:val="20"/>
          <w:szCs w:val="20"/>
        </w:rPr>
        <w:br w:type="page"/>
      </w:r>
    </w:p>
    <w:p w14:paraId="0A36B1F5" w14:textId="4D0FB104" w:rsidR="00E45E3A" w:rsidRPr="00F74E23" w:rsidRDefault="00E45E3A" w:rsidP="00F74E23">
      <w:pPr>
        <w:spacing w:after="0"/>
        <w:rPr>
          <w:b/>
        </w:rPr>
      </w:pPr>
      <w:r w:rsidRPr="00F74E23">
        <w:rPr>
          <w:b/>
        </w:rPr>
        <w:lastRenderedPageBreak/>
        <w:t>Northern Territory (As verified by NT Department of Education)</w:t>
      </w:r>
    </w:p>
    <w:tbl>
      <w:tblPr>
        <w:tblStyle w:val="TableGrid"/>
        <w:tblW w:w="5000" w:type="pct"/>
        <w:tblLook w:val="04A0" w:firstRow="1" w:lastRow="0" w:firstColumn="1" w:lastColumn="0" w:noHBand="0" w:noVBand="1"/>
      </w:tblPr>
      <w:tblGrid>
        <w:gridCol w:w="3033"/>
        <w:gridCol w:w="4085"/>
        <w:gridCol w:w="4210"/>
        <w:gridCol w:w="2297"/>
      </w:tblGrid>
      <w:tr w:rsidR="00E45E3A" w:rsidRPr="00A951BB" w14:paraId="0AABB787" w14:textId="77777777" w:rsidTr="004866BD">
        <w:trPr>
          <w:cantSplit/>
          <w:tblHeader/>
        </w:trPr>
        <w:tc>
          <w:tcPr>
            <w:tcW w:w="1113" w:type="pct"/>
            <w:shd w:val="clear" w:color="auto" w:fill="000000" w:themeFill="text1"/>
          </w:tcPr>
          <w:p w14:paraId="6F55B587" w14:textId="77777777" w:rsidR="00E45E3A" w:rsidRPr="00A951BB" w:rsidRDefault="00E45E3A" w:rsidP="007D0385">
            <w:pPr>
              <w:rPr>
                <w:b/>
                <w:sz w:val="20"/>
                <w:szCs w:val="20"/>
              </w:rPr>
            </w:pPr>
            <w:r w:rsidRPr="00A951BB">
              <w:rPr>
                <w:b/>
                <w:sz w:val="20"/>
                <w:szCs w:val="20"/>
              </w:rPr>
              <w:t>Title of Policy</w:t>
            </w:r>
          </w:p>
        </w:tc>
        <w:tc>
          <w:tcPr>
            <w:tcW w:w="1499" w:type="pct"/>
            <w:shd w:val="clear" w:color="auto" w:fill="000000" w:themeFill="text1"/>
          </w:tcPr>
          <w:p w14:paraId="4621FEB8" w14:textId="77777777" w:rsidR="00E45E3A" w:rsidRPr="00A951BB" w:rsidRDefault="00E45E3A" w:rsidP="007D0385">
            <w:pPr>
              <w:rPr>
                <w:b/>
                <w:sz w:val="20"/>
                <w:szCs w:val="20"/>
              </w:rPr>
            </w:pPr>
            <w:r w:rsidRPr="00A951BB">
              <w:rPr>
                <w:b/>
                <w:sz w:val="20"/>
                <w:szCs w:val="20"/>
              </w:rPr>
              <w:t>Stated Purpose</w:t>
            </w:r>
          </w:p>
        </w:tc>
        <w:tc>
          <w:tcPr>
            <w:tcW w:w="1545" w:type="pct"/>
            <w:shd w:val="clear" w:color="auto" w:fill="000000" w:themeFill="text1"/>
          </w:tcPr>
          <w:p w14:paraId="2135AA4B" w14:textId="77777777" w:rsidR="00E45E3A" w:rsidRPr="00A951BB" w:rsidRDefault="00E45E3A" w:rsidP="007D0385">
            <w:pPr>
              <w:rPr>
                <w:b/>
                <w:sz w:val="20"/>
                <w:szCs w:val="20"/>
              </w:rPr>
            </w:pPr>
            <w:r w:rsidRPr="00A951BB">
              <w:rPr>
                <w:b/>
                <w:sz w:val="20"/>
                <w:szCs w:val="20"/>
              </w:rPr>
              <w:t>Implementation</w:t>
            </w:r>
          </w:p>
        </w:tc>
        <w:tc>
          <w:tcPr>
            <w:tcW w:w="843" w:type="pct"/>
            <w:shd w:val="clear" w:color="auto" w:fill="000000" w:themeFill="text1"/>
          </w:tcPr>
          <w:p w14:paraId="22D2C3BC" w14:textId="77777777" w:rsidR="00E45E3A" w:rsidRPr="00A951BB" w:rsidRDefault="00E45E3A" w:rsidP="007D0385">
            <w:pPr>
              <w:rPr>
                <w:b/>
                <w:sz w:val="20"/>
                <w:szCs w:val="20"/>
              </w:rPr>
            </w:pPr>
            <w:r w:rsidRPr="00A951BB">
              <w:rPr>
                <w:b/>
                <w:sz w:val="20"/>
                <w:szCs w:val="20"/>
              </w:rPr>
              <w:t>Implications</w:t>
            </w:r>
          </w:p>
        </w:tc>
      </w:tr>
      <w:tr w:rsidR="00E45E3A" w:rsidRPr="00A951BB" w14:paraId="24D13267" w14:textId="77777777" w:rsidTr="004866BD">
        <w:trPr>
          <w:cantSplit/>
        </w:trPr>
        <w:tc>
          <w:tcPr>
            <w:tcW w:w="1113" w:type="pct"/>
          </w:tcPr>
          <w:p w14:paraId="78AC5A4E" w14:textId="77777777" w:rsidR="00E45E3A" w:rsidRPr="00DB57A7" w:rsidRDefault="00E45E3A" w:rsidP="007D0385">
            <w:pPr>
              <w:spacing w:before="60" w:after="60"/>
              <w:rPr>
                <w:sz w:val="20"/>
                <w:szCs w:val="20"/>
              </w:rPr>
            </w:pPr>
            <w:r w:rsidRPr="00DB57A7">
              <w:rPr>
                <w:sz w:val="20"/>
                <w:szCs w:val="20"/>
              </w:rPr>
              <w:t>A Northern Territory Board of Studies (</w:t>
            </w:r>
            <w:proofErr w:type="spellStart"/>
            <w:r w:rsidRPr="00DB57A7">
              <w:rPr>
                <w:sz w:val="20"/>
                <w:szCs w:val="20"/>
              </w:rPr>
              <w:t>NTBOS</w:t>
            </w:r>
            <w:proofErr w:type="spellEnd"/>
            <w:r w:rsidRPr="00DB57A7">
              <w:rPr>
                <w:sz w:val="20"/>
                <w:szCs w:val="20"/>
              </w:rPr>
              <w:t>) Languages Policy has been written and is awaiting approval and implementation.</w:t>
            </w:r>
          </w:p>
          <w:p w14:paraId="07115F3F" w14:textId="77777777" w:rsidR="00E45E3A" w:rsidRPr="004A3C15" w:rsidRDefault="00E45E3A" w:rsidP="007D0385">
            <w:pPr>
              <w:spacing w:before="60" w:after="60"/>
              <w:rPr>
                <w:sz w:val="20"/>
                <w:szCs w:val="20"/>
              </w:rPr>
            </w:pPr>
            <w:r w:rsidRPr="004A3C15">
              <w:rPr>
                <w:sz w:val="20"/>
                <w:szCs w:val="20"/>
              </w:rPr>
              <w:t>Current NT Curriculum Framework phased out as Australian Curriculum becomes available.</w:t>
            </w:r>
          </w:p>
          <w:p w14:paraId="407F9F92" w14:textId="77777777" w:rsidR="00E45E3A" w:rsidRPr="009B4DC3" w:rsidRDefault="00E45E3A" w:rsidP="007D0385">
            <w:pPr>
              <w:tabs>
                <w:tab w:val="left" w:pos="426"/>
                <w:tab w:val="left" w:pos="1560"/>
              </w:tabs>
            </w:pPr>
          </w:p>
        </w:tc>
        <w:tc>
          <w:tcPr>
            <w:tcW w:w="1499" w:type="pct"/>
          </w:tcPr>
          <w:p w14:paraId="7B1979E7" w14:textId="77777777" w:rsidR="00E45E3A" w:rsidRPr="004A3C15" w:rsidRDefault="00E45E3A" w:rsidP="007D0385">
            <w:pPr>
              <w:widowControl w:val="0"/>
              <w:autoSpaceDE w:val="0"/>
              <w:autoSpaceDN w:val="0"/>
              <w:adjustRightInd w:val="0"/>
              <w:spacing w:before="60" w:after="60"/>
              <w:rPr>
                <w:sz w:val="20"/>
                <w:szCs w:val="20"/>
              </w:rPr>
            </w:pPr>
            <w:r>
              <w:rPr>
                <w:sz w:val="20"/>
                <w:szCs w:val="20"/>
              </w:rPr>
              <w:t>Will be provided on approval of Languages Policy.</w:t>
            </w:r>
          </w:p>
          <w:p w14:paraId="1B669944" w14:textId="77777777" w:rsidR="00E45E3A" w:rsidRPr="00A951BB" w:rsidRDefault="00E45E3A" w:rsidP="007D0385">
            <w:pPr>
              <w:rPr>
                <w:sz w:val="20"/>
                <w:szCs w:val="20"/>
              </w:rPr>
            </w:pPr>
          </w:p>
        </w:tc>
        <w:tc>
          <w:tcPr>
            <w:tcW w:w="1545" w:type="pct"/>
          </w:tcPr>
          <w:p w14:paraId="4A129367" w14:textId="77777777" w:rsidR="00E45E3A" w:rsidRDefault="00E45E3A" w:rsidP="007D0385">
            <w:pPr>
              <w:spacing w:before="120" w:after="60"/>
              <w:rPr>
                <w:sz w:val="20"/>
                <w:szCs w:val="20"/>
              </w:rPr>
            </w:pPr>
            <w:r w:rsidRPr="004A3C15">
              <w:rPr>
                <w:sz w:val="20"/>
                <w:szCs w:val="20"/>
              </w:rPr>
              <w:t>Australian Curriculum timeline: no set timeline for languages, instead: ‘Language subjects are being developed in stages. A NT implementation plan will be developed to manage the implementation complexities of the learning area.’</w:t>
            </w:r>
          </w:p>
          <w:p w14:paraId="45ADBE1E" w14:textId="77777777" w:rsidR="00E45E3A" w:rsidRDefault="00E45E3A" w:rsidP="007D0385">
            <w:pPr>
              <w:spacing w:before="120" w:after="60"/>
              <w:rPr>
                <w:color w:val="000000"/>
                <w:sz w:val="20"/>
                <w:szCs w:val="20"/>
              </w:rPr>
            </w:pPr>
            <w:r w:rsidRPr="003041C9">
              <w:rPr>
                <w:color w:val="000000"/>
                <w:sz w:val="20"/>
                <w:szCs w:val="20"/>
              </w:rPr>
              <w:t>Awaiting final endorsement</w:t>
            </w:r>
            <w:r>
              <w:rPr>
                <w:color w:val="000000"/>
                <w:sz w:val="20"/>
                <w:szCs w:val="20"/>
              </w:rPr>
              <w:t xml:space="preserve"> of Languages in Australian Curriculum</w:t>
            </w:r>
            <w:r w:rsidRPr="003041C9">
              <w:rPr>
                <w:color w:val="000000"/>
                <w:sz w:val="20"/>
                <w:szCs w:val="20"/>
              </w:rPr>
              <w:t>. Noted in April 2014 and agreed that the curriculum could be made available for state and territory use. Decisions about the use of these curricula are to be taken by relevant authorities in each state and territory</w:t>
            </w:r>
            <w:r>
              <w:rPr>
                <w:color w:val="000000"/>
                <w:sz w:val="20"/>
                <w:szCs w:val="20"/>
              </w:rPr>
              <w:t>.</w:t>
            </w:r>
          </w:p>
          <w:p w14:paraId="35636DB9" w14:textId="77777777" w:rsidR="00E45E3A" w:rsidRPr="00A951BB" w:rsidRDefault="00E45E3A" w:rsidP="007D0385">
            <w:pPr>
              <w:rPr>
                <w:sz w:val="20"/>
                <w:szCs w:val="20"/>
              </w:rPr>
            </w:pPr>
            <w:r w:rsidRPr="00DB57A7">
              <w:rPr>
                <w:rFonts w:ascii="Calibri" w:hAnsi="Calibri"/>
                <w:color w:val="000000"/>
                <w:sz w:val="20"/>
                <w:szCs w:val="20"/>
              </w:rPr>
              <w:t>Indicative hours</w:t>
            </w:r>
            <w:r>
              <w:rPr>
                <w:rFonts w:ascii="Calibri" w:hAnsi="Calibri"/>
                <w:color w:val="000000"/>
                <w:sz w:val="20"/>
                <w:szCs w:val="20"/>
              </w:rPr>
              <w:t xml:space="preserve"> are provided as a guide to assist in managing implementation of Languages: T (Transition) – Year 6 equivalent of 50 hours per year; Years 7 – 10 - 80 hours per year (Years 9 &amp; 10 Languages is optional)</w:t>
            </w:r>
          </w:p>
        </w:tc>
        <w:tc>
          <w:tcPr>
            <w:tcW w:w="843" w:type="pct"/>
          </w:tcPr>
          <w:p w14:paraId="42753078" w14:textId="610EDD67" w:rsidR="00E45E3A" w:rsidRPr="00A951BB" w:rsidRDefault="00440F5D" w:rsidP="007D0385">
            <w:pPr>
              <w:rPr>
                <w:sz w:val="20"/>
                <w:szCs w:val="20"/>
              </w:rPr>
            </w:pPr>
            <w:r>
              <w:rPr>
                <w:sz w:val="20"/>
                <w:szCs w:val="20"/>
              </w:rPr>
              <w:t>Waiting for endorsement</w:t>
            </w:r>
          </w:p>
        </w:tc>
      </w:tr>
    </w:tbl>
    <w:p w14:paraId="7A3BFC08" w14:textId="77777777" w:rsidR="00E45E3A" w:rsidRDefault="00E45E3A">
      <w:pPr>
        <w:spacing w:after="0"/>
        <w:rPr>
          <w:rStyle w:val="Heading3Char"/>
          <w:sz w:val="20"/>
          <w:szCs w:val="20"/>
        </w:rPr>
      </w:pPr>
      <w:r>
        <w:rPr>
          <w:rStyle w:val="Heading3Char"/>
          <w:sz w:val="20"/>
          <w:szCs w:val="20"/>
        </w:rPr>
        <w:br w:type="page"/>
      </w:r>
    </w:p>
    <w:p w14:paraId="088765D9" w14:textId="4C086C9F" w:rsidR="00E45E3A" w:rsidRPr="00F74E23" w:rsidRDefault="00E45E3A" w:rsidP="00F74E23">
      <w:pPr>
        <w:spacing w:after="0"/>
        <w:rPr>
          <w:b/>
        </w:rPr>
      </w:pPr>
      <w:r w:rsidRPr="00F74E23">
        <w:rPr>
          <w:b/>
        </w:rPr>
        <w:lastRenderedPageBreak/>
        <w:t>Queensland (As advised and/or verified by Qld Department of Education and Training)</w:t>
      </w:r>
    </w:p>
    <w:tbl>
      <w:tblPr>
        <w:tblStyle w:val="TableGrid"/>
        <w:tblW w:w="5000" w:type="pct"/>
        <w:tblLook w:val="04A0" w:firstRow="1" w:lastRow="0" w:firstColumn="1" w:lastColumn="0" w:noHBand="0" w:noVBand="1"/>
      </w:tblPr>
      <w:tblGrid>
        <w:gridCol w:w="3033"/>
        <w:gridCol w:w="4085"/>
        <w:gridCol w:w="4210"/>
        <w:gridCol w:w="2297"/>
      </w:tblGrid>
      <w:tr w:rsidR="00E45E3A" w:rsidRPr="00A951BB" w14:paraId="34C158DB" w14:textId="77777777" w:rsidTr="004866BD">
        <w:trPr>
          <w:cantSplit/>
          <w:tblHeader/>
        </w:trPr>
        <w:tc>
          <w:tcPr>
            <w:tcW w:w="1113" w:type="pct"/>
            <w:shd w:val="clear" w:color="auto" w:fill="000000" w:themeFill="text1"/>
          </w:tcPr>
          <w:p w14:paraId="4D5AF3CC" w14:textId="77777777" w:rsidR="00E45E3A" w:rsidRPr="00A951BB" w:rsidRDefault="00E45E3A" w:rsidP="007D0385">
            <w:pPr>
              <w:rPr>
                <w:b/>
                <w:sz w:val="20"/>
                <w:szCs w:val="20"/>
              </w:rPr>
            </w:pPr>
            <w:r w:rsidRPr="00A951BB">
              <w:rPr>
                <w:b/>
                <w:sz w:val="20"/>
                <w:szCs w:val="20"/>
              </w:rPr>
              <w:t>Title of Policy</w:t>
            </w:r>
          </w:p>
        </w:tc>
        <w:tc>
          <w:tcPr>
            <w:tcW w:w="1499" w:type="pct"/>
            <w:shd w:val="clear" w:color="auto" w:fill="000000" w:themeFill="text1"/>
          </w:tcPr>
          <w:p w14:paraId="3547BB44" w14:textId="77777777" w:rsidR="00E45E3A" w:rsidRPr="00A951BB" w:rsidRDefault="00E45E3A" w:rsidP="007D0385">
            <w:pPr>
              <w:rPr>
                <w:b/>
                <w:sz w:val="20"/>
                <w:szCs w:val="20"/>
              </w:rPr>
            </w:pPr>
            <w:r w:rsidRPr="00A951BB">
              <w:rPr>
                <w:b/>
                <w:sz w:val="20"/>
                <w:szCs w:val="20"/>
              </w:rPr>
              <w:t>Stated Purpose</w:t>
            </w:r>
          </w:p>
        </w:tc>
        <w:tc>
          <w:tcPr>
            <w:tcW w:w="1545" w:type="pct"/>
            <w:shd w:val="clear" w:color="auto" w:fill="000000" w:themeFill="text1"/>
          </w:tcPr>
          <w:p w14:paraId="1BE7F799" w14:textId="77777777" w:rsidR="00E45E3A" w:rsidRPr="00A951BB" w:rsidRDefault="00E45E3A" w:rsidP="007D0385">
            <w:pPr>
              <w:rPr>
                <w:b/>
                <w:sz w:val="20"/>
                <w:szCs w:val="20"/>
              </w:rPr>
            </w:pPr>
            <w:r w:rsidRPr="00A951BB">
              <w:rPr>
                <w:b/>
                <w:sz w:val="20"/>
                <w:szCs w:val="20"/>
              </w:rPr>
              <w:t>Implementation</w:t>
            </w:r>
          </w:p>
        </w:tc>
        <w:tc>
          <w:tcPr>
            <w:tcW w:w="843" w:type="pct"/>
            <w:shd w:val="clear" w:color="auto" w:fill="000000" w:themeFill="text1"/>
          </w:tcPr>
          <w:p w14:paraId="2D125E88" w14:textId="77777777" w:rsidR="00E45E3A" w:rsidRPr="00A951BB" w:rsidRDefault="00E45E3A" w:rsidP="007D0385">
            <w:pPr>
              <w:rPr>
                <w:b/>
                <w:sz w:val="20"/>
                <w:szCs w:val="20"/>
              </w:rPr>
            </w:pPr>
            <w:r w:rsidRPr="00A951BB">
              <w:rPr>
                <w:b/>
                <w:sz w:val="20"/>
                <w:szCs w:val="20"/>
              </w:rPr>
              <w:t>Implications</w:t>
            </w:r>
          </w:p>
        </w:tc>
      </w:tr>
      <w:tr w:rsidR="00E45E3A" w:rsidRPr="00A951BB" w14:paraId="4114C88E" w14:textId="77777777" w:rsidTr="004866BD">
        <w:trPr>
          <w:cantSplit/>
        </w:trPr>
        <w:tc>
          <w:tcPr>
            <w:tcW w:w="1113" w:type="pct"/>
          </w:tcPr>
          <w:p w14:paraId="787A8E0A" w14:textId="77777777" w:rsidR="00E45E3A" w:rsidRPr="00000634" w:rsidRDefault="00E45E3A" w:rsidP="007D0385">
            <w:pPr>
              <w:spacing w:before="60" w:after="60"/>
              <w:rPr>
                <w:sz w:val="20"/>
                <w:szCs w:val="20"/>
              </w:rPr>
            </w:pPr>
            <w:r w:rsidRPr="004A3C15">
              <w:rPr>
                <w:sz w:val="20"/>
                <w:szCs w:val="20"/>
              </w:rPr>
              <w:t xml:space="preserve">Specific policy for Languages </w:t>
            </w:r>
            <w:r w:rsidRPr="004A3C15">
              <w:rPr>
                <w:i/>
                <w:sz w:val="20"/>
                <w:szCs w:val="20"/>
              </w:rPr>
              <w:t>Mandatory Languages Policy</w:t>
            </w:r>
            <w:r w:rsidRPr="004A3C15">
              <w:rPr>
                <w:sz w:val="20"/>
                <w:szCs w:val="20"/>
              </w:rPr>
              <w:t xml:space="preserve"> continues until the implementation of the Australian Curriculum: Languages in 2016</w:t>
            </w:r>
          </w:p>
        </w:tc>
        <w:tc>
          <w:tcPr>
            <w:tcW w:w="1499" w:type="pct"/>
          </w:tcPr>
          <w:p w14:paraId="10A81696" w14:textId="77777777" w:rsidR="00E45E3A" w:rsidRDefault="00E45E3A" w:rsidP="007D0385">
            <w:pPr>
              <w:spacing w:before="60" w:after="60"/>
              <w:rPr>
                <w:sz w:val="20"/>
                <w:szCs w:val="20"/>
              </w:rPr>
            </w:pPr>
            <w:r w:rsidRPr="004A3C15">
              <w:rPr>
                <w:b/>
                <w:sz w:val="20"/>
                <w:szCs w:val="20"/>
              </w:rPr>
              <w:t>Aim:</w:t>
            </w:r>
            <w:r w:rsidRPr="004A3C15">
              <w:rPr>
                <w:sz w:val="20"/>
                <w:szCs w:val="20"/>
              </w:rPr>
              <w:t xml:space="preserve"> ‘increase the percentage of Year 12 students who complete language studies.’ </w:t>
            </w:r>
          </w:p>
          <w:p w14:paraId="1B774333" w14:textId="77777777" w:rsidR="00E45E3A" w:rsidRPr="00A951BB" w:rsidRDefault="00E45E3A" w:rsidP="007D0385">
            <w:pPr>
              <w:widowControl w:val="0"/>
              <w:autoSpaceDE w:val="0"/>
              <w:autoSpaceDN w:val="0"/>
              <w:adjustRightInd w:val="0"/>
              <w:spacing w:before="60" w:after="60"/>
              <w:rPr>
                <w:sz w:val="20"/>
                <w:szCs w:val="20"/>
              </w:rPr>
            </w:pPr>
            <w:r w:rsidRPr="004A3C15">
              <w:rPr>
                <w:sz w:val="20"/>
                <w:szCs w:val="20"/>
              </w:rPr>
              <w:t xml:space="preserve">Students will be </w:t>
            </w:r>
            <w:r>
              <w:rPr>
                <w:sz w:val="20"/>
                <w:szCs w:val="20"/>
              </w:rPr>
              <w:t>‘</w:t>
            </w:r>
            <w:r w:rsidRPr="004A3C15">
              <w:rPr>
                <w:sz w:val="20"/>
                <w:szCs w:val="20"/>
              </w:rPr>
              <w:t>encouraged to continue their language studies to Year 12’ (Mandatory Languages– Information brochure for Parents)</w:t>
            </w:r>
          </w:p>
        </w:tc>
        <w:tc>
          <w:tcPr>
            <w:tcW w:w="1545" w:type="pct"/>
          </w:tcPr>
          <w:p w14:paraId="4959B2AD" w14:textId="77777777" w:rsidR="00E45E3A" w:rsidRPr="004A3C15" w:rsidRDefault="00E45E3A" w:rsidP="007D0385">
            <w:pPr>
              <w:spacing w:before="60" w:after="60"/>
              <w:rPr>
                <w:sz w:val="20"/>
                <w:szCs w:val="20"/>
              </w:rPr>
            </w:pPr>
            <w:r w:rsidRPr="004A3C15">
              <w:rPr>
                <w:sz w:val="20"/>
                <w:szCs w:val="20"/>
              </w:rPr>
              <w:t>Languages are mandatory in Years 6–8 in all state schools. Support is provided for 6 ‘commonly taught’ languages: Japanese, German, French, Italian, Indonesian and Chinese (Mandarin). Schools can choose to provide Aboriginal languages and Torres Strait Islander languages to fulfil the requirement.</w:t>
            </w:r>
          </w:p>
        </w:tc>
        <w:tc>
          <w:tcPr>
            <w:tcW w:w="843" w:type="pct"/>
          </w:tcPr>
          <w:p w14:paraId="112864B4" w14:textId="77777777" w:rsidR="00E45E3A" w:rsidRPr="004A3C15" w:rsidRDefault="00E45E3A" w:rsidP="007D0385">
            <w:pPr>
              <w:spacing w:before="60" w:after="60"/>
              <w:rPr>
                <w:sz w:val="20"/>
                <w:szCs w:val="20"/>
              </w:rPr>
            </w:pPr>
            <w:r>
              <w:rPr>
                <w:sz w:val="20"/>
                <w:szCs w:val="20"/>
              </w:rPr>
              <w:t>Reflects impact of Commonwealth G</w:t>
            </w:r>
            <w:r w:rsidRPr="004A3C15">
              <w:rPr>
                <w:sz w:val="20"/>
                <w:szCs w:val="20"/>
              </w:rPr>
              <w:t>overnment policy and national curriculum.</w:t>
            </w:r>
          </w:p>
          <w:p w14:paraId="55ABF64D" w14:textId="77777777" w:rsidR="00E45E3A" w:rsidRPr="00A951BB" w:rsidRDefault="00E45E3A" w:rsidP="007D0385">
            <w:pPr>
              <w:rPr>
                <w:sz w:val="20"/>
                <w:szCs w:val="20"/>
              </w:rPr>
            </w:pPr>
            <w:r w:rsidRPr="004A3C15">
              <w:rPr>
                <w:sz w:val="20"/>
                <w:szCs w:val="20"/>
              </w:rPr>
              <w:t>Priority given to first four learning areas, local decisions about time for languages.</w:t>
            </w:r>
          </w:p>
        </w:tc>
      </w:tr>
      <w:tr w:rsidR="00E45E3A" w:rsidRPr="00A951BB" w14:paraId="695A1D1F" w14:textId="77777777" w:rsidTr="004866BD">
        <w:trPr>
          <w:cantSplit/>
        </w:trPr>
        <w:tc>
          <w:tcPr>
            <w:tcW w:w="1113" w:type="pct"/>
          </w:tcPr>
          <w:p w14:paraId="555ECE98" w14:textId="77777777" w:rsidR="00E45E3A" w:rsidRPr="004A3C15" w:rsidRDefault="00E45E3A" w:rsidP="007D0385">
            <w:pPr>
              <w:spacing w:before="60" w:after="60"/>
              <w:rPr>
                <w:sz w:val="20"/>
                <w:szCs w:val="20"/>
              </w:rPr>
            </w:pPr>
            <w:r w:rsidRPr="004A3C15">
              <w:rPr>
                <w:i/>
                <w:sz w:val="20"/>
                <w:szCs w:val="20"/>
              </w:rPr>
              <w:t xml:space="preserve">Global schools – Creating successful global citizens </w:t>
            </w:r>
            <w:r w:rsidRPr="004A3C15">
              <w:rPr>
                <w:sz w:val="20"/>
                <w:szCs w:val="20"/>
              </w:rPr>
              <w:t>consultation draft released; consultation underway</w:t>
            </w:r>
          </w:p>
          <w:p w14:paraId="31288359" w14:textId="77777777" w:rsidR="00E45E3A" w:rsidRPr="004A3C15" w:rsidRDefault="006E5D16" w:rsidP="007D0385">
            <w:pPr>
              <w:spacing w:before="60" w:after="60"/>
              <w:rPr>
                <w:sz w:val="20"/>
                <w:szCs w:val="20"/>
              </w:rPr>
            </w:pPr>
            <w:hyperlink r:id="rId27" w:history="1">
              <w:r w:rsidR="00E45E3A" w:rsidRPr="004A3C15">
                <w:rPr>
                  <w:i/>
                  <w:sz w:val="20"/>
                  <w:szCs w:val="20"/>
                </w:rPr>
                <w:t>Languages in Queensland state schools policy</w:t>
              </w:r>
            </w:hyperlink>
            <w:r w:rsidR="00E45E3A" w:rsidRPr="004A3C15">
              <w:rPr>
                <w:sz w:val="20"/>
                <w:szCs w:val="20"/>
              </w:rPr>
              <w:t xml:space="preserve"> (from 2015)</w:t>
            </w:r>
          </w:p>
          <w:p w14:paraId="7A43B6E9" w14:textId="77777777" w:rsidR="00E45E3A" w:rsidRPr="004A3C15" w:rsidRDefault="00E45E3A" w:rsidP="007D0385">
            <w:pPr>
              <w:spacing w:before="60" w:after="60"/>
              <w:rPr>
                <w:sz w:val="20"/>
                <w:szCs w:val="20"/>
              </w:rPr>
            </w:pPr>
          </w:p>
        </w:tc>
        <w:tc>
          <w:tcPr>
            <w:tcW w:w="1499" w:type="pct"/>
          </w:tcPr>
          <w:p w14:paraId="12CCF0B9" w14:textId="77777777" w:rsidR="00E45E3A" w:rsidRPr="004A3C15" w:rsidRDefault="00E45E3A" w:rsidP="007D0385">
            <w:pPr>
              <w:spacing w:before="60" w:after="60"/>
              <w:rPr>
                <w:sz w:val="20"/>
                <w:szCs w:val="20"/>
              </w:rPr>
            </w:pPr>
            <w:r w:rsidRPr="004A3C15">
              <w:rPr>
                <w:sz w:val="20"/>
                <w:szCs w:val="20"/>
              </w:rPr>
              <w:t>Proposal envisages a system in which all state schools will offer languages from Prep through to Year 12 and that all students will have the opportunity to engage with other cultures.</w:t>
            </w:r>
          </w:p>
          <w:p w14:paraId="5B3BA838" w14:textId="77777777" w:rsidR="00E45E3A" w:rsidRPr="004A3C15" w:rsidRDefault="00E45E3A" w:rsidP="007D0385">
            <w:pPr>
              <w:spacing w:before="60" w:after="60"/>
              <w:rPr>
                <w:b/>
                <w:sz w:val="20"/>
                <w:szCs w:val="20"/>
              </w:rPr>
            </w:pPr>
            <w:r w:rsidRPr="004A3C15">
              <w:rPr>
                <w:b/>
                <w:sz w:val="20"/>
                <w:szCs w:val="20"/>
              </w:rPr>
              <w:t>Aim:</w:t>
            </w:r>
            <w:r w:rsidRPr="004A3C15">
              <w:rPr>
                <w:sz w:val="20"/>
                <w:szCs w:val="20"/>
              </w:rPr>
              <w:t xml:space="preserve"> all </w:t>
            </w:r>
            <w:proofErr w:type="spellStart"/>
            <w:r>
              <w:rPr>
                <w:sz w:val="20"/>
                <w:szCs w:val="20"/>
              </w:rPr>
              <w:t>Qld</w:t>
            </w:r>
            <w:proofErr w:type="spellEnd"/>
            <w:r w:rsidRPr="004A3C15">
              <w:rPr>
                <w:sz w:val="20"/>
                <w:szCs w:val="20"/>
              </w:rPr>
              <w:t xml:space="preserve"> state schools will be req</w:t>
            </w:r>
            <w:r>
              <w:rPr>
                <w:sz w:val="20"/>
                <w:szCs w:val="20"/>
              </w:rPr>
              <w:t>uired to provide a language in Y</w:t>
            </w:r>
            <w:r w:rsidRPr="004A3C15">
              <w:rPr>
                <w:sz w:val="20"/>
                <w:szCs w:val="20"/>
              </w:rPr>
              <w:t>ears 5–8.</w:t>
            </w:r>
          </w:p>
        </w:tc>
        <w:tc>
          <w:tcPr>
            <w:tcW w:w="1545" w:type="pct"/>
          </w:tcPr>
          <w:p w14:paraId="1AB16355" w14:textId="77777777" w:rsidR="00E45E3A" w:rsidRPr="004A3C15" w:rsidRDefault="00E45E3A" w:rsidP="007D0385">
            <w:pPr>
              <w:spacing w:before="60" w:after="60"/>
              <w:rPr>
                <w:sz w:val="20"/>
                <w:szCs w:val="20"/>
              </w:rPr>
            </w:pPr>
            <w:r w:rsidRPr="004A3C15">
              <w:rPr>
                <w:sz w:val="20"/>
                <w:szCs w:val="20"/>
              </w:rPr>
              <w:t xml:space="preserve">Schools are encouraged to offer a </w:t>
            </w:r>
            <w:r>
              <w:rPr>
                <w:sz w:val="20"/>
                <w:szCs w:val="20"/>
              </w:rPr>
              <w:t>l</w:t>
            </w:r>
            <w:r w:rsidRPr="004A3C15">
              <w:rPr>
                <w:sz w:val="20"/>
                <w:szCs w:val="20"/>
              </w:rPr>
              <w:t>anguage programme from Prep to Year 12 ‘where appropriate’. Schools, in consultation with their school community, have autonomy to make decisions about the year levels of provision.</w:t>
            </w:r>
          </w:p>
          <w:p w14:paraId="223C7871" w14:textId="77777777" w:rsidR="00E45E3A" w:rsidRPr="004A3C15" w:rsidRDefault="00E45E3A" w:rsidP="007D0385">
            <w:pPr>
              <w:spacing w:before="60" w:after="60"/>
              <w:rPr>
                <w:sz w:val="20"/>
                <w:szCs w:val="20"/>
              </w:rPr>
            </w:pPr>
            <w:r w:rsidRPr="004A3C15">
              <w:rPr>
                <w:bCs/>
                <w:sz w:val="20"/>
                <w:szCs w:val="20"/>
              </w:rPr>
              <w:t>The P–12 Curriculum, Assessment and Reporting Framework</w:t>
            </w:r>
            <w:r w:rsidRPr="004A3C15">
              <w:rPr>
                <w:sz w:val="20"/>
                <w:szCs w:val="20"/>
              </w:rPr>
              <w:t xml:space="preserve"> recommends time allocations for English, Mathematics, Science, History and H</w:t>
            </w:r>
            <w:r>
              <w:rPr>
                <w:sz w:val="20"/>
                <w:szCs w:val="20"/>
              </w:rPr>
              <w:t xml:space="preserve">ealth </w:t>
            </w:r>
            <w:r w:rsidRPr="004A3C15">
              <w:rPr>
                <w:sz w:val="20"/>
                <w:szCs w:val="20"/>
              </w:rPr>
              <w:t>&amp;</w:t>
            </w:r>
            <w:r>
              <w:rPr>
                <w:sz w:val="20"/>
                <w:szCs w:val="20"/>
              </w:rPr>
              <w:t xml:space="preserve"> </w:t>
            </w:r>
            <w:r w:rsidRPr="004A3C15">
              <w:rPr>
                <w:sz w:val="20"/>
                <w:szCs w:val="20"/>
              </w:rPr>
              <w:t>P</w:t>
            </w:r>
            <w:r>
              <w:rPr>
                <w:sz w:val="20"/>
                <w:szCs w:val="20"/>
              </w:rPr>
              <w:t xml:space="preserve">hysical </w:t>
            </w:r>
            <w:r w:rsidRPr="004A3C15">
              <w:rPr>
                <w:sz w:val="20"/>
                <w:szCs w:val="20"/>
              </w:rPr>
              <w:t>E</w:t>
            </w:r>
            <w:r>
              <w:rPr>
                <w:sz w:val="20"/>
                <w:szCs w:val="20"/>
              </w:rPr>
              <w:t>ducation</w:t>
            </w:r>
            <w:r w:rsidRPr="004A3C15">
              <w:rPr>
                <w:sz w:val="20"/>
                <w:szCs w:val="20"/>
              </w:rPr>
              <w:t xml:space="preserve"> based on the </w:t>
            </w:r>
            <w:r>
              <w:rPr>
                <w:sz w:val="20"/>
                <w:szCs w:val="20"/>
              </w:rPr>
              <w:t>Australian Curriculum (</w:t>
            </w:r>
            <w:r w:rsidRPr="004A3C15">
              <w:rPr>
                <w:sz w:val="20"/>
                <w:szCs w:val="20"/>
              </w:rPr>
              <w:t>AC</w:t>
            </w:r>
            <w:r>
              <w:rPr>
                <w:sz w:val="20"/>
                <w:szCs w:val="20"/>
              </w:rPr>
              <w:t>)</w:t>
            </w:r>
            <w:r w:rsidRPr="004A3C15">
              <w:rPr>
                <w:sz w:val="20"/>
                <w:szCs w:val="20"/>
              </w:rPr>
              <w:t xml:space="preserve">, school year and core system priorities (including additional hours for English and Mathematics). Schools decide time for remaining learning areas (referred to </w:t>
            </w:r>
            <w:proofErr w:type="spellStart"/>
            <w:r w:rsidRPr="004A3C15">
              <w:rPr>
                <w:sz w:val="20"/>
                <w:szCs w:val="20"/>
              </w:rPr>
              <w:t>ACARA’s</w:t>
            </w:r>
            <w:proofErr w:type="spellEnd"/>
            <w:r w:rsidRPr="004A3C15">
              <w:rPr>
                <w:sz w:val="20"/>
                <w:szCs w:val="20"/>
              </w:rPr>
              <w:t xml:space="preserve"> indicative times for writers). In 2015, state schools </w:t>
            </w:r>
            <w:proofErr w:type="spellStart"/>
            <w:r w:rsidRPr="004A3C15">
              <w:rPr>
                <w:sz w:val="20"/>
                <w:szCs w:val="20"/>
              </w:rPr>
              <w:t>familiarise</w:t>
            </w:r>
            <w:proofErr w:type="spellEnd"/>
            <w:r w:rsidRPr="004A3C15">
              <w:rPr>
                <w:sz w:val="20"/>
                <w:szCs w:val="20"/>
              </w:rPr>
              <w:t xml:space="preserve"> with the AC and from 2016 commence implementation.</w:t>
            </w:r>
          </w:p>
          <w:p w14:paraId="04E54240" w14:textId="77777777" w:rsidR="00E45E3A" w:rsidRDefault="00E45E3A" w:rsidP="007D0385">
            <w:pPr>
              <w:spacing w:before="60" w:after="60"/>
              <w:rPr>
                <w:sz w:val="20"/>
                <w:szCs w:val="20"/>
              </w:rPr>
            </w:pPr>
            <w:r w:rsidRPr="004A3C15">
              <w:rPr>
                <w:sz w:val="20"/>
                <w:szCs w:val="20"/>
              </w:rPr>
              <w:t>Support for languages also includes the After-Hours Ethnic Schooling Program.</w:t>
            </w:r>
          </w:p>
          <w:p w14:paraId="6A2B3164" w14:textId="77777777" w:rsidR="00E45E3A" w:rsidRPr="004A3C15" w:rsidRDefault="00E45E3A" w:rsidP="007D0385">
            <w:pPr>
              <w:spacing w:before="60" w:after="60"/>
              <w:rPr>
                <w:sz w:val="20"/>
                <w:szCs w:val="20"/>
              </w:rPr>
            </w:pPr>
          </w:p>
        </w:tc>
        <w:tc>
          <w:tcPr>
            <w:tcW w:w="843" w:type="pct"/>
          </w:tcPr>
          <w:p w14:paraId="1612C69C" w14:textId="77777777" w:rsidR="00E45E3A" w:rsidRDefault="00E45E3A" w:rsidP="007D0385">
            <w:pPr>
              <w:spacing w:before="60" w:after="60"/>
              <w:rPr>
                <w:sz w:val="20"/>
                <w:szCs w:val="20"/>
              </w:rPr>
            </w:pPr>
          </w:p>
        </w:tc>
      </w:tr>
    </w:tbl>
    <w:p w14:paraId="411C0EEB" w14:textId="77777777" w:rsidR="00E45E3A" w:rsidRDefault="00E45E3A" w:rsidP="00E45E3A">
      <w:pPr>
        <w:rPr>
          <w:rStyle w:val="Heading3Char"/>
          <w:sz w:val="20"/>
          <w:szCs w:val="20"/>
        </w:rPr>
      </w:pPr>
      <w:r>
        <w:rPr>
          <w:rStyle w:val="Heading3Char"/>
          <w:sz w:val="20"/>
          <w:szCs w:val="20"/>
        </w:rPr>
        <w:br w:type="page"/>
      </w:r>
    </w:p>
    <w:p w14:paraId="6C753359" w14:textId="77777777" w:rsidR="00E45E3A" w:rsidRPr="00F74E23" w:rsidRDefault="00E45E3A" w:rsidP="00BA49C9">
      <w:pPr>
        <w:spacing w:after="0"/>
        <w:rPr>
          <w:b/>
        </w:rPr>
      </w:pPr>
      <w:r w:rsidRPr="00F74E23">
        <w:rPr>
          <w:b/>
        </w:rPr>
        <w:lastRenderedPageBreak/>
        <w:t>South Australia (as advised and/or verified by SA Department of Education and Childhood Development)</w:t>
      </w:r>
    </w:p>
    <w:tbl>
      <w:tblPr>
        <w:tblStyle w:val="TableGrid"/>
        <w:tblW w:w="5000" w:type="pct"/>
        <w:tblLook w:val="04A0" w:firstRow="1" w:lastRow="0" w:firstColumn="1" w:lastColumn="0" w:noHBand="0" w:noVBand="1"/>
      </w:tblPr>
      <w:tblGrid>
        <w:gridCol w:w="3009"/>
        <w:gridCol w:w="4048"/>
        <w:gridCol w:w="4175"/>
        <w:gridCol w:w="2393"/>
      </w:tblGrid>
      <w:tr w:rsidR="00E45E3A" w:rsidRPr="00A951BB" w14:paraId="7C0740E9" w14:textId="77777777" w:rsidTr="004866BD">
        <w:trPr>
          <w:cantSplit/>
          <w:tblHeader/>
        </w:trPr>
        <w:tc>
          <w:tcPr>
            <w:tcW w:w="1104" w:type="pct"/>
            <w:tcBorders>
              <w:bottom w:val="single" w:sz="4" w:space="0" w:color="auto"/>
            </w:tcBorders>
            <w:shd w:val="clear" w:color="auto" w:fill="000000" w:themeFill="text1"/>
          </w:tcPr>
          <w:p w14:paraId="673FBF56" w14:textId="77777777" w:rsidR="00E45E3A" w:rsidRPr="00A951BB" w:rsidRDefault="00E45E3A" w:rsidP="007D0385">
            <w:pPr>
              <w:rPr>
                <w:b/>
                <w:sz w:val="20"/>
                <w:szCs w:val="20"/>
              </w:rPr>
            </w:pPr>
            <w:r w:rsidRPr="00A951BB">
              <w:rPr>
                <w:b/>
                <w:sz w:val="20"/>
                <w:szCs w:val="20"/>
              </w:rPr>
              <w:t>Title of Policy</w:t>
            </w:r>
          </w:p>
        </w:tc>
        <w:tc>
          <w:tcPr>
            <w:tcW w:w="1485" w:type="pct"/>
            <w:tcBorders>
              <w:bottom w:val="single" w:sz="4" w:space="0" w:color="auto"/>
            </w:tcBorders>
            <w:shd w:val="clear" w:color="auto" w:fill="000000" w:themeFill="text1"/>
          </w:tcPr>
          <w:p w14:paraId="139C3690" w14:textId="77777777" w:rsidR="00E45E3A" w:rsidRPr="00A951BB" w:rsidRDefault="00E45E3A" w:rsidP="007D0385">
            <w:pPr>
              <w:rPr>
                <w:b/>
                <w:sz w:val="20"/>
                <w:szCs w:val="20"/>
              </w:rPr>
            </w:pPr>
            <w:r w:rsidRPr="00A951BB">
              <w:rPr>
                <w:b/>
                <w:sz w:val="20"/>
                <w:szCs w:val="20"/>
              </w:rPr>
              <w:t>Stated Purpose</w:t>
            </w:r>
          </w:p>
        </w:tc>
        <w:tc>
          <w:tcPr>
            <w:tcW w:w="1532" w:type="pct"/>
            <w:tcBorders>
              <w:bottom w:val="single" w:sz="4" w:space="0" w:color="auto"/>
            </w:tcBorders>
            <w:shd w:val="clear" w:color="auto" w:fill="000000" w:themeFill="text1"/>
          </w:tcPr>
          <w:p w14:paraId="6AE5F080" w14:textId="77777777" w:rsidR="00E45E3A" w:rsidRPr="00A951BB" w:rsidRDefault="00E45E3A" w:rsidP="007D0385">
            <w:pPr>
              <w:rPr>
                <w:b/>
                <w:sz w:val="20"/>
                <w:szCs w:val="20"/>
              </w:rPr>
            </w:pPr>
            <w:r w:rsidRPr="00A951BB">
              <w:rPr>
                <w:b/>
                <w:sz w:val="20"/>
                <w:szCs w:val="20"/>
              </w:rPr>
              <w:t>Implementation</w:t>
            </w:r>
          </w:p>
        </w:tc>
        <w:tc>
          <w:tcPr>
            <w:tcW w:w="878" w:type="pct"/>
            <w:tcBorders>
              <w:bottom w:val="single" w:sz="4" w:space="0" w:color="auto"/>
            </w:tcBorders>
            <w:shd w:val="clear" w:color="auto" w:fill="000000" w:themeFill="text1"/>
          </w:tcPr>
          <w:p w14:paraId="12485590" w14:textId="77777777" w:rsidR="00E45E3A" w:rsidRPr="00A951BB" w:rsidRDefault="00E45E3A" w:rsidP="007D0385">
            <w:pPr>
              <w:rPr>
                <w:b/>
                <w:sz w:val="20"/>
                <w:szCs w:val="20"/>
              </w:rPr>
            </w:pPr>
            <w:r w:rsidRPr="00A951BB">
              <w:rPr>
                <w:b/>
                <w:sz w:val="20"/>
                <w:szCs w:val="20"/>
              </w:rPr>
              <w:t>Implications</w:t>
            </w:r>
          </w:p>
        </w:tc>
      </w:tr>
      <w:tr w:rsidR="00E45E3A" w:rsidRPr="00000634" w14:paraId="12F9A680" w14:textId="77777777" w:rsidTr="004866BD">
        <w:trPr>
          <w:cantSplit/>
          <w:tblHeader/>
        </w:trPr>
        <w:tc>
          <w:tcPr>
            <w:tcW w:w="1104" w:type="pct"/>
            <w:shd w:val="clear" w:color="auto" w:fill="FFFFFF" w:themeFill="background1"/>
          </w:tcPr>
          <w:p w14:paraId="3D52356A" w14:textId="77777777" w:rsidR="00E45E3A" w:rsidRPr="004A3C15" w:rsidRDefault="00E45E3A" w:rsidP="007D0385">
            <w:pPr>
              <w:widowControl w:val="0"/>
              <w:autoSpaceDE w:val="0"/>
              <w:autoSpaceDN w:val="0"/>
              <w:adjustRightInd w:val="0"/>
              <w:spacing w:before="60" w:after="60"/>
              <w:rPr>
                <w:sz w:val="20"/>
                <w:szCs w:val="20"/>
              </w:rPr>
            </w:pPr>
            <w:r w:rsidRPr="004A3C15">
              <w:rPr>
                <w:sz w:val="20"/>
                <w:szCs w:val="20"/>
              </w:rPr>
              <w:t xml:space="preserve">No policy specifically for </w:t>
            </w:r>
            <w:r>
              <w:rPr>
                <w:sz w:val="20"/>
                <w:szCs w:val="20"/>
              </w:rPr>
              <w:t>L</w:t>
            </w:r>
            <w:r w:rsidRPr="004A3C15">
              <w:rPr>
                <w:sz w:val="20"/>
                <w:szCs w:val="20"/>
              </w:rPr>
              <w:t>anguages</w:t>
            </w:r>
          </w:p>
          <w:p w14:paraId="15D7E646" w14:textId="77777777" w:rsidR="00E45E3A" w:rsidRPr="004A3C15" w:rsidRDefault="00E45E3A" w:rsidP="007D0385">
            <w:pPr>
              <w:widowControl w:val="0"/>
              <w:autoSpaceDE w:val="0"/>
              <w:autoSpaceDN w:val="0"/>
              <w:adjustRightInd w:val="0"/>
              <w:spacing w:before="60" w:after="60"/>
              <w:ind w:right="154"/>
              <w:rPr>
                <w:sz w:val="20"/>
                <w:szCs w:val="20"/>
              </w:rPr>
            </w:pPr>
            <w:r w:rsidRPr="004A3C15">
              <w:rPr>
                <w:sz w:val="20"/>
                <w:szCs w:val="20"/>
              </w:rPr>
              <w:t xml:space="preserve">Umbrella policy for all learning areas: </w:t>
            </w:r>
            <w:r w:rsidRPr="004A3C15">
              <w:rPr>
                <w:i/>
                <w:sz w:val="20"/>
                <w:szCs w:val="20"/>
              </w:rPr>
              <w:t>DECD Australian Curriculum, Pedagogy, Assessment and Reporting Policy R–10</w:t>
            </w:r>
            <w:r>
              <w:rPr>
                <w:i/>
                <w:sz w:val="20"/>
                <w:szCs w:val="20"/>
              </w:rPr>
              <w:t>, which is currently being reviewed</w:t>
            </w:r>
          </w:p>
          <w:p w14:paraId="16A9B8D7" w14:textId="77777777" w:rsidR="00E45E3A" w:rsidRPr="00000634" w:rsidRDefault="00E45E3A" w:rsidP="007D0385">
            <w:pPr>
              <w:rPr>
                <w:b/>
                <w:sz w:val="20"/>
                <w:szCs w:val="20"/>
              </w:rPr>
            </w:pPr>
          </w:p>
        </w:tc>
        <w:tc>
          <w:tcPr>
            <w:tcW w:w="1485" w:type="pct"/>
            <w:shd w:val="clear" w:color="auto" w:fill="FFFFFF" w:themeFill="background1"/>
          </w:tcPr>
          <w:p w14:paraId="0824C66F" w14:textId="77777777" w:rsidR="00E45E3A" w:rsidRPr="004A3C15" w:rsidRDefault="00E45E3A" w:rsidP="007D0385">
            <w:pPr>
              <w:spacing w:before="60" w:after="60"/>
              <w:rPr>
                <w:sz w:val="20"/>
                <w:szCs w:val="20"/>
              </w:rPr>
            </w:pPr>
            <w:r>
              <w:rPr>
                <w:sz w:val="20"/>
                <w:szCs w:val="20"/>
              </w:rPr>
              <w:t xml:space="preserve">To provide direction to schools, support </w:t>
            </w:r>
            <w:proofErr w:type="spellStart"/>
            <w:r>
              <w:rPr>
                <w:sz w:val="20"/>
                <w:szCs w:val="20"/>
              </w:rPr>
              <w:t>centres</w:t>
            </w:r>
            <w:proofErr w:type="spellEnd"/>
            <w:r>
              <w:rPr>
                <w:sz w:val="20"/>
                <w:szCs w:val="20"/>
              </w:rPr>
              <w:t xml:space="preserve"> and units about expectations of </w:t>
            </w:r>
            <w:r>
              <w:rPr>
                <w:b/>
                <w:sz w:val="20"/>
                <w:szCs w:val="20"/>
              </w:rPr>
              <w:t xml:space="preserve">what </w:t>
            </w:r>
            <w:r>
              <w:rPr>
                <w:sz w:val="20"/>
                <w:szCs w:val="20"/>
              </w:rPr>
              <w:t xml:space="preserve">will be taught and </w:t>
            </w:r>
            <w:r>
              <w:rPr>
                <w:b/>
                <w:sz w:val="20"/>
                <w:szCs w:val="20"/>
              </w:rPr>
              <w:t xml:space="preserve">how </w:t>
            </w:r>
            <w:r>
              <w:rPr>
                <w:sz w:val="20"/>
                <w:szCs w:val="20"/>
              </w:rPr>
              <w:t>it will be taught, assessed and reported. It is expected that by the beginning of 2017 all Australian Curriculum</w:t>
            </w:r>
            <w:r w:rsidRPr="004A3C15">
              <w:rPr>
                <w:sz w:val="20"/>
                <w:szCs w:val="20"/>
              </w:rPr>
              <w:t xml:space="preserve"> learning areas</w:t>
            </w:r>
            <w:r>
              <w:rPr>
                <w:sz w:val="20"/>
                <w:szCs w:val="20"/>
              </w:rPr>
              <w:t>/subjects, including languages,</w:t>
            </w:r>
            <w:r w:rsidRPr="004A3C15">
              <w:rPr>
                <w:sz w:val="20"/>
                <w:szCs w:val="20"/>
              </w:rPr>
              <w:t xml:space="preserve"> will be fully implemented (</w:t>
            </w:r>
            <w:proofErr w:type="spellStart"/>
            <w:r>
              <w:rPr>
                <w:sz w:val="20"/>
                <w:szCs w:val="20"/>
              </w:rPr>
              <w:t>i.e</w:t>
            </w:r>
            <w:proofErr w:type="spellEnd"/>
            <w:r>
              <w:rPr>
                <w:sz w:val="20"/>
                <w:szCs w:val="20"/>
              </w:rPr>
              <w:t xml:space="preserve"> used to plan, teach, assess and report</w:t>
            </w:r>
            <w:r w:rsidRPr="004A3C15">
              <w:rPr>
                <w:sz w:val="20"/>
                <w:szCs w:val="20"/>
              </w:rPr>
              <w:t>)</w:t>
            </w:r>
            <w:r>
              <w:rPr>
                <w:sz w:val="20"/>
                <w:szCs w:val="20"/>
              </w:rPr>
              <w:t xml:space="preserve"> in all DECD schools.</w:t>
            </w:r>
            <w:r w:rsidRPr="004A3C15">
              <w:rPr>
                <w:sz w:val="20"/>
                <w:szCs w:val="20"/>
              </w:rPr>
              <w:t xml:space="preserve"> </w:t>
            </w:r>
          </w:p>
          <w:p w14:paraId="05DD37E4" w14:textId="77777777" w:rsidR="00E45E3A" w:rsidRPr="00000634" w:rsidRDefault="00E45E3A" w:rsidP="007D0385">
            <w:pPr>
              <w:rPr>
                <w:b/>
                <w:sz w:val="20"/>
                <w:szCs w:val="20"/>
              </w:rPr>
            </w:pPr>
          </w:p>
        </w:tc>
        <w:tc>
          <w:tcPr>
            <w:tcW w:w="1532" w:type="pct"/>
            <w:shd w:val="clear" w:color="auto" w:fill="FFFFFF" w:themeFill="background1"/>
          </w:tcPr>
          <w:p w14:paraId="12B5D5B6" w14:textId="77777777" w:rsidR="00E45E3A" w:rsidRPr="004A3C15" w:rsidRDefault="00E45E3A" w:rsidP="007D0385">
            <w:pPr>
              <w:spacing w:after="60"/>
              <w:rPr>
                <w:sz w:val="20"/>
                <w:szCs w:val="20"/>
              </w:rPr>
            </w:pPr>
            <w:r w:rsidRPr="004A3C15">
              <w:rPr>
                <w:sz w:val="20"/>
                <w:szCs w:val="20"/>
              </w:rPr>
              <w:t>For languages in government schools, the re</w:t>
            </w:r>
            <w:r>
              <w:rPr>
                <w:sz w:val="20"/>
                <w:szCs w:val="20"/>
              </w:rPr>
              <w:t>commended time allocations for R</w:t>
            </w:r>
            <w:r w:rsidRPr="004A3C15">
              <w:rPr>
                <w:sz w:val="20"/>
                <w:szCs w:val="20"/>
              </w:rPr>
              <w:t xml:space="preserve">eception to Year 6 are 80 minutes per week and 128 minutes </w:t>
            </w:r>
            <w:r>
              <w:rPr>
                <w:sz w:val="20"/>
                <w:szCs w:val="20"/>
              </w:rPr>
              <w:t>per week for Years 7–10. These recommendations are based on the Australian Curriculum</w:t>
            </w:r>
            <w:r w:rsidRPr="004A3C15">
              <w:rPr>
                <w:sz w:val="20"/>
                <w:szCs w:val="20"/>
              </w:rPr>
              <w:t xml:space="preserve"> Indicative Hours for Writing. Schools can claim exceptional circumstances where principals negotiate the above timeline and declare the strategies they will put in place for future implementation.</w:t>
            </w:r>
          </w:p>
          <w:p w14:paraId="64D45D37" w14:textId="77777777" w:rsidR="00E45E3A" w:rsidRPr="004A3C15" w:rsidRDefault="00E45E3A" w:rsidP="007D0385">
            <w:pPr>
              <w:spacing w:before="120" w:after="60"/>
              <w:rPr>
                <w:sz w:val="20"/>
                <w:szCs w:val="20"/>
              </w:rPr>
            </w:pPr>
            <w:r w:rsidRPr="004A3C15">
              <w:rPr>
                <w:sz w:val="20"/>
                <w:szCs w:val="20"/>
              </w:rPr>
              <w:t xml:space="preserve">DECD recommends that one of the following priority languages be offered as a *whole-school language programme: Aboriginal Languages (most appropriate one for location), Chinese, French, German, Indonesian, Italian, Japanese, Modern Greek, Spanish and Vietnamese. </w:t>
            </w:r>
          </w:p>
          <w:p w14:paraId="4208E65D" w14:textId="77777777" w:rsidR="00E45E3A" w:rsidRPr="004A3C15" w:rsidRDefault="00E45E3A" w:rsidP="007D0385">
            <w:pPr>
              <w:spacing w:after="60"/>
              <w:rPr>
                <w:sz w:val="20"/>
                <w:szCs w:val="20"/>
              </w:rPr>
            </w:pPr>
            <w:r w:rsidRPr="004A3C15">
              <w:rPr>
                <w:sz w:val="20"/>
                <w:szCs w:val="20"/>
              </w:rPr>
              <w:t>*A whole-school language programme is one in which all students are learning the same second language as part of the whole-school curriculum offerings. In addition, there are a range of other language learning opportunities available to individual students through Ethnic Schools, the School of Languages (offered out of school hours) and First Language Maintenance and Development Programs (targeting students’ mother tongue).</w:t>
            </w:r>
          </w:p>
          <w:p w14:paraId="6A7A6063" w14:textId="77777777" w:rsidR="00E45E3A" w:rsidRPr="00000634" w:rsidRDefault="00E45E3A" w:rsidP="007D0385">
            <w:pPr>
              <w:rPr>
                <w:b/>
                <w:sz w:val="20"/>
                <w:szCs w:val="20"/>
              </w:rPr>
            </w:pPr>
            <w:r w:rsidRPr="004A3C15">
              <w:rPr>
                <w:sz w:val="20"/>
                <w:szCs w:val="20"/>
              </w:rPr>
              <w:t>DECD suppo</w:t>
            </w:r>
            <w:r>
              <w:rPr>
                <w:sz w:val="20"/>
                <w:szCs w:val="20"/>
              </w:rPr>
              <w:t>rts government schools through research</w:t>
            </w:r>
            <w:r w:rsidRPr="004A3C15">
              <w:rPr>
                <w:sz w:val="20"/>
                <w:szCs w:val="20"/>
              </w:rPr>
              <w:t xml:space="preserve"> to rethink ways of working within local school partnerships towards </w:t>
            </w:r>
            <w:r>
              <w:rPr>
                <w:sz w:val="20"/>
                <w:szCs w:val="20"/>
              </w:rPr>
              <w:t xml:space="preserve">improving engagement and achievement of all </w:t>
            </w:r>
            <w:proofErr w:type="gramStart"/>
            <w:r>
              <w:rPr>
                <w:sz w:val="20"/>
                <w:szCs w:val="20"/>
              </w:rPr>
              <w:t>students  in</w:t>
            </w:r>
            <w:proofErr w:type="gramEnd"/>
            <w:r>
              <w:rPr>
                <w:sz w:val="20"/>
                <w:szCs w:val="20"/>
              </w:rPr>
              <w:t xml:space="preserve"> </w:t>
            </w:r>
            <w:r w:rsidRPr="004A3C15">
              <w:rPr>
                <w:sz w:val="20"/>
                <w:szCs w:val="20"/>
              </w:rPr>
              <w:t xml:space="preserve"> quality</w:t>
            </w:r>
            <w:r>
              <w:rPr>
                <w:sz w:val="20"/>
                <w:szCs w:val="20"/>
              </w:rPr>
              <w:t xml:space="preserve">, sustainable and continuous </w:t>
            </w:r>
            <w:r w:rsidRPr="004A3C15">
              <w:rPr>
                <w:sz w:val="20"/>
                <w:szCs w:val="20"/>
              </w:rPr>
              <w:t xml:space="preserve"> language </w:t>
            </w:r>
            <w:proofErr w:type="spellStart"/>
            <w:r>
              <w:rPr>
                <w:sz w:val="20"/>
                <w:szCs w:val="20"/>
              </w:rPr>
              <w:t>programmes</w:t>
            </w:r>
            <w:proofErr w:type="spellEnd"/>
            <w:r>
              <w:rPr>
                <w:sz w:val="20"/>
                <w:szCs w:val="20"/>
              </w:rPr>
              <w:t xml:space="preserve"> that </w:t>
            </w:r>
            <w:proofErr w:type="spellStart"/>
            <w:r>
              <w:rPr>
                <w:sz w:val="20"/>
                <w:szCs w:val="20"/>
              </w:rPr>
              <w:t>maximise</w:t>
            </w:r>
            <w:proofErr w:type="spellEnd"/>
            <w:r>
              <w:rPr>
                <w:sz w:val="20"/>
                <w:szCs w:val="20"/>
              </w:rPr>
              <w:t xml:space="preserve"> the use of the latest technologies</w:t>
            </w:r>
            <w:r w:rsidRPr="004A3C15">
              <w:rPr>
                <w:sz w:val="20"/>
                <w:szCs w:val="20"/>
              </w:rPr>
              <w:t>.</w:t>
            </w:r>
          </w:p>
        </w:tc>
        <w:tc>
          <w:tcPr>
            <w:tcW w:w="878" w:type="pct"/>
            <w:shd w:val="clear" w:color="auto" w:fill="FFFFFF" w:themeFill="background1"/>
          </w:tcPr>
          <w:p w14:paraId="73D0B7AA" w14:textId="77777777" w:rsidR="00E45E3A" w:rsidRPr="004A3C15" w:rsidRDefault="00E45E3A" w:rsidP="007D0385">
            <w:pPr>
              <w:spacing w:before="120" w:after="60"/>
              <w:ind w:right="176"/>
              <w:rPr>
                <w:sz w:val="20"/>
                <w:szCs w:val="20"/>
              </w:rPr>
            </w:pPr>
            <w:proofErr w:type="gramStart"/>
            <w:r>
              <w:rPr>
                <w:sz w:val="20"/>
                <w:szCs w:val="20"/>
              </w:rPr>
              <w:t>Associated implementation guidelines for the Australian Curriculum r</w:t>
            </w:r>
            <w:r w:rsidRPr="004A3C15">
              <w:rPr>
                <w:sz w:val="20"/>
                <w:szCs w:val="20"/>
              </w:rPr>
              <w:t>equire</w:t>
            </w:r>
            <w:r>
              <w:rPr>
                <w:sz w:val="20"/>
                <w:szCs w:val="20"/>
              </w:rPr>
              <w:t>s</w:t>
            </w:r>
            <w:proofErr w:type="gramEnd"/>
            <w:r w:rsidRPr="004A3C15">
              <w:rPr>
                <w:sz w:val="20"/>
                <w:szCs w:val="20"/>
              </w:rPr>
              <w:t xml:space="preserve"> </w:t>
            </w:r>
            <w:r>
              <w:rPr>
                <w:sz w:val="20"/>
                <w:szCs w:val="20"/>
              </w:rPr>
              <w:t xml:space="preserve">all students in </w:t>
            </w:r>
            <w:r w:rsidRPr="004A3C15">
              <w:rPr>
                <w:sz w:val="20"/>
                <w:szCs w:val="20"/>
              </w:rPr>
              <w:t>Years F–8</w:t>
            </w:r>
            <w:r>
              <w:rPr>
                <w:sz w:val="20"/>
                <w:szCs w:val="20"/>
              </w:rPr>
              <w:t xml:space="preserve"> to be taught a language, with the aim of students continuing languages learning to Year 12</w:t>
            </w:r>
            <w:r w:rsidRPr="004A3C15">
              <w:rPr>
                <w:sz w:val="20"/>
                <w:szCs w:val="20"/>
              </w:rPr>
              <w:t>.</w:t>
            </w:r>
            <w:r>
              <w:rPr>
                <w:sz w:val="20"/>
                <w:szCs w:val="20"/>
              </w:rPr>
              <w:t xml:space="preserve"> However there is</w:t>
            </w:r>
            <w:r w:rsidRPr="004A3C15">
              <w:rPr>
                <w:sz w:val="20"/>
                <w:szCs w:val="20"/>
              </w:rPr>
              <w:t xml:space="preserve"> </w:t>
            </w:r>
            <w:r>
              <w:rPr>
                <w:sz w:val="20"/>
                <w:szCs w:val="20"/>
              </w:rPr>
              <w:t>n</w:t>
            </w:r>
            <w:r w:rsidRPr="004A3C15">
              <w:rPr>
                <w:sz w:val="20"/>
                <w:szCs w:val="20"/>
              </w:rPr>
              <w:t xml:space="preserve">o </w:t>
            </w:r>
            <w:r>
              <w:rPr>
                <w:sz w:val="20"/>
                <w:szCs w:val="20"/>
              </w:rPr>
              <w:t>compulsion for languages learning beyond</w:t>
            </w:r>
            <w:r w:rsidRPr="004A3C15">
              <w:rPr>
                <w:sz w:val="20"/>
                <w:szCs w:val="20"/>
              </w:rPr>
              <w:t xml:space="preserve"> </w:t>
            </w:r>
            <w:proofErr w:type="spellStart"/>
            <w:r w:rsidRPr="004A3C15">
              <w:rPr>
                <w:sz w:val="20"/>
                <w:szCs w:val="20"/>
              </w:rPr>
              <w:t>beyond</w:t>
            </w:r>
            <w:proofErr w:type="spellEnd"/>
            <w:r w:rsidRPr="004A3C15">
              <w:rPr>
                <w:sz w:val="20"/>
                <w:szCs w:val="20"/>
              </w:rPr>
              <w:t xml:space="preserve"> Year 8.</w:t>
            </w:r>
          </w:p>
          <w:p w14:paraId="2922DEB5" w14:textId="77777777" w:rsidR="00E45E3A" w:rsidRDefault="00E45E3A" w:rsidP="007D0385">
            <w:pPr>
              <w:spacing w:before="60" w:after="60"/>
              <w:rPr>
                <w:sz w:val="20"/>
                <w:szCs w:val="20"/>
              </w:rPr>
            </w:pPr>
            <w:r w:rsidRPr="004A3C15">
              <w:rPr>
                <w:sz w:val="20"/>
                <w:szCs w:val="20"/>
              </w:rPr>
              <w:t xml:space="preserve">Accountability is required through school plans. Principals of schools not able to meet this </w:t>
            </w:r>
            <w:r>
              <w:rPr>
                <w:sz w:val="20"/>
                <w:szCs w:val="20"/>
              </w:rPr>
              <w:t>requirement by 2017</w:t>
            </w:r>
            <w:r w:rsidRPr="004A3C15">
              <w:rPr>
                <w:sz w:val="20"/>
                <w:szCs w:val="20"/>
              </w:rPr>
              <w:t xml:space="preserve"> may negotiate a one-year extension with their Education Director.</w:t>
            </w:r>
          </w:p>
          <w:p w14:paraId="39C69973" w14:textId="12509362" w:rsidR="00E45E3A" w:rsidRPr="00000634" w:rsidRDefault="00E45E3A" w:rsidP="007D0385">
            <w:pPr>
              <w:rPr>
                <w:b/>
                <w:sz w:val="20"/>
                <w:szCs w:val="20"/>
              </w:rPr>
            </w:pPr>
            <w:r w:rsidRPr="00181A4C">
              <w:rPr>
                <w:sz w:val="20"/>
                <w:szCs w:val="20"/>
              </w:rPr>
              <w:t>The associated implementation guidelines for the Australian Curriculum are also under review</w:t>
            </w:r>
            <w:r>
              <w:rPr>
                <w:sz w:val="20"/>
                <w:szCs w:val="20"/>
              </w:rPr>
              <w:t xml:space="preserve"> </w:t>
            </w:r>
            <w:r w:rsidRPr="00181A4C">
              <w:rPr>
                <w:sz w:val="20"/>
                <w:szCs w:val="20"/>
              </w:rPr>
              <w:t xml:space="preserve">implementation guidelines for the Australian Curriculum </w:t>
            </w:r>
            <w:proofErr w:type="gramStart"/>
            <w:r w:rsidRPr="00181A4C">
              <w:rPr>
                <w:sz w:val="20"/>
                <w:szCs w:val="20"/>
              </w:rPr>
              <w:t>are</w:t>
            </w:r>
            <w:proofErr w:type="gramEnd"/>
            <w:r w:rsidRPr="00181A4C">
              <w:rPr>
                <w:sz w:val="20"/>
                <w:szCs w:val="20"/>
              </w:rPr>
              <w:t xml:space="preserve"> also under review</w:t>
            </w:r>
            <w:r w:rsidR="00440F5D">
              <w:rPr>
                <w:sz w:val="20"/>
                <w:szCs w:val="20"/>
              </w:rPr>
              <w:t>.</w:t>
            </w:r>
          </w:p>
        </w:tc>
      </w:tr>
    </w:tbl>
    <w:p w14:paraId="152DC589" w14:textId="751C2D7C" w:rsidR="00E45E3A" w:rsidRPr="00F74E23" w:rsidRDefault="00E45E3A" w:rsidP="00F74E23">
      <w:pPr>
        <w:spacing w:after="0"/>
        <w:rPr>
          <w:b/>
        </w:rPr>
      </w:pPr>
      <w:r w:rsidRPr="00F74E23">
        <w:rPr>
          <w:b/>
        </w:rPr>
        <w:lastRenderedPageBreak/>
        <w:t>Tasmania (as advised and/or verified by Tasmanian Department of Education</w:t>
      </w:r>
    </w:p>
    <w:tbl>
      <w:tblPr>
        <w:tblStyle w:val="TableGrid"/>
        <w:tblW w:w="5000" w:type="pct"/>
        <w:tblLook w:val="04A0" w:firstRow="1" w:lastRow="0" w:firstColumn="1" w:lastColumn="0" w:noHBand="0" w:noVBand="1"/>
      </w:tblPr>
      <w:tblGrid>
        <w:gridCol w:w="3009"/>
        <w:gridCol w:w="4048"/>
        <w:gridCol w:w="4175"/>
        <w:gridCol w:w="2393"/>
      </w:tblGrid>
      <w:tr w:rsidR="00E45E3A" w:rsidRPr="004866BD" w14:paraId="3BFD02FD" w14:textId="77777777" w:rsidTr="004866BD">
        <w:trPr>
          <w:cantSplit/>
          <w:tblHeader/>
        </w:trPr>
        <w:tc>
          <w:tcPr>
            <w:tcW w:w="1104" w:type="pct"/>
            <w:tcBorders>
              <w:bottom w:val="single" w:sz="4" w:space="0" w:color="auto"/>
            </w:tcBorders>
            <w:shd w:val="clear" w:color="auto" w:fill="000000" w:themeFill="text1"/>
          </w:tcPr>
          <w:p w14:paraId="17FFE666" w14:textId="77777777" w:rsidR="00E45E3A" w:rsidRPr="004866BD" w:rsidRDefault="00E45E3A" w:rsidP="007D0385">
            <w:pPr>
              <w:rPr>
                <w:b/>
                <w:sz w:val="18"/>
                <w:szCs w:val="18"/>
              </w:rPr>
            </w:pPr>
            <w:r w:rsidRPr="004866BD">
              <w:rPr>
                <w:b/>
                <w:sz w:val="18"/>
                <w:szCs w:val="18"/>
              </w:rPr>
              <w:t>Title of Policy</w:t>
            </w:r>
          </w:p>
        </w:tc>
        <w:tc>
          <w:tcPr>
            <w:tcW w:w="1485" w:type="pct"/>
            <w:tcBorders>
              <w:bottom w:val="single" w:sz="4" w:space="0" w:color="auto"/>
            </w:tcBorders>
            <w:shd w:val="clear" w:color="auto" w:fill="000000" w:themeFill="text1"/>
          </w:tcPr>
          <w:p w14:paraId="4F36916C" w14:textId="77777777" w:rsidR="00E45E3A" w:rsidRPr="004866BD" w:rsidRDefault="00E45E3A" w:rsidP="007D0385">
            <w:pPr>
              <w:rPr>
                <w:b/>
                <w:sz w:val="18"/>
                <w:szCs w:val="18"/>
              </w:rPr>
            </w:pPr>
            <w:r w:rsidRPr="004866BD">
              <w:rPr>
                <w:b/>
                <w:sz w:val="18"/>
                <w:szCs w:val="18"/>
              </w:rPr>
              <w:t>Stated Purpose</w:t>
            </w:r>
          </w:p>
        </w:tc>
        <w:tc>
          <w:tcPr>
            <w:tcW w:w="1532" w:type="pct"/>
            <w:tcBorders>
              <w:bottom w:val="single" w:sz="4" w:space="0" w:color="auto"/>
            </w:tcBorders>
            <w:shd w:val="clear" w:color="auto" w:fill="000000" w:themeFill="text1"/>
          </w:tcPr>
          <w:p w14:paraId="7B75C92D" w14:textId="77777777" w:rsidR="00E45E3A" w:rsidRPr="004866BD" w:rsidRDefault="00E45E3A" w:rsidP="007D0385">
            <w:pPr>
              <w:rPr>
                <w:b/>
                <w:sz w:val="18"/>
                <w:szCs w:val="18"/>
              </w:rPr>
            </w:pPr>
            <w:r w:rsidRPr="004866BD">
              <w:rPr>
                <w:b/>
                <w:sz w:val="18"/>
                <w:szCs w:val="18"/>
              </w:rPr>
              <w:t>Implementation</w:t>
            </w:r>
          </w:p>
        </w:tc>
        <w:tc>
          <w:tcPr>
            <w:tcW w:w="878" w:type="pct"/>
            <w:tcBorders>
              <w:bottom w:val="single" w:sz="4" w:space="0" w:color="auto"/>
            </w:tcBorders>
            <w:shd w:val="clear" w:color="auto" w:fill="000000" w:themeFill="text1"/>
          </w:tcPr>
          <w:p w14:paraId="70B3C798" w14:textId="77777777" w:rsidR="00E45E3A" w:rsidRPr="004866BD" w:rsidRDefault="00E45E3A" w:rsidP="007D0385">
            <w:pPr>
              <w:rPr>
                <w:b/>
                <w:sz w:val="18"/>
                <w:szCs w:val="18"/>
              </w:rPr>
            </w:pPr>
            <w:r w:rsidRPr="004866BD">
              <w:rPr>
                <w:b/>
                <w:sz w:val="18"/>
                <w:szCs w:val="18"/>
              </w:rPr>
              <w:t>Implications</w:t>
            </w:r>
          </w:p>
        </w:tc>
      </w:tr>
      <w:tr w:rsidR="00E45E3A" w:rsidRPr="004866BD" w14:paraId="09F5A7E8" w14:textId="77777777" w:rsidTr="004866BD">
        <w:trPr>
          <w:cantSplit/>
        </w:trPr>
        <w:tc>
          <w:tcPr>
            <w:tcW w:w="1104" w:type="pct"/>
          </w:tcPr>
          <w:p w14:paraId="7468659F" w14:textId="77777777" w:rsidR="00E45E3A" w:rsidRPr="004866BD" w:rsidRDefault="00E45E3A" w:rsidP="007D0385">
            <w:pPr>
              <w:spacing w:before="60" w:after="60"/>
              <w:rPr>
                <w:i/>
                <w:sz w:val="18"/>
                <w:szCs w:val="18"/>
              </w:rPr>
            </w:pPr>
            <w:r w:rsidRPr="004866BD">
              <w:rPr>
                <w:sz w:val="18"/>
                <w:szCs w:val="18"/>
              </w:rPr>
              <w:t xml:space="preserve">Languages are included within </w:t>
            </w:r>
            <w:r w:rsidRPr="004866BD">
              <w:rPr>
                <w:i/>
                <w:sz w:val="18"/>
                <w:szCs w:val="18"/>
              </w:rPr>
              <w:t xml:space="preserve"> Tasmanian Curriculum</w:t>
            </w:r>
            <w:r w:rsidRPr="004866BD">
              <w:rPr>
                <w:sz w:val="18"/>
                <w:szCs w:val="18"/>
              </w:rPr>
              <w:t xml:space="preserve"> and other Departmental policies and strategies such as </w:t>
            </w:r>
            <w:r w:rsidRPr="004866BD">
              <w:rPr>
                <w:i/>
                <w:sz w:val="18"/>
                <w:szCs w:val="18"/>
              </w:rPr>
              <w:t xml:space="preserve">Engaging with Asia Strategy 2013–15, </w:t>
            </w:r>
            <w:proofErr w:type="spellStart"/>
            <w:r w:rsidRPr="004866BD">
              <w:rPr>
                <w:i/>
                <w:sz w:val="18"/>
                <w:szCs w:val="18"/>
              </w:rPr>
              <w:t>eStrategy</w:t>
            </w:r>
            <w:proofErr w:type="spellEnd"/>
            <w:r w:rsidRPr="004866BD">
              <w:rPr>
                <w:i/>
                <w:sz w:val="18"/>
                <w:szCs w:val="18"/>
              </w:rPr>
              <w:t xml:space="preserve"> </w:t>
            </w:r>
            <w:r w:rsidRPr="004866BD">
              <w:rPr>
                <w:sz w:val="18"/>
                <w:szCs w:val="18"/>
              </w:rPr>
              <w:t xml:space="preserve">and </w:t>
            </w:r>
            <w:r w:rsidRPr="004866BD">
              <w:rPr>
                <w:i/>
                <w:sz w:val="18"/>
                <w:szCs w:val="18"/>
              </w:rPr>
              <w:t>Curriculum Policy</w:t>
            </w:r>
          </w:p>
          <w:p w14:paraId="3E64D7D5" w14:textId="77777777" w:rsidR="00E45E3A" w:rsidRPr="004866BD" w:rsidRDefault="00E45E3A" w:rsidP="007D0385">
            <w:pPr>
              <w:spacing w:before="60" w:after="60"/>
              <w:rPr>
                <w:color w:val="000000" w:themeColor="text1"/>
                <w:sz w:val="18"/>
                <w:szCs w:val="18"/>
              </w:rPr>
            </w:pPr>
            <w:r w:rsidRPr="004866BD">
              <w:rPr>
                <w:color w:val="000000" w:themeColor="text1"/>
                <w:sz w:val="18"/>
                <w:szCs w:val="18"/>
              </w:rPr>
              <w:t>Planning is underway</w:t>
            </w:r>
            <w:r w:rsidRPr="004866BD">
              <w:rPr>
                <w:sz w:val="18"/>
                <w:szCs w:val="18"/>
              </w:rPr>
              <w:t xml:space="preserve"> for language education as </w:t>
            </w:r>
            <w:r w:rsidRPr="004866BD">
              <w:rPr>
                <w:color w:val="000000" w:themeColor="text1"/>
                <w:sz w:val="18"/>
                <w:szCs w:val="18"/>
              </w:rPr>
              <w:t>part of the implementation of the Australian Curriculum: Languages.</w:t>
            </w:r>
            <w:r w:rsidRPr="004866BD">
              <w:rPr>
                <w:i/>
                <w:sz w:val="18"/>
                <w:szCs w:val="18"/>
              </w:rPr>
              <w:t xml:space="preserve"> </w:t>
            </w:r>
            <w:r w:rsidRPr="004866BD">
              <w:rPr>
                <w:color w:val="000000" w:themeColor="text1"/>
                <w:sz w:val="18"/>
                <w:szCs w:val="18"/>
              </w:rPr>
              <w:t xml:space="preserve"> All Department of Education schools are encouraged to begin exploring and implementing the Australian Curriculum: Languages but no date has been set for formal implementation.  </w:t>
            </w:r>
          </w:p>
          <w:p w14:paraId="75EC53A1" w14:textId="77777777" w:rsidR="00E45E3A" w:rsidRPr="004866BD" w:rsidRDefault="00E45E3A" w:rsidP="007D0385">
            <w:pPr>
              <w:spacing w:before="60" w:after="60"/>
              <w:rPr>
                <w:i/>
                <w:sz w:val="18"/>
                <w:szCs w:val="18"/>
              </w:rPr>
            </w:pPr>
            <w:r w:rsidRPr="004866BD">
              <w:rPr>
                <w:sz w:val="18"/>
                <w:szCs w:val="18"/>
              </w:rPr>
              <w:t>Work has begun on the development of a Senior Secondary Curriculum Framework for all Tasmanian senior secondary schools.  The framework will include Languages.</w:t>
            </w:r>
            <w:r w:rsidRPr="004866BD">
              <w:rPr>
                <w:i/>
                <w:sz w:val="18"/>
                <w:szCs w:val="18"/>
              </w:rPr>
              <w:t xml:space="preserve"> </w:t>
            </w:r>
          </w:p>
          <w:p w14:paraId="065137E2" w14:textId="77777777" w:rsidR="00E45E3A" w:rsidRPr="004866BD" w:rsidRDefault="00E45E3A" w:rsidP="007D0385">
            <w:pPr>
              <w:spacing w:before="60" w:after="60"/>
              <w:rPr>
                <w:sz w:val="18"/>
                <w:szCs w:val="18"/>
              </w:rPr>
            </w:pPr>
          </w:p>
        </w:tc>
        <w:tc>
          <w:tcPr>
            <w:tcW w:w="1485" w:type="pct"/>
          </w:tcPr>
          <w:p w14:paraId="74D99E42" w14:textId="77777777" w:rsidR="00E45E3A" w:rsidRPr="004866BD" w:rsidRDefault="00E45E3A" w:rsidP="007D0385">
            <w:pPr>
              <w:spacing w:before="60" w:after="60"/>
              <w:rPr>
                <w:sz w:val="18"/>
                <w:szCs w:val="18"/>
              </w:rPr>
            </w:pPr>
            <w:r w:rsidRPr="004866BD">
              <w:rPr>
                <w:b/>
                <w:sz w:val="18"/>
                <w:szCs w:val="18"/>
              </w:rPr>
              <w:t>Aim</w:t>
            </w:r>
            <w:r w:rsidRPr="004866BD">
              <w:rPr>
                <w:sz w:val="18"/>
                <w:szCs w:val="18"/>
              </w:rPr>
              <w:t>: Learning a language is recommended. Students may begin their study [of a language] in [Years] K–2, 3–4, 5–6, 7–8 or 9–10 or 11-12.</w:t>
            </w:r>
          </w:p>
          <w:p w14:paraId="20C2CF47" w14:textId="77777777" w:rsidR="00E45E3A" w:rsidRPr="004866BD" w:rsidRDefault="00E45E3A" w:rsidP="007D0385">
            <w:pPr>
              <w:spacing w:before="40" w:after="60"/>
              <w:rPr>
                <w:i/>
                <w:sz w:val="18"/>
                <w:szCs w:val="18"/>
              </w:rPr>
            </w:pPr>
            <w:r w:rsidRPr="004866BD">
              <w:rPr>
                <w:i/>
                <w:sz w:val="18"/>
                <w:szCs w:val="18"/>
              </w:rPr>
              <w:t>Engaging with Asia Strategy</w:t>
            </w:r>
          </w:p>
          <w:p w14:paraId="6C968A57" w14:textId="77777777" w:rsidR="00E45E3A" w:rsidRPr="004866BD" w:rsidRDefault="00E45E3A" w:rsidP="007D0385">
            <w:pPr>
              <w:spacing w:before="60" w:after="60"/>
              <w:rPr>
                <w:sz w:val="18"/>
                <w:szCs w:val="18"/>
              </w:rPr>
            </w:pPr>
            <w:r w:rsidRPr="004866BD">
              <w:rPr>
                <w:b/>
                <w:sz w:val="18"/>
                <w:szCs w:val="18"/>
              </w:rPr>
              <w:t>Aim</w:t>
            </w:r>
            <w:r w:rsidRPr="004866BD">
              <w:rPr>
                <w:sz w:val="18"/>
                <w:szCs w:val="18"/>
              </w:rPr>
              <w:t>: ‘enable awareness and understanding of the importance of Asia to our future and the value of engaging with Asian literacy’.</w:t>
            </w:r>
          </w:p>
          <w:p w14:paraId="66462A9B" w14:textId="77777777" w:rsidR="00E45E3A" w:rsidRPr="004866BD" w:rsidRDefault="00E45E3A" w:rsidP="007D0385">
            <w:pPr>
              <w:spacing w:before="60" w:after="60"/>
              <w:rPr>
                <w:b/>
                <w:sz w:val="18"/>
                <w:szCs w:val="18"/>
              </w:rPr>
            </w:pPr>
          </w:p>
        </w:tc>
        <w:tc>
          <w:tcPr>
            <w:tcW w:w="1532" w:type="pct"/>
          </w:tcPr>
          <w:p w14:paraId="59D6586E" w14:textId="77777777" w:rsidR="004623ED" w:rsidRPr="004866BD" w:rsidRDefault="004623ED" w:rsidP="004623ED">
            <w:pPr>
              <w:spacing w:after="0"/>
              <w:rPr>
                <w:sz w:val="18"/>
                <w:szCs w:val="18"/>
              </w:rPr>
            </w:pPr>
            <w:r w:rsidRPr="004866BD">
              <w:rPr>
                <w:sz w:val="18"/>
                <w:szCs w:val="18"/>
              </w:rPr>
              <w:t>K–12 syllabus and support materials for six languages (three Asian, three European). Senior secondary courses are accredited and assessed by the Office of Tasmanian Assessment Standards &amp; Certification (</w:t>
            </w:r>
            <w:proofErr w:type="spellStart"/>
            <w:r w:rsidRPr="004866BD">
              <w:rPr>
                <w:sz w:val="18"/>
                <w:szCs w:val="18"/>
              </w:rPr>
              <w:t>TASC</w:t>
            </w:r>
            <w:proofErr w:type="spellEnd"/>
            <w:r w:rsidRPr="004866BD">
              <w:rPr>
                <w:sz w:val="18"/>
                <w:szCs w:val="18"/>
              </w:rPr>
              <w:t>): (Chinese, French, German, Italian and Japanese + Collaborative Curriculum and Assessment Framework for Languages [</w:t>
            </w:r>
            <w:proofErr w:type="spellStart"/>
            <w:r w:rsidRPr="004866BD">
              <w:rPr>
                <w:sz w:val="18"/>
                <w:szCs w:val="18"/>
              </w:rPr>
              <w:t>CCAFL</w:t>
            </w:r>
            <w:proofErr w:type="spellEnd"/>
            <w:r w:rsidRPr="004866BD">
              <w:rPr>
                <w:sz w:val="18"/>
                <w:szCs w:val="18"/>
              </w:rPr>
              <w:t>] for background speakers).</w:t>
            </w:r>
          </w:p>
          <w:p w14:paraId="0F0B555F" w14:textId="77777777" w:rsidR="004623ED" w:rsidRPr="004866BD" w:rsidRDefault="004623ED" w:rsidP="004623ED">
            <w:pPr>
              <w:spacing w:after="0"/>
              <w:rPr>
                <w:sz w:val="18"/>
                <w:szCs w:val="18"/>
              </w:rPr>
            </w:pPr>
            <w:r w:rsidRPr="004866BD">
              <w:rPr>
                <w:sz w:val="18"/>
                <w:szCs w:val="18"/>
              </w:rPr>
              <w:t xml:space="preserve">One action area of the </w:t>
            </w:r>
            <w:r w:rsidRPr="004866BD">
              <w:rPr>
                <w:i/>
                <w:sz w:val="18"/>
                <w:szCs w:val="18"/>
              </w:rPr>
              <w:t xml:space="preserve">Engaging with Asia Strategy </w:t>
            </w:r>
            <w:r w:rsidRPr="004866BD">
              <w:rPr>
                <w:sz w:val="18"/>
                <w:szCs w:val="18"/>
              </w:rPr>
              <w:t xml:space="preserve">policy relates to languages: </w:t>
            </w:r>
            <w:r w:rsidRPr="004866BD">
              <w:rPr>
                <w:i/>
                <w:sz w:val="18"/>
                <w:szCs w:val="18"/>
              </w:rPr>
              <w:t>Stimulating student engagement with Asian culture and languages</w:t>
            </w:r>
            <w:r w:rsidRPr="004866BD">
              <w:rPr>
                <w:sz w:val="18"/>
                <w:szCs w:val="18"/>
              </w:rPr>
              <w:t xml:space="preserve"> but not clear how this is </w:t>
            </w:r>
            <w:r w:rsidRPr="004866BD">
              <w:rPr>
                <w:spacing w:val="-2"/>
                <w:sz w:val="18"/>
                <w:szCs w:val="18"/>
              </w:rPr>
              <w:t xml:space="preserve">achieved. The focus is on embedding </w:t>
            </w:r>
            <w:r w:rsidRPr="004866BD">
              <w:rPr>
                <w:sz w:val="18"/>
                <w:szCs w:val="18"/>
              </w:rPr>
              <w:t>Asia literacy through all learning areas ‘particularly’ languages (p. 5).</w:t>
            </w:r>
          </w:p>
          <w:p w14:paraId="40D6D615" w14:textId="77777777" w:rsidR="004623ED" w:rsidRPr="004866BD" w:rsidRDefault="004623ED" w:rsidP="004623ED">
            <w:pPr>
              <w:spacing w:after="0"/>
              <w:rPr>
                <w:i/>
                <w:sz w:val="18"/>
                <w:szCs w:val="18"/>
              </w:rPr>
            </w:pPr>
            <w:r w:rsidRPr="004866BD">
              <w:rPr>
                <w:sz w:val="18"/>
                <w:szCs w:val="18"/>
              </w:rPr>
              <w:t xml:space="preserve">Languages are also a focus of the Department of Education’s </w:t>
            </w:r>
            <w:proofErr w:type="spellStart"/>
            <w:r w:rsidRPr="004866BD">
              <w:rPr>
                <w:sz w:val="18"/>
                <w:szCs w:val="18"/>
              </w:rPr>
              <w:t>eStrategy</w:t>
            </w:r>
            <w:proofErr w:type="spellEnd"/>
            <w:r w:rsidRPr="004866BD">
              <w:rPr>
                <w:sz w:val="18"/>
                <w:szCs w:val="18"/>
              </w:rPr>
              <w:t>, with online course development and curriculum support being supported F-12.</w:t>
            </w:r>
          </w:p>
          <w:p w14:paraId="0CDFC2CB" w14:textId="77777777" w:rsidR="004623ED" w:rsidRPr="004866BD" w:rsidRDefault="004623ED" w:rsidP="004623ED">
            <w:pPr>
              <w:spacing w:after="0"/>
              <w:rPr>
                <w:sz w:val="18"/>
                <w:szCs w:val="18"/>
              </w:rPr>
            </w:pPr>
            <w:r w:rsidRPr="004866BD">
              <w:rPr>
                <w:sz w:val="18"/>
                <w:szCs w:val="18"/>
              </w:rPr>
              <w:t>Existing support strategies include:</w:t>
            </w:r>
          </w:p>
          <w:p w14:paraId="7F408D14" w14:textId="77777777" w:rsidR="004623ED" w:rsidRPr="004866BD" w:rsidRDefault="004623ED" w:rsidP="00F666F6">
            <w:pPr>
              <w:numPr>
                <w:ilvl w:val="0"/>
                <w:numId w:val="17"/>
              </w:numPr>
              <w:spacing w:after="0" w:line="276" w:lineRule="auto"/>
              <w:contextualSpacing/>
              <w:rPr>
                <w:sz w:val="18"/>
                <w:szCs w:val="18"/>
              </w:rPr>
            </w:pPr>
            <w:r w:rsidRPr="004866BD">
              <w:rPr>
                <w:sz w:val="18"/>
                <w:szCs w:val="18"/>
              </w:rPr>
              <w:t xml:space="preserve">schools are actively supported in establishing sister school relationships to support language learning </w:t>
            </w:r>
          </w:p>
          <w:p w14:paraId="6A714654" w14:textId="77777777" w:rsidR="004623ED" w:rsidRPr="004866BD" w:rsidRDefault="004623ED" w:rsidP="00F666F6">
            <w:pPr>
              <w:numPr>
                <w:ilvl w:val="0"/>
                <w:numId w:val="17"/>
              </w:numPr>
              <w:spacing w:after="0" w:line="276" w:lineRule="auto"/>
              <w:contextualSpacing/>
              <w:rPr>
                <w:sz w:val="18"/>
                <w:szCs w:val="18"/>
              </w:rPr>
            </w:pPr>
            <w:r w:rsidRPr="004866BD">
              <w:rPr>
                <w:sz w:val="18"/>
                <w:szCs w:val="18"/>
              </w:rPr>
              <w:t>University of Tasmania’s (</w:t>
            </w:r>
            <w:proofErr w:type="spellStart"/>
            <w:r w:rsidRPr="004866BD">
              <w:rPr>
                <w:sz w:val="18"/>
                <w:szCs w:val="18"/>
              </w:rPr>
              <w:t>UTAS</w:t>
            </w:r>
            <w:proofErr w:type="spellEnd"/>
            <w:r w:rsidRPr="004866BD">
              <w:rPr>
                <w:sz w:val="18"/>
                <w:szCs w:val="18"/>
              </w:rPr>
              <w:t>) High Achiever Program (</w:t>
            </w:r>
            <w:proofErr w:type="spellStart"/>
            <w:r w:rsidRPr="004866BD">
              <w:rPr>
                <w:sz w:val="18"/>
                <w:szCs w:val="18"/>
              </w:rPr>
              <w:t>subsidised</w:t>
            </w:r>
            <w:proofErr w:type="spellEnd"/>
            <w:r w:rsidRPr="004866BD">
              <w:rPr>
                <w:sz w:val="18"/>
                <w:szCs w:val="18"/>
              </w:rPr>
              <w:t xml:space="preserve"> course costs, credit towards </w:t>
            </w:r>
            <w:proofErr w:type="spellStart"/>
            <w:r w:rsidRPr="004866BD">
              <w:rPr>
                <w:sz w:val="18"/>
                <w:szCs w:val="18"/>
              </w:rPr>
              <w:t>UTAS</w:t>
            </w:r>
            <w:proofErr w:type="spellEnd"/>
            <w:r w:rsidRPr="004866BD">
              <w:rPr>
                <w:sz w:val="18"/>
                <w:szCs w:val="18"/>
              </w:rPr>
              <w:t xml:space="preserve"> Degree)</w:t>
            </w:r>
          </w:p>
          <w:p w14:paraId="16A3ED58" w14:textId="77777777" w:rsidR="004623ED" w:rsidRPr="004866BD" w:rsidRDefault="004623ED" w:rsidP="00F666F6">
            <w:pPr>
              <w:numPr>
                <w:ilvl w:val="0"/>
                <w:numId w:val="17"/>
              </w:numPr>
              <w:spacing w:after="0" w:line="276" w:lineRule="auto"/>
              <w:contextualSpacing/>
              <w:rPr>
                <w:sz w:val="18"/>
                <w:szCs w:val="18"/>
              </w:rPr>
            </w:pPr>
            <w:proofErr w:type="spellStart"/>
            <w:r w:rsidRPr="004866BD">
              <w:rPr>
                <w:sz w:val="18"/>
                <w:szCs w:val="18"/>
              </w:rPr>
              <w:t>UTAS</w:t>
            </w:r>
            <w:proofErr w:type="spellEnd"/>
            <w:r w:rsidRPr="004866BD">
              <w:rPr>
                <w:sz w:val="18"/>
                <w:szCs w:val="18"/>
              </w:rPr>
              <w:t xml:space="preserve"> College Program, Year 11 and 12 students eligible to </w:t>
            </w:r>
            <w:proofErr w:type="spellStart"/>
            <w:r w:rsidRPr="004866BD">
              <w:rPr>
                <w:sz w:val="18"/>
                <w:szCs w:val="18"/>
              </w:rPr>
              <w:t>enrol</w:t>
            </w:r>
            <w:proofErr w:type="spellEnd"/>
            <w:r w:rsidRPr="004866BD">
              <w:rPr>
                <w:sz w:val="18"/>
                <w:szCs w:val="18"/>
              </w:rPr>
              <w:t xml:space="preserve"> in </w:t>
            </w:r>
            <w:proofErr w:type="spellStart"/>
            <w:r w:rsidRPr="004866BD">
              <w:rPr>
                <w:sz w:val="18"/>
                <w:szCs w:val="18"/>
              </w:rPr>
              <w:t>UTAS</w:t>
            </w:r>
            <w:proofErr w:type="spellEnd"/>
            <w:r w:rsidRPr="004866BD">
              <w:rPr>
                <w:sz w:val="18"/>
                <w:szCs w:val="18"/>
              </w:rPr>
              <w:t xml:space="preserve"> units</w:t>
            </w:r>
          </w:p>
          <w:p w14:paraId="29D500DE" w14:textId="77777777" w:rsidR="004623ED" w:rsidRPr="004866BD" w:rsidRDefault="004623ED" w:rsidP="00F666F6">
            <w:pPr>
              <w:numPr>
                <w:ilvl w:val="0"/>
                <w:numId w:val="17"/>
              </w:numPr>
              <w:spacing w:after="0" w:line="276" w:lineRule="auto"/>
              <w:contextualSpacing/>
              <w:rPr>
                <w:sz w:val="18"/>
                <w:szCs w:val="18"/>
              </w:rPr>
            </w:pPr>
            <w:proofErr w:type="gramStart"/>
            <w:r w:rsidRPr="004866BD">
              <w:rPr>
                <w:sz w:val="18"/>
                <w:szCs w:val="18"/>
              </w:rPr>
              <w:t>specialist</w:t>
            </w:r>
            <w:proofErr w:type="gramEnd"/>
            <w:r w:rsidRPr="004866BD">
              <w:rPr>
                <w:sz w:val="18"/>
                <w:szCs w:val="18"/>
              </w:rPr>
              <w:t xml:space="preserve"> Asian Studies Pathway for senior secondary students, providing a focus on Asian languages and cultures, including an </w:t>
            </w:r>
            <w:proofErr w:type="spellStart"/>
            <w:r w:rsidRPr="004866BD">
              <w:rPr>
                <w:sz w:val="18"/>
                <w:szCs w:val="18"/>
              </w:rPr>
              <w:t>ATAR</w:t>
            </w:r>
            <w:proofErr w:type="spellEnd"/>
            <w:r w:rsidRPr="004866BD">
              <w:rPr>
                <w:sz w:val="18"/>
                <w:szCs w:val="18"/>
              </w:rPr>
              <w:t xml:space="preserve">-attracting 150 hour </w:t>
            </w:r>
            <w:r w:rsidRPr="004866BD">
              <w:rPr>
                <w:i/>
                <w:sz w:val="18"/>
                <w:szCs w:val="18"/>
              </w:rPr>
              <w:t xml:space="preserve">Asian Studies </w:t>
            </w:r>
            <w:r w:rsidRPr="004866BD">
              <w:rPr>
                <w:sz w:val="18"/>
                <w:szCs w:val="18"/>
              </w:rPr>
              <w:t>course.</w:t>
            </w:r>
          </w:p>
          <w:p w14:paraId="05D56603" w14:textId="6B2FBE1A" w:rsidR="00E45E3A" w:rsidRPr="004866BD" w:rsidRDefault="004623ED" w:rsidP="00CB5ABC">
            <w:pPr>
              <w:spacing w:after="0"/>
              <w:rPr>
                <w:sz w:val="18"/>
                <w:szCs w:val="18"/>
              </w:rPr>
            </w:pPr>
            <w:proofErr w:type="gramStart"/>
            <w:r w:rsidRPr="004866BD">
              <w:rPr>
                <w:sz w:val="18"/>
                <w:szCs w:val="18"/>
              </w:rPr>
              <w:t>ongoing</w:t>
            </w:r>
            <w:proofErr w:type="gramEnd"/>
            <w:r w:rsidRPr="004866BD">
              <w:rPr>
                <w:sz w:val="18"/>
                <w:szCs w:val="18"/>
              </w:rPr>
              <w:t xml:space="preserve"> development of Languages support strategies with the University of Tasmania, including curriculum development and delivery.</w:t>
            </w:r>
          </w:p>
        </w:tc>
        <w:tc>
          <w:tcPr>
            <w:tcW w:w="878" w:type="pct"/>
          </w:tcPr>
          <w:p w14:paraId="66B72979" w14:textId="77777777" w:rsidR="00E45E3A" w:rsidRPr="004866BD" w:rsidRDefault="00E45E3A" w:rsidP="007D0385">
            <w:pPr>
              <w:spacing w:before="60" w:after="60"/>
              <w:rPr>
                <w:sz w:val="18"/>
                <w:szCs w:val="18"/>
              </w:rPr>
            </w:pPr>
            <w:r w:rsidRPr="004866BD">
              <w:rPr>
                <w:sz w:val="18"/>
                <w:szCs w:val="18"/>
              </w:rPr>
              <w:t>No specific requirements at any level.</w:t>
            </w:r>
          </w:p>
          <w:p w14:paraId="1BBF037E" w14:textId="77777777" w:rsidR="00E45E3A" w:rsidRPr="004866BD" w:rsidRDefault="00E45E3A" w:rsidP="007D0385">
            <w:pPr>
              <w:spacing w:before="60" w:after="60"/>
              <w:rPr>
                <w:sz w:val="18"/>
                <w:szCs w:val="18"/>
              </w:rPr>
            </w:pPr>
          </w:p>
        </w:tc>
      </w:tr>
    </w:tbl>
    <w:p w14:paraId="616A0164" w14:textId="77777777" w:rsidR="00BA49C9" w:rsidRDefault="00BA49C9">
      <w:pPr>
        <w:spacing w:after="0"/>
      </w:pPr>
      <w:r>
        <w:br w:type="page"/>
      </w:r>
    </w:p>
    <w:p w14:paraId="30372C6D" w14:textId="0ADD2891" w:rsidR="00E45E3A" w:rsidRPr="00F74E23" w:rsidRDefault="00E45E3A" w:rsidP="00BF296E">
      <w:pPr>
        <w:spacing w:after="0"/>
        <w:rPr>
          <w:b/>
        </w:rPr>
      </w:pPr>
      <w:r w:rsidRPr="00F74E23">
        <w:rPr>
          <w:b/>
        </w:rPr>
        <w:lastRenderedPageBreak/>
        <w:t>Victoria (As advised and/or verified by the Department of Education and Training</w:t>
      </w:r>
    </w:p>
    <w:tbl>
      <w:tblPr>
        <w:tblStyle w:val="TableGrid"/>
        <w:tblW w:w="5000" w:type="pct"/>
        <w:tblLook w:val="04A0" w:firstRow="1" w:lastRow="0" w:firstColumn="1" w:lastColumn="0" w:noHBand="0" w:noVBand="1"/>
      </w:tblPr>
      <w:tblGrid>
        <w:gridCol w:w="3009"/>
        <w:gridCol w:w="2628"/>
        <w:gridCol w:w="5595"/>
        <w:gridCol w:w="2393"/>
      </w:tblGrid>
      <w:tr w:rsidR="00E45E3A" w:rsidRPr="004866BD" w14:paraId="5B515189" w14:textId="77777777" w:rsidTr="004866BD">
        <w:trPr>
          <w:cantSplit/>
          <w:tblHeader/>
        </w:trPr>
        <w:tc>
          <w:tcPr>
            <w:tcW w:w="1104" w:type="pct"/>
            <w:tcBorders>
              <w:bottom w:val="single" w:sz="4" w:space="0" w:color="auto"/>
            </w:tcBorders>
            <w:shd w:val="clear" w:color="auto" w:fill="000000" w:themeFill="text1"/>
          </w:tcPr>
          <w:p w14:paraId="4FB00D77" w14:textId="77777777" w:rsidR="00E45E3A" w:rsidRPr="004866BD" w:rsidRDefault="00E45E3A" w:rsidP="007D0385">
            <w:pPr>
              <w:rPr>
                <w:b/>
                <w:sz w:val="18"/>
                <w:szCs w:val="18"/>
              </w:rPr>
            </w:pPr>
            <w:r w:rsidRPr="004866BD">
              <w:rPr>
                <w:b/>
                <w:sz w:val="18"/>
                <w:szCs w:val="18"/>
              </w:rPr>
              <w:t>Title of Policy</w:t>
            </w:r>
          </w:p>
        </w:tc>
        <w:tc>
          <w:tcPr>
            <w:tcW w:w="964" w:type="pct"/>
            <w:tcBorders>
              <w:bottom w:val="single" w:sz="4" w:space="0" w:color="auto"/>
            </w:tcBorders>
            <w:shd w:val="clear" w:color="auto" w:fill="000000" w:themeFill="text1"/>
          </w:tcPr>
          <w:p w14:paraId="30016D17" w14:textId="77777777" w:rsidR="00E45E3A" w:rsidRPr="004866BD" w:rsidRDefault="00E45E3A" w:rsidP="007D0385">
            <w:pPr>
              <w:rPr>
                <w:b/>
                <w:sz w:val="18"/>
                <w:szCs w:val="18"/>
              </w:rPr>
            </w:pPr>
            <w:r w:rsidRPr="004866BD">
              <w:rPr>
                <w:b/>
                <w:sz w:val="18"/>
                <w:szCs w:val="18"/>
              </w:rPr>
              <w:t>Stated Purpose</w:t>
            </w:r>
          </w:p>
        </w:tc>
        <w:tc>
          <w:tcPr>
            <w:tcW w:w="2053" w:type="pct"/>
            <w:tcBorders>
              <w:bottom w:val="single" w:sz="4" w:space="0" w:color="auto"/>
            </w:tcBorders>
            <w:shd w:val="clear" w:color="auto" w:fill="000000" w:themeFill="text1"/>
          </w:tcPr>
          <w:p w14:paraId="41C2E38C" w14:textId="77777777" w:rsidR="00E45E3A" w:rsidRPr="004866BD" w:rsidRDefault="00E45E3A" w:rsidP="007D0385">
            <w:pPr>
              <w:rPr>
                <w:b/>
                <w:sz w:val="18"/>
                <w:szCs w:val="18"/>
              </w:rPr>
            </w:pPr>
            <w:r w:rsidRPr="004866BD">
              <w:rPr>
                <w:b/>
                <w:sz w:val="18"/>
                <w:szCs w:val="18"/>
              </w:rPr>
              <w:t>Implementation</w:t>
            </w:r>
          </w:p>
        </w:tc>
        <w:tc>
          <w:tcPr>
            <w:tcW w:w="878" w:type="pct"/>
            <w:tcBorders>
              <w:bottom w:val="single" w:sz="4" w:space="0" w:color="auto"/>
            </w:tcBorders>
            <w:shd w:val="clear" w:color="auto" w:fill="000000" w:themeFill="text1"/>
          </w:tcPr>
          <w:p w14:paraId="6CA043AE" w14:textId="77777777" w:rsidR="00E45E3A" w:rsidRPr="004866BD" w:rsidRDefault="00E45E3A" w:rsidP="007D0385">
            <w:pPr>
              <w:rPr>
                <w:b/>
                <w:sz w:val="18"/>
                <w:szCs w:val="18"/>
              </w:rPr>
            </w:pPr>
            <w:r w:rsidRPr="004866BD">
              <w:rPr>
                <w:b/>
                <w:sz w:val="18"/>
                <w:szCs w:val="18"/>
              </w:rPr>
              <w:t>Implications</w:t>
            </w:r>
          </w:p>
        </w:tc>
      </w:tr>
      <w:tr w:rsidR="00E45E3A" w:rsidRPr="004866BD" w14:paraId="62BA153E" w14:textId="77777777" w:rsidTr="004866BD">
        <w:trPr>
          <w:cantSplit/>
        </w:trPr>
        <w:tc>
          <w:tcPr>
            <w:tcW w:w="1104" w:type="pct"/>
          </w:tcPr>
          <w:p w14:paraId="59B1E131" w14:textId="77777777" w:rsidR="00E45E3A" w:rsidRPr="004866BD" w:rsidRDefault="00E45E3A" w:rsidP="007D0385">
            <w:pPr>
              <w:spacing w:before="60" w:after="60"/>
              <w:rPr>
                <w:sz w:val="18"/>
                <w:szCs w:val="18"/>
              </w:rPr>
            </w:pPr>
            <w:r w:rsidRPr="004866BD">
              <w:rPr>
                <w:sz w:val="18"/>
                <w:szCs w:val="18"/>
              </w:rPr>
              <w:t>All Victorian schools are required by legislation, (</w:t>
            </w:r>
            <w:r w:rsidRPr="004866BD">
              <w:rPr>
                <w:i/>
                <w:sz w:val="18"/>
                <w:szCs w:val="18"/>
              </w:rPr>
              <w:t>Education and Training Reform Act 2006</w:t>
            </w:r>
            <w:r w:rsidRPr="004866BD">
              <w:rPr>
                <w:sz w:val="18"/>
                <w:szCs w:val="18"/>
              </w:rPr>
              <w:t>) and as a condition of their registration with the Victorian Registration and Qualifications Authority to provide the eight learning areas, including Languages.</w:t>
            </w:r>
          </w:p>
        </w:tc>
        <w:tc>
          <w:tcPr>
            <w:tcW w:w="964" w:type="pct"/>
          </w:tcPr>
          <w:p w14:paraId="1818E846" w14:textId="77777777" w:rsidR="00E45E3A" w:rsidRPr="004866BD" w:rsidRDefault="00E45E3A" w:rsidP="007D0385">
            <w:pPr>
              <w:spacing w:before="60" w:after="60"/>
              <w:rPr>
                <w:sz w:val="18"/>
                <w:szCs w:val="18"/>
              </w:rPr>
            </w:pPr>
            <w:r w:rsidRPr="004866BD">
              <w:rPr>
                <w:b/>
                <w:sz w:val="18"/>
                <w:szCs w:val="18"/>
              </w:rPr>
              <w:t>Aim</w:t>
            </w:r>
            <w:r w:rsidRPr="004866BD">
              <w:rPr>
                <w:sz w:val="18"/>
                <w:szCs w:val="18"/>
              </w:rPr>
              <w:t xml:space="preserve">: </w:t>
            </w:r>
          </w:p>
          <w:p w14:paraId="0E93863F" w14:textId="77777777" w:rsidR="00E45E3A" w:rsidRPr="004866BD" w:rsidRDefault="00E45E3A" w:rsidP="007D0385">
            <w:pPr>
              <w:spacing w:before="60" w:after="60"/>
              <w:rPr>
                <w:sz w:val="18"/>
                <w:szCs w:val="18"/>
              </w:rPr>
            </w:pPr>
            <w:r w:rsidRPr="004866BD">
              <w:rPr>
                <w:sz w:val="18"/>
                <w:szCs w:val="18"/>
              </w:rPr>
              <w:t xml:space="preserve">The Victorian Government is committed to providing high quality languages education to all students. </w:t>
            </w:r>
          </w:p>
          <w:p w14:paraId="4C91D6EF" w14:textId="77777777" w:rsidR="00E45E3A" w:rsidRPr="004866BD" w:rsidRDefault="00E45E3A" w:rsidP="007D0385">
            <w:pPr>
              <w:spacing w:before="60" w:after="60"/>
              <w:rPr>
                <w:b/>
                <w:sz w:val="18"/>
                <w:szCs w:val="18"/>
              </w:rPr>
            </w:pPr>
          </w:p>
        </w:tc>
        <w:tc>
          <w:tcPr>
            <w:tcW w:w="2053" w:type="pct"/>
          </w:tcPr>
          <w:p w14:paraId="11EF6392" w14:textId="77777777" w:rsidR="00E45E3A" w:rsidRPr="004866BD" w:rsidRDefault="00E45E3A" w:rsidP="007D0385">
            <w:pPr>
              <w:rPr>
                <w:sz w:val="18"/>
                <w:szCs w:val="18"/>
              </w:rPr>
            </w:pPr>
            <w:r w:rsidRPr="004866BD">
              <w:rPr>
                <w:sz w:val="18"/>
                <w:szCs w:val="18"/>
              </w:rPr>
              <w:t>Support strategies are numerous and include:</w:t>
            </w:r>
          </w:p>
          <w:p w14:paraId="27CB9C3A" w14:textId="77777777" w:rsidR="00E45E3A" w:rsidRPr="004866BD" w:rsidRDefault="00E45E3A" w:rsidP="00F666F6">
            <w:pPr>
              <w:numPr>
                <w:ilvl w:val="0"/>
                <w:numId w:val="16"/>
              </w:numPr>
              <w:spacing w:after="0" w:line="276" w:lineRule="auto"/>
              <w:contextualSpacing/>
              <w:rPr>
                <w:sz w:val="18"/>
                <w:szCs w:val="18"/>
              </w:rPr>
            </w:pPr>
            <w:r w:rsidRPr="004866BD">
              <w:rPr>
                <w:sz w:val="18"/>
                <w:szCs w:val="18"/>
              </w:rPr>
              <w:t>a Languages Workforce Planning Group, including tertiary sector</w:t>
            </w:r>
          </w:p>
          <w:p w14:paraId="49351BC9" w14:textId="77777777" w:rsidR="00E45E3A" w:rsidRPr="004866BD" w:rsidRDefault="00E45E3A" w:rsidP="00F666F6">
            <w:pPr>
              <w:numPr>
                <w:ilvl w:val="0"/>
                <w:numId w:val="16"/>
              </w:numPr>
              <w:spacing w:after="0" w:line="276" w:lineRule="auto"/>
              <w:contextualSpacing/>
              <w:rPr>
                <w:sz w:val="18"/>
                <w:szCs w:val="18"/>
              </w:rPr>
            </w:pPr>
            <w:r w:rsidRPr="004866BD">
              <w:rPr>
                <w:sz w:val="18"/>
                <w:szCs w:val="18"/>
              </w:rPr>
              <w:t xml:space="preserve">Language Teaching Scholarships for  undergraduates and teachers who have advanced proficiency in a language </w:t>
            </w:r>
          </w:p>
          <w:p w14:paraId="1577C923" w14:textId="77777777" w:rsidR="00E45E3A" w:rsidRPr="004866BD" w:rsidRDefault="00E45E3A" w:rsidP="00F666F6">
            <w:pPr>
              <w:pStyle w:val="ListParagraph"/>
              <w:keepNext w:val="0"/>
              <w:keepLines w:val="0"/>
              <w:numPr>
                <w:ilvl w:val="0"/>
                <w:numId w:val="16"/>
              </w:numPr>
              <w:spacing w:after="0" w:line="240" w:lineRule="auto"/>
              <w:rPr>
                <w:rFonts w:eastAsia="Times New Roman"/>
                <w:sz w:val="18"/>
                <w:szCs w:val="18"/>
              </w:rPr>
            </w:pPr>
            <w:r w:rsidRPr="004866BD">
              <w:rPr>
                <w:rFonts w:eastAsia="Times New Roman"/>
                <w:sz w:val="18"/>
                <w:szCs w:val="18"/>
              </w:rPr>
              <w:t xml:space="preserve">Languages advisers who provide linguistic and curriculum support to schools and teachers </w:t>
            </w:r>
          </w:p>
          <w:p w14:paraId="2F6BF266" w14:textId="77777777" w:rsidR="00E45E3A" w:rsidRPr="004866BD" w:rsidRDefault="00E45E3A" w:rsidP="00F666F6">
            <w:pPr>
              <w:pStyle w:val="ListParagraph"/>
              <w:keepNext w:val="0"/>
              <w:keepLines w:val="0"/>
              <w:numPr>
                <w:ilvl w:val="0"/>
                <w:numId w:val="16"/>
              </w:numPr>
              <w:spacing w:after="0" w:line="240" w:lineRule="auto"/>
              <w:rPr>
                <w:rFonts w:eastAsia="Times New Roman"/>
                <w:sz w:val="18"/>
                <w:szCs w:val="18"/>
              </w:rPr>
            </w:pPr>
            <w:r w:rsidRPr="004866BD">
              <w:rPr>
                <w:rFonts w:eastAsia="Times New Roman"/>
                <w:sz w:val="18"/>
                <w:szCs w:val="18"/>
              </w:rPr>
              <w:t xml:space="preserve">four Regional Language Project Officers who provide strategic support to schools </w:t>
            </w:r>
          </w:p>
          <w:p w14:paraId="5B3EECC0" w14:textId="77777777" w:rsidR="00E45E3A" w:rsidRPr="004866BD" w:rsidRDefault="00E45E3A" w:rsidP="00F666F6">
            <w:pPr>
              <w:pStyle w:val="ListParagraph"/>
              <w:keepNext w:val="0"/>
              <w:keepLines w:val="0"/>
              <w:numPr>
                <w:ilvl w:val="0"/>
                <w:numId w:val="16"/>
              </w:numPr>
              <w:spacing w:after="0" w:line="240" w:lineRule="auto"/>
              <w:rPr>
                <w:rFonts w:eastAsia="Times New Roman"/>
                <w:sz w:val="18"/>
                <w:szCs w:val="18"/>
              </w:rPr>
            </w:pPr>
            <w:r w:rsidRPr="004866BD">
              <w:rPr>
                <w:rFonts w:eastAsia="Times New Roman"/>
                <w:sz w:val="18"/>
                <w:szCs w:val="18"/>
              </w:rPr>
              <w:t xml:space="preserve">Language maintenance courses for currently employed language teachers  </w:t>
            </w:r>
          </w:p>
          <w:p w14:paraId="180D5659" w14:textId="5C04E614" w:rsidR="00E45E3A" w:rsidRPr="004866BD" w:rsidRDefault="00E45E3A" w:rsidP="00F666F6">
            <w:pPr>
              <w:pStyle w:val="ListParagraph"/>
              <w:keepNext w:val="0"/>
              <w:keepLines w:val="0"/>
              <w:numPr>
                <w:ilvl w:val="0"/>
                <w:numId w:val="16"/>
              </w:numPr>
              <w:spacing w:after="0" w:line="240" w:lineRule="auto"/>
              <w:rPr>
                <w:rFonts w:eastAsia="Times New Roman"/>
                <w:sz w:val="18"/>
                <w:szCs w:val="18"/>
              </w:rPr>
            </w:pPr>
            <w:r w:rsidRPr="004866BD">
              <w:rPr>
                <w:rFonts w:eastAsia="Times New Roman"/>
                <w:sz w:val="18"/>
                <w:szCs w:val="18"/>
              </w:rPr>
              <w:t>23 language-specific teacher associations funded annually to provide  professional learning programs for teachers and activities for students</w:t>
            </w:r>
          </w:p>
          <w:p w14:paraId="52B64A94" w14:textId="77777777" w:rsidR="00E45E3A" w:rsidRPr="004866BD" w:rsidRDefault="00E45E3A" w:rsidP="00F666F6">
            <w:pPr>
              <w:numPr>
                <w:ilvl w:val="0"/>
                <w:numId w:val="16"/>
              </w:numPr>
              <w:spacing w:after="0" w:line="276" w:lineRule="auto"/>
              <w:contextualSpacing/>
              <w:rPr>
                <w:sz w:val="18"/>
                <w:szCs w:val="18"/>
              </w:rPr>
            </w:pPr>
            <w:r w:rsidRPr="004866BD">
              <w:rPr>
                <w:sz w:val="18"/>
                <w:szCs w:val="18"/>
              </w:rPr>
              <w:t>Language Passports in 8 languages provided to all Prep to Year 4 students (expectation that all young learners will be learning a language from their first year of schooling).</w:t>
            </w:r>
          </w:p>
          <w:p w14:paraId="3657FD16" w14:textId="77777777" w:rsidR="00E45E3A" w:rsidRPr="004866BD" w:rsidRDefault="00E45E3A" w:rsidP="00F666F6">
            <w:pPr>
              <w:numPr>
                <w:ilvl w:val="0"/>
                <w:numId w:val="16"/>
              </w:numPr>
              <w:spacing w:after="0" w:line="276" w:lineRule="auto"/>
              <w:contextualSpacing/>
              <w:rPr>
                <w:sz w:val="18"/>
                <w:szCs w:val="18"/>
              </w:rPr>
            </w:pPr>
            <w:r w:rsidRPr="004866BD">
              <w:rPr>
                <w:sz w:val="18"/>
                <w:szCs w:val="18"/>
              </w:rPr>
              <w:t xml:space="preserve">Language Assistant Programs </w:t>
            </w:r>
          </w:p>
          <w:p w14:paraId="68950F5B" w14:textId="77777777" w:rsidR="00E45E3A" w:rsidRPr="004866BD" w:rsidRDefault="00E45E3A" w:rsidP="00F666F6">
            <w:pPr>
              <w:numPr>
                <w:ilvl w:val="0"/>
                <w:numId w:val="16"/>
              </w:numPr>
              <w:spacing w:after="0" w:line="276" w:lineRule="auto"/>
              <w:contextualSpacing/>
              <w:rPr>
                <w:sz w:val="18"/>
                <w:szCs w:val="18"/>
              </w:rPr>
            </w:pPr>
            <w:r w:rsidRPr="004866BD">
              <w:rPr>
                <w:sz w:val="18"/>
                <w:szCs w:val="18"/>
              </w:rPr>
              <w:t>In-country programs for students (including $13 million over 4 years for Year 9 students to travel to China)</w:t>
            </w:r>
          </w:p>
          <w:p w14:paraId="397AF225" w14:textId="77777777" w:rsidR="00E45E3A" w:rsidRPr="004866BD" w:rsidRDefault="00E45E3A" w:rsidP="00F666F6">
            <w:pPr>
              <w:numPr>
                <w:ilvl w:val="0"/>
                <w:numId w:val="16"/>
              </w:numPr>
              <w:spacing w:after="0" w:line="276" w:lineRule="auto"/>
              <w:contextualSpacing/>
              <w:rPr>
                <w:sz w:val="18"/>
                <w:szCs w:val="18"/>
              </w:rPr>
            </w:pPr>
            <w:r w:rsidRPr="004866BD">
              <w:rPr>
                <w:sz w:val="18"/>
                <w:szCs w:val="18"/>
              </w:rPr>
              <w:t>14 designated Bilingual programs</w:t>
            </w:r>
          </w:p>
          <w:p w14:paraId="3CA85859" w14:textId="77777777" w:rsidR="00E45E3A" w:rsidRPr="004866BD" w:rsidRDefault="00E45E3A" w:rsidP="00F666F6">
            <w:pPr>
              <w:numPr>
                <w:ilvl w:val="0"/>
                <w:numId w:val="16"/>
              </w:numPr>
              <w:spacing w:after="0" w:line="276" w:lineRule="auto"/>
              <w:contextualSpacing/>
              <w:rPr>
                <w:sz w:val="18"/>
                <w:szCs w:val="18"/>
              </w:rPr>
            </w:pPr>
            <w:r w:rsidRPr="004866BD">
              <w:rPr>
                <w:sz w:val="18"/>
                <w:szCs w:val="18"/>
              </w:rPr>
              <w:t>Content and Language Integrated Learning (</w:t>
            </w:r>
            <w:proofErr w:type="spellStart"/>
            <w:r w:rsidRPr="004866BD">
              <w:rPr>
                <w:sz w:val="18"/>
                <w:szCs w:val="18"/>
              </w:rPr>
              <w:t>CLIL</w:t>
            </w:r>
            <w:proofErr w:type="spellEnd"/>
            <w:r w:rsidRPr="004866BD">
              <w:rPr>
                <w:sz w:val="18"/>
                <w:szCs w:val="18"/>
              </w:rPr>
              <w:t>) courses for teachers</w:t>
            </w:r>
          </w:p>
          <w:p w14:paraId="21521F2F" w14:textId="77777777" w:rsidR="00E45E3A" w:rsidRPr="004866BD" w:rsidRDefault="00E45E3A" w:rsidP="00F666F6">
            <w:pPr>
              <w:numPr>
                <w:ilvl w:val="0"/>
                <w:numId w:val="16"/>
              </w:numPr>
              <w:spacing w:after="0" w:line="276" w:lineRule="auto"/>
              <w:contextualSpacing/>
              <w:rPr>
                <w:sz w:val="18"/>
                <w:szCs w:val="18"/>
              </w:rPr>
            </w:pPr>
            <w:r w:rsidRPr="004866BD">
              <w:rPr>
                <w:sz w:val="18"/>
                <w:szCs w:val="18"/>
              </w:rPr>
              <w:t>Languages and School Experience Program with tertiary sector</w:t>
            </w:r>
          </w:p>
          <w:p w14:paraId="6683012C" w14:textId="77777777" w:rsidR="00E45E3A" w:rsidRPr="004866BD" w:rsidRDefault="00E45E3A" w:rsidP="00F666F6">
            <w:pPr>
              <w:numPr>
                <w:ilvl w:val="0"/>
                <w:numId w:val="16"/>
              </w:numPr>
              <w:spacing w:after="0" w:line="276" w:lineRule="auto"/>
              <w:contextualSpacing/>
              <w:rPr>
                <w:sz w:val="18"/>
                <w:szCs w:val="18"/>
              </w:rPr>
            </w:pPr>
            <w:r w:rsidRPr="004866BD">
              <w:rPr>
                <w:sz w:val="18"/>
                <w:szCs w:val="18"/>
              </w:rPr>
              <w:t>Certificate IV in Community Language Teaching</w:t>
            </w:r>
          </w:p>
          <w:p w14:paraId="4AD0F08A" w14:textId="77777777" w:rsidR="00E45E3A" w:rsidRPr="004866BD" w:rsidRDefault="00E45E3A" w:rsidP="00F666F6">
            <w:pPr>
              <w:numPr>
                <w:ilvl w:val="0"/>
                <w:numId w:val="16"/>
              </w:numPr>
              <w:spacing w:after="0" w:line="276" w:lineRule="auto"/>
              <w:contextualSpacing/>
              <w:rPr>
                <w:sz w:val="18"/>
                <w:szCs w:val="18"/>
              </w:rPr>
            </w:pPr>
            <w:r w:rsidRPr="004866BD">
              <w:rPr>
                <w:sz w:val="18"/>
                <w:szCs w:val="18"/>
              </w:rPr>
              <w:t>an online/on demand language proficiency tool in development</w:t>
            </w:r>
          </w:p>
          <w:p w14:paraId="4CA8CC21" w14:textId="77777777" w:rsidR="00E45E3A" w:rsidRPr="004866BD" w:rsidRDefault="00E45E3A" w:rsidP="00F666F6">
            <w:pPr>
              <w:numPr>
                <w:ilvl w:val="0"/>
                <w:numId w:val="16"/>
              </w:numPr>
              <w:spacing w:after="0" w:line="276" w:lineRule="auto"/>
              <w:contextualSpacing/>
              <w:rPr>
                <w:sz w:val="18"/>
                <w:szCs w:val="18"/>
              </w:rPr>
            </w:pPr>
            <w:r w:rsidRPr="004866BD">
              <w:rPr>
                <w:sz w:val="18"/>
                <w:szCs w:val="18"/>
              </w:rPr>
              <w:t>Leading Languages course for school leaders</w:t>
            </w:r>
          </w:p>
          <w:p w14:paraId="02ABDA58" w14:textId="77777777" w:rsidR="00E45E3A" w:rsidRPr="004866BD" w:rsidRDefault="00E45E3A" w:rsidP="00F666F6">
            <w:pPr>
              <w:numPr>
                <w:ilvl w:val="0"/>
                <w:numId w:val="16"/>
              </w:numPr>
              <w:spacing w:after="0" w:line="276" w:lineRule="auto"/>
              <w:contextualSpacing/>
              <w:rPr>
                <w:sz w:val="18"/>
                <w:szCs w:val="18"/>
              </w:rPr>
            </w:pPr>
            <w:r w:rsidRPr="004866BD">
              <w:rPr>
                <w:sz w:val="18"/>
                <w:szCs w:val="18"/>
              </w:rPr>
              <w:t xml:space="preserve"> incentives for senior secondary (Certificate III in Applied Language as a </w:t>
            </w:r>
            <w:proofErr w:type="spellStart"/>
            <w:r w:rsidRPr="004866BD">
              <w:rPr>
                <w:sz w:val="18"/>
                <w:szCs w:val="18"/>
              </w:rPr>
              <w:t>VCE</w:t>
            </w:r>
            <w:proofErr w:type="spellEnd"/>
            <w:r w:rsidRPr="004866BD">
              <w:rPr>
                <w:sz w:val="18"/>
                <w:szCs w:val="18"/>
              </w:rPr>
              <w:t xml:space="preserve"> VET </w:t>
            </w:r>
            <w:proofErr w:type="spellStart"/>
            <w:r w:rsidRPr="004866BD">
              <w:rPr>
                <w:sz w:val="18"/>
                <w:szCs w:val="18"/>
              </w:rPr>
              <w:t>programme</w:t>
            </w:r>
            <w:proofErr w:type="spellEnd"/>
            <w:r w:rsidRPr="004866BD">
              <w:rPr>
                <w:sz w:val="18"/>
                <w:szCs w:val="18"/>
              </w:rPr>
              <w:t>)</w:t>
            </w:r>
          </w:p>
          <w:p w14:paraId="15E418F8" w14:textId="77777777" w:rsidR="00E45E3A" w:rsidRPr="004866BD" w:rsidRDefault="00E45E3A" w:rsidP="00F666F6">
            <w:pPr>
              <w:numPr>
                <w:ilvl w:val="0"/>
                <w:numId w:val="16"/>
              </w:numPr>
              <w:spacing w:after="0" w:line="276" w:lineRule="auto"/>
              <w:contextualSpacing/>
              <w:rPr>
                <w:b/>
                <w:sz w:val="18"/>
                <w:szCs w:val="18"/>
                <w:lang w:val="en-GB"/>
              </w:rPr>
            </w:pPr>
            <w:r w:rsidRPr="004866BD">
              <w:rPr>
                <w:sz w:val="18"/>
                <w:szCs w:val="18"/>
              </w:rPr>
              <w:t xml:space="preserve">bilingual </w:t>
            </w:r>
            <w:proofErr w:type="spellStart"/>
            <w:r w:rsidRPr="004866BD">
              <w:rPr>
                <w:sz w:val="18"/>
                <w:szCs w:val="18"/>
              </w:rPr>
              <w:t>ATAR</w:t>
            </w:r>
            <w:proofErr w:type="spellEnd"/>
            <w:r w:rsidRPr="004866BD">
              <w:rPr>
                <w:sz w:val="18"/>
                <w:szCs w:val="18"/>
              </w:rPr>
              <w:t xml:space="preserve"> bonus for students who complete two first languages in </w:t>
            </w:r>
            <w:proofErr w:type="spellStart"/>
            <w:r w:rsidRPr="004866BD">
              <w:rPr>
                <w:sz w:val="18"/>
                <w:szCs w:val="18"/>
              </w:rPr>
              <w:t>VCE</w:t>
            </w:r>
            <w:proofErr w:type="spellEnd"/>
            <w:r w:rsidRPr="004866BD">
              <w:rPr>
                <w:sz w:val="18"/>
                <w:szCs w:val="18"/>
              </w:rPr>
              <w:t xml:space="preserve"> (recognition of language study through the </w:t>
            </w:r>
            <w:proofErr w:type="spellStart"/>
            <w:r w:rsidRPr="004866BD">
              <w:rPr>
                <w:sz w:val="18"/>
                <w:szCs w:val="18"/>
              </w:rPr>
              <w:t>VCE</w:t>
            </w:r>
            <w:proofErr w:type="spellEnd"/>
            <w:r w:rsidRPr="004866BD">
              <w:rPr>
                <w:sz w:val="18"/>
                <w:szCs w:val="18"/>
              </w:rPr>
              <w:t xml:space="preserve"> (Victorian Baccalaureate</w:t>
            </w:r>
            <w:r w:rsidRPr="004866BD">
              <w:rPr>
                <w:sz w:val="18"/>
                <w:szCs w:val="18"/>
                <w:lang w:val="en-GB"/>
              </w:rPr>
              <w:t>)</w:t>
            </w:r>
            <w:r w:rsidRPr="004866BD">
              <w:rPr>
                <w:b/>
                <w:sz w:val="18"/>
                <w:szCs w:val="18"/>
                <w:lang w:val="en-GB"/>
              </w:rPr>
              <w:t xml:space="preserve">  </w:t>
            </w:r>
          </w:p>
        </w:tc>
        <w:tc>
          <w:tcPr>
            <w:tcW w:w="878" w:type="pct"/>
          </w:tcPr>
          <w:p w14:paraId="79E259ED" w14:textId="77777777" w:rsidR="00440F5D" w:rsidRDefault="00440F5D" w:rsidP="007D0385">
            <w:pPr>
              <w:spacing w:before="60" w:after="60"/>
              <w:rPr>
                <w:sz w:val="18"/>
                <w:szCs w:val="18"/>
              </w:rPr>
            </w:pPr>
            <w:r>
              <w:rPr>
                <w:sz w:val="18"/>
                <w:szCs w:val="18"/>
              </w:rPr>
              <w:t>Comprehensive policy and plan for action to support language learning. Clear requirements and targets, short and long term.</w:t>
            </w:r>
          </w:p>
          <w:p w14:paraId="6A9EA202" w14:textId="370DF2D3" w:rsidR="00E45E3A" w:rsidRPr="004866BD" w:rsidRDefault="00440F5D" w:rsidP="007D0385">
            <w:pPr>
              <w:spacing w:before="60" w:after="60"/>
              <w:rPr>
                <w:sz w:val="18"/>
                <w:szCs w:val="18"/>
              </w:rPr>
            </w:pPr>
            <w:r>
              <w:rPr>
                <w:sz w:val="18"/>
                <w:szCs w:val="18"/>
              </w:rPr>
              <w:t xml:space="preserve">Monitoring and evaluation of strategies about the actual impact will be important </w:t>
            </w:r>
            <w:r w:rsidR="00E45E3A" w:rsidRPr="004866BD">
              <w:rPr>
                <w:sz w:val="18"/>
                <w:szCs w:val="18"/>
              </w:rPr>
              <w:t>Victorian Curriculum and Assessment Authority to develop an online language proficiency tool.</w:t>
            </w:r>
          </w:p>
        </w:tc>
      </w:tr>
    </w:tbl>
    <w:p w14:paraId="37FACE06" w14:textId="7BA0E31D" w:rsidR="004623ED" w:rsidRDefault="004623ED">
      <w:pPr>
        <w:spacing w:after="0"/>
        <w:rPr>
          <w:rFonts w:eastAsiaTheme="majorEastAsia"/>
          <w:b/>
          <w:bCs/>
          <w:color w:val="4F81BD" w:themeColor="accent1"/>
          <w:sz w:val="20"/>
          <w:szCs w:val="20"/>
        </w:rPr>
      </w:pPr>
      <w:r>
        <w:rPr>
          <w:sz w:val="20"/>
          <w:szCs w:val="20"/>
        </w:rPr>
        <w:br w:type="page"/>
      </w:r>
    </w:p>
    <w:p w14:paraId="17CDE8A8" w14:textId="7719E889" w:rsidR="00E45E3A" w:rsidRPr="00BF296E" w:rsidRDefault="00E45E3A" w:rsidP="00BF296E">
      <w:pPr>
        <w:spacing w:after="0"/>
        <w:rPr>
          <w:b/>
        </w:rPr>
      </w:pPr>
      <w:r w:rsidRPr="00BF296E">
        <w:rPr>
          <w:b/>
        </w:rPr>
        <w:lastRenderedPageBreak/>
        <w:t>Western Australia (WA</w:t>
      </w:r>
      <w:proofErr w:type="gramStart"/>
      <w:r w:rsidRPr="00BF296E">
        <w:rPr>
          <w:b/>
        </w:rPr>
        <w:t>)(</w:t>
      </w:r>
      <w:proofErr w:type="gramEnd"/>
      <w:r w:rsidRPr="00BF296E">
        <w:rPr>
          <w:b/>
        </w:rPr>
        <w:t>As advised and/or verified by WA Department of Education)</w:t>
      </w:r>
    </w:p>
    <w:tbl>
      <w:tblPr>
        <w:tblStyle w:val="TableGrid"/>
        <w:tblW w:w="0" w:type="auto"/>
        <w:tblLook w:val="04A0" w:firstRow="1" w:lastRow="0" w:firstColumn="1" w:lastColumn="0" w:noHBand="0" w:noVBand="1"/>
      </w:tblPr>
      <w:tblGrid>
        <w:gridCol w:w="1809"/>
        <w:gridCol w:w="3402"/>
        <w:gridCol w:w="5009"/>
        <w:gridCol w:w="3405"/>
      </w:tblGrid>
      <w:tr w:rsidR="004866BD" w:rsidRPr="005272FB" w14:paraId="08321E2D" w14:textId="77777777" w:rsidTr="004866BD">
        <w:trPr>
          <w:cantSplit/>
          <w:tblHeader/>
        </w:trPr>
        <w:tc>
          <w:tcPr>
            <w:tcW w:w="1809" w:type="dxa"/>
            <w:shd w:val="clear" w:color="auto" w:fill="000000" w:themeFill="text1"/>
          </w:tcPr>
          <w:p w14:paraId="631CCD1C" w14:textId="77777777" w:rsidR="004866BD" w:rsidRPr="004866BD" w:rsidRDefault="004866BD" w:rsidP="005F0317">
            <w:pPr>
              <w:spacing w:after="0"/>
              <w:rPr>
                <w:color w:val="FFFFFF" w:themeColor="background1"/>
                <w:sz w:val="18"/>
                <w:szCs w:val="18"/>
              </w:rPr>
            </w:pPr>
            <w:r w:rsidRPr="004866BD">
              <w:rPr>
                <w:b/>
                <w:color w:val="FFFFFF" w:themeColor="background1"/>
                <w:sz w:val="18"/>
                <w:szCs w:val="18"/>
              </w:rPr>
              <w:t>Title of Policy</w:t>
            </w:r>
          </w:p>
        </w:tc>
        <w:tc>
          <w:tcPr>
            <w:tcW w:w="3402" w:type="dxa"/>
            <w:shd w:val="clear" w:color="auto" w:fill="000000" w:themeFill="text1"/>
          </w:tcPr>
          <w:p w14:paraId="62F5A321" w14:textId="77777777" w:rsidR="004866BD" w:rsidRPr="004866BD" w:rsidRDefault="004866BD" w:rsidP="005F0317">
            <w:pPr>
              <w:spacing w:after="0"/>
              <w:rPr>
                <w:color w:val="FFFFFF" w:themeColor="background1"/>
                <w:sz w:val="18"/>
                <w:szCs w:val="18"/>
              </w:rPr>
            </w:pPr>
            <w:r w:rsidRPr="004866BD">
              <w:rPr>
                <w:b/>
                <w:color w:val="FFFFFF" w:themeColor="background1"/>
                <w:sz w:val="18"/>
                <w:szCs w:val="18"/>
              </w:rPr>
              <w:t>Stated Purpose</w:t>
            </w:r>
          </w:p>
        </w:tc>
        <w:tc>
          <w:tcPr>
            <w:tcW w:w="5009" w:type="dxa"/>
            <w:shd w:val="clear" w:color="auto" w:fill="000000" w:themeFill="text1"/>
          </w:tcPr>
          <w:p w14:paraId="048021C7" w14:textId="77777777" w:rsidR="004866BD" w:rsidRPr="004866BD" w:rsidRDefault="004866BD" w:rsidP="005F0317">
            <w:pPr>
              <w:spacing w:after="0"/>
              <w:rPr>
                <w:color w:val="FFFFFF" w:themeColor="background1"/>
                <w:sz w:val="18"/>
                <w:szCs w:val="18"/>
              </w:rPr>
            </w:pPr>
            <w:r w:rsidRPr="004866BD">
              <w:rPr>
                <w:b/>
                <w:color w:val="FFFFFF" w:themeColor="background1"/>
                <w:sz w:val="18"/>
                <w:szCs w:val="18"/>
              </w:rPr>
              <w:t>Implementation</w:t>
            </w:r>
          </w:p>
        </w:tc>
        <w:tc>
          <w:tcPr>
            <w:tcW w:w="3405" w:type="dxa"/>
            <w:shd w:val="clear" w:color="auto" w:fill="000000" w:themeFill="text1"/>
          </w:tcPr>
          <w:p w14:paraId="429C7B47" w14:textId="77777777" w:rsidR="004866BD" w:rsidRPr="004866BD" w:rsidRDefault="004866BD" w:rsidP="005F0317">
            <w:pPr>
              <w:spacing w:after="0"/>
              <w:rPr>
                <w:color w:val="FFFFFF" w:themeColor="background1"/>
                <w:sz w:val="18"/>
                <w:szCs w:val="18"/>
              </w:rPr>
            </w:pPr>
            <w:r w:rsidRPr="004866BD">
              <w:rPr>
                <w:b/>
                <w:color w:val="FFFFFF" w:themeColor="background1"/>
                <w:sz w:val="18"/>
                <w:szCs w:val="18"/>
              </w:rPr>
              <w:t>Implications</w:t>
            </w:r>
          </w:p>
        </w:tc>
      </w:tr>
      <w:tr w:rsidR="004866BD" w:rsidRPr="005272FB" w14:paraId="3CD25094" w14:textId="77777777" w:rsidTr="004866BD">
        <w:trPr>
          <w:cantSplit/>
        </w:trPr>
        <w:tc>
          <w:tcPr>
            <w:tcW w:w="1809" w:type="dxa"/>
          </w:tcPr>
          <w:p w14:paraId="05BC4D7D" w14:textId="77777777" w:rsidR="004866BD" w:rsidRPr="005272FB" w:rsidRDefault="004866BD" w:rsidP="005F0317">
            <w:pPr>
              <w:spacing w:before="60" w:after="0"/>
              <w:rPr>
                <w:sz w:val="18"/>
                <w:szCs w:val="18"/>
              </w:rPr>
            </w:pPr>
            <w:r w:rsidRPr="005272FB">
              <w:rPr>
                <w:sz w:val="18"/>
                <w:szCs w:val="18"/>
              </w:rPr>
              <w:t xml:space="preserve">School Curriculum and Standards Authority’s </w:t>
            </w:r>
            <w:r w:rsidRPr="005272FB">
              <w:rPr>
                <w:i/>
                <w:sz w:val="18"/>
                <w:szCs w:val="18"/>
              </w:rPr>
              <w:t>Western Australian Curriculum and Assessment Outline</w:t>
            </w:r>
            <w:r w:rsidRPr="005272FB">
              <w:rPr>
                <w:sz w:val="18"/>
                <w:szCs w:val="18"/>
              </w:rPr>
              <w:t xml:space="preserve"> </w:t>
            </w:r>
          </w:p>
          <w:p w14:paraId="23F55D2C" w14:textId="77777777" w:rsidR="004866BD" w:rsidRPr="005272FB" w:rsidRDefault="004866BD" w:rsidP="005F0317">
            <w:pPr>
              <w:spacing w:before="60" w:after="0"/>
              <w:rPr>
                <w:sz w:val="18"/>
                <w:szCs w:val="18"/>
              </w:rPr>
            </w:pPr>
            <w:r w:rsidRPr="005272FB">
              <w:rPr>
                <w:i/>
                <w:sz w:val="18"/>
                <w:szCs w:val="18"/>
              </w:rPr>
              <w:t xml:space="preserve">Curriculum, Assessment and Reporting </w:t>
            </w:r>
            <w:r w:rsidRPr="005272FB">
              <w:rPr>
                <w:sz w:val="18"/>
                <w:szCs w:val="18"/>
              </w:rPr>
              <w:t>policy</w:t>
            </w:r>
            <w:r w:rsidRPr="005272FB">
              <w:rPr>
                <w:i/>
                <w:sz w:val="18"/>
                <w:szCs w:val="18"/>
              </w:rPr>
              <w:t xml:space="preserve"> </w:t>
            </w:r>
            <w:r w:rsidRPr="005272FB">
              <w:rPr>
                <w:sz w:val="18"/>
                <w:szCs w:val="18"/>
              </w:rPr>
              <w:t>Effective 1 January 2015</w:t>
            </w:r>
          </w:p>
        </w:tc>
        <w:tc>
          <w:tcPr>
            <w:tcW w:w="3402" w:type="dxa"/>
          </w:tcPr>
          <w:p w14:paraId="170433A2" w14:textId="77777777" w:rsidR="004866BD" w:rsidRPr="005272FB" w:rsidRDefault="004866BD" w:rsidP="005F0317">
            <w:pPr>
              <w:spacing w:before="60" w:after="0"/>
              <w:rPr>
                <w:sz w:val="18"/>
                <w:szCs w:val="18"/>
              </w:rPr>
            </w:pPr>
            <w:r w:rsidRPr="005272FB">
              <w:rPr>
                <w:sz w:val="18"/>
                <w:szCs w:val="18"/>
              </w:rPr>
              <w:t>The School Curriculum and Standards Authority (the Authority) is responsible for setting the curriculum, standards of student achievement in languages and for the assessment and certification of students’ achievement according to those standards.</w:t>
            </w:r>
          </w:p>
          <w:p w14:paraId="173D8EBE" w14:textId="77777777" w:rsidR="004866BD" w:rsidRPr="005272FB" w:rsidRDefault="004866BD" w:rsidP="005F0317">
            <w:pPr>
              <w:spacing w:before="60" w:after="0"/>
              <w:rPr>
                <w:sz w:val="18"/>
                <w:szCs w:val="18"/>
              </w:rPr>
            </w:pPr>
            <w:r w:rsidRPr="005272FB">
              <w:rPr>
                <w:sz w:val="18"/>
                <w:szCs w:val="18"/>
              </w:rPr>
              <w:t>In accordance with the School Curriculum and Standards Authority Act, 1997, the Western Australian Curriculum and Assessment Outline sets out the knowledge, understanding, skills, values and attitudes that students are expected to acquire and guidelines for the assessment of student achievement.  The Outline includes curriculum, policy advice and guidelines for all Western Australian schools- government and non-government schools and home education providers.</w:t>
            </w:r>
          </w:p>
          <w:p w14:paraId="2F99CE0A" w14:textId="77777777" w:rsidR="004866BD" w:rsidRPr="005272FB" w:rsidRDefault="004866BD" w:rsidP="005F0317">
            <w:pPr>
              <w:spacing w:after="0"/>
              <w:rPr>
                <w:sz w:val="18"/>
                <w:szCs w:val="18"/>
              </w:rPr>
            </w:pPr>
            <w:r w:rsidRPr="005272FB">
              <w:rPr>
                <w:sz w:val="18"/>
                <w:szCs w:val="18"/>
              </w:rPr>
              <w:t xml:space="preserve">The Department of Education </w:t>
            </w:r>
            <w:r w:rsidRPr="005272FB">
              <w:rPr>
                <w:i/>
                <w:sz w:val="18"/>
                <w:szCs w:val="18"/>
              </w:rPr>
              <w:t>Curriculum, Assessment and Reporting Policy</w:t>
            </w:r>
            <w:r w:rsidRPr="005272FB">
              <w:rPr>
                <w:sz w:val="18"/>
                <w:szCs w:val="18"/>
              </w:rPr>
              <w:t xml:space="preserve"> ensures compliance.</w:t>
            </w:r>
          </w:p>
        </w:tc>
        <w:tc>
          <w:tcPr>
            <w:tcW w:w="5009" w:type="dxa"/>
          </w:tcPr>
          <w:p w14:paraId="3A822642" w14:textId="77777777" w:rsidR="004866BD" w:rsidRPr="00D26290" w:rsidRDefault="004866BD" w:rsidP="005F0317">
            <w:pPr>
              <w:spacing w:after="0"/>
              <w:rPr>
                <w:sz w:val="18"/>
                <w:szCs w:val="18"/>
              </w:rPr>
            </w:pPr>
            <w:proofErr w:type="gramStart"/>
            <w:r w:rsidRPr="00D26290">
              <w:rPr>
                <w:sz w:val="18"/>
                <w:szCs w:val="18"/>
              </w:rPr>
              <w:t>Languages is</w:t>
            </w:r>
            <w:proofErr w:type="gramEnd"/>
            <w:r w:rsidRPr="00D26290">
              <w:rPr>
                <w:sz w:val="18"/>
                <w:szCs w:val="18"/>
              </w:rPr>
              <w:t xml:space="preserve"> one of the eight learning areas identified in the Western Australian Curriculum and Assessment Outline. The Outline sets out the curriculum, guiding principles for teaching, learning and assessment and support for teachers in assessing and reporting student achievement for students from Kindergarten to Year 10.</w:t>
            </w:r>
          </w:p>
          <w:p w14:paraId="2E02768A" w14:textId="77777777" w:rsidR="004866BD" w:rsidRPr="00D26290" w:rsidRDefault="004866BD" w:rsidP="005F0317">
            <w:pPr>
              <w:spacing w:after="0"/>
              <w:rPr>
                <w:sz w:val="18"/>
                <w:szCs w:val="18"/>
              </w:rPr>
            </w:pPr>
            <w:r w:rsidRPr="00D26290">
              <w:rPr>
                <w:sz w:val="18"/>
                <w:szCs w:val="18"/>
              </w:rPr>
              <w:t>Schools are required to report student achievement for languages taught in their school.</w:t>
            </w:r>
          </w:p>
          <w:p w14:paraId="2F8A4754" w14:textId="77777777" w:rsidR="004866BD" w:rsidRPr="00D26290" w:rsidRDefault="004866BD" w:rsidP="005F0317">
            <w:pPr>
              <w:spacing w:after="0"/>
              <w:rPr>
                <w:sz w:val="18"/>
                <w:szCs w:val="18"/>
              </w:rPr>
            </w:pPr>
            <w:r w:rsidRPr="00D26290">
              <w:rPr>
                <w:sz w:val="18"/>
                <w:szCs w:val="18"/>
              </w:rPr>
              <w:t xml:space="preserve">The Department of Education supports the teaching and learning of seven mainstream language areas, Chinese, French, German, Indonesian, Italian and Aboriginal languages.  </w:t>
            </w:r>
          </w:p>
          <w:p w14:paraId="66DF2805" w14:textId="77777777" w:rsidR="004866BD" w:rsidRPr="00D26290" w:rsidRDefault="004866BD" w:rsidP="005F0317">
            <w:pPr>
              <w:spacing w:after="0"/>
              <w:rPr>
                <w:sz w:val="18"/>
                <w:szCs w:val="18"/>
              </w:rPr>
            </w:pPr>
            <w:r w:rsidRPr="00D26290">
              <w:rPr>
                <w:sz w:val="18"/>
                <w:szCs w:val="18"/>
              </w:rPr>
              <w:t xml:space="preserve">The State-wide Services Learning Area Support branch is responsible for support for the teaching and learning of languages in public schools throughout Western Australia.  Support for the teaching of languages includes: </w:t>
            </w:r>
          </w:p>
          <w:p w14:paraId="1A0F4519" w14:textId="77777777" w:rsidR="004866BD" w:rsidRPr="00D26290" w:rsidRDefault="004866BD" w:rsidP="005F0317">
            <w:pPr>
              <w:spacing w:after="0"/>
              <w:rPr>
                <w:sz w:val="18"/>
                <w:szCs w:val="18"/>
              </w:rPr>
            </w:pPr>
            <w:r w:rsidRPr="00D26290">
              <w:rPr>
                <w:sz w:val="18"/>
                <w:szCs w:val="18"/>
              </w:rPr>
              <w:t>four Teacher Development Schools which focus on provision of professional learning for language teachers;</w:t>
            </w:r>
          </w:p>
          <w:p w14:paraId="56DA9E88" w14:textId="77777777" w:rsidR="004866BD" w:rsidRPr="00D26290" w:rsidRDefault="004866BD" w:rsidP="005F0317">
            <w:pPr>
              <w:spacing w:after="0"/>
              <w:rPr>
                <w:sz w:val="18"/>
                <w:szCs w:val="18"/>
              </w:rPr>
            </w:pPr>
            <w:r w:rsidRPr="00D26290">
              <w:rPr>
                <w:sz w:val="18"/>
                <w:szCs w:val="18"/>
              </w:rPr>
              <w:t>an officer who provides support for the implementation of the cross-curriculum priority of Asia and Australia’s engagement with Asia;</w:t>
            </w:r>
          </w:p>
          <w:p w14:paraId="1C00A811" w14:textId="77777777" w:rsidR="004866BD" w:rsidRPr="00D26290" w:rsidRDefault="004866BD" w:rsidP="005F0317">
            <w:pPr>
              <w:spacing w:after="0"/>
              <w:rPr>
                <w:sz w:val="18"/>
                <w:szCs w:val="18"/>
              </w:rPr>
            </w:pPr>
            <w:r w:rsidRPr="00D26290">
              <w:rPr>
                <w:sz w:val="18"/>
                <w:szCs w:val="18"/>
              </w:rPr>
              <w:t>online Connect Community forums for languages and the cross-curriculum priorities;</w:t>
            </w:r>
          </w:p>
          <w:p w14:paraId="603C53CA" w14:textId="77777777" w:rsidR="004866BD" w:rsidRPr="00D26290" w:rsidRDefault="004866BD" w:rsidP="005F0317">
            <w:pPr>
              <w:spacing w:after="0"/>
              <w:rPr>
                <w:sz w:val="18"/>
                <w:szCs w:val="18"/>
              </w:rPr>
            </w:pPr>
            <w:r w:rsidRPr="00D26290">
              <w:rPr>
                <w:sz w:val="18"/>
                <w:szCs w:val="18"/>
              </w:rPr>
              <w:t>ten full time language assistants from China, France, Germany and Indonesia who support primary and secondary language programs; and</w:t>
            </w:r>
          </w:p>
          <w:p w14:paraId="05674E65" w14:textId="77777777" w:rsidR="004866BD" w:rsidRPr="00D26290" w:rsidRDefault="004866BD" w:rsidP="005F0317">
            <w:pPr>
              <w:spacing w:after="0"/>
              <w:rPr>
                <w:sz w:val="18"/>
                <w:szCs w:val="18"/>
              </w:rPr>
            </w:pPr>
            <w:r w:rsidRPr="00D26290">
              <w:rPr>
                <w:sz w:val="18"/>
                <w:szCs w:val="18"/>
              </w:rPr>
              <w:t>the Western Australian Secondary School Executives  Association and Hyogo Administrators’ exchange for secondary school educators to support the sister-state relationship shared by Western Australia and Hyogo Prefecture, Japan.</w:t>
            </w:r>
          </w:p>
          <w:p w14:paraId="67371C48" w14:textId="77777777" w:rsidR="004866BD" w:rsidRPr="00D26290" w:rsidRDefault="004866BD" w:rsidP="005F0317">
            <w:pPr>
              <w:spacing w:after="0"/>
              <w:rPr>
                <w:sz w:val="18"/>
                <w:szCs w:val="18"/>
              </w:rPr>
            </w:pPr>
            <w:r w:rsidRPr="00D26290">
              <w:rPr>
                <w:sz w:val="18"/>
                <w:szCs w:val="18"/>
              </w:rPr>
              <w:t>In 2015, there have been changes to the structure of senior secondary courses which have seen revised Languages courses and additional pathways implemented for Year 11 students.  These courses have been adapted by the Authority from current course syllabuses.</w:t>
            </w:r>
          </w:p>
          <w:p w14:paraId="4844DAB6" w14:textId="77777777" w:rsidR="004866BD" w:rsidRPr="005272FB" w:rsidRDefault="004866BD" w:rsidP="005F0317">
            <w:pPr>
              <w:spacing w:after="0"/>
            </w:pPr>
          </w:p>
        </w:tc>
        <w:tc>
          <w:tcPr>
            <w:tcW w:w="3405" w:type="dxa"/>
          </w:tcPr>
          <w:p w14:paraId="148748D1" w14:textId="77777777" w:rsidR="004866BD" w:rsidRPr="005272FB" w:rsidRDefault="004866BD" w:rsidP="005F0317">
            <w:pPr>
              <w:spacing w:before="60" w:after="0"/>
              <w:rPr>
                <w:sz w:val="18"/>
                <w:szCs w:val="18"/>
              </w:rPr>
            </w:pPr>
            <w:r w:rsidRPr="005272FB">
              <w:rPr>
                <w:sz w:val="18"/>
                <w:szCs w:val="18"/>
              </w:rPr>
              <w:t xml:space="preserve">The School Curriculum and Standards Authority will adopt and adapt the Australian Curriculum: Languages (Pre-primary to Year 10) as developed by ACARA to suit the context of public schools.  The Department of Education has been involved in consultations. </w:t>
            </w:r>
          </w:p>
          <w:p w14:paraId="25014575" w14:textId="77777777" w:rsidR="004866BD" w:rsidRPr="005272FB" w:rsidRDefault="004866BD" w:rsidP="005F0317">
            <w:pPr>
              <w:spacing w:after="0"/>
              <w:rPr>
                <w:sz w:val="18"/>
                <w:szCs w:val="18"/>
              </w:rPr>
            </w:pPr>
          </w:p>
        </w:tc>
      </w:tr>
    </w:tbl>
    <w:p w14:paraId="2A6C2F3C" w14:textId="77777777" w:rsidR="00E95B83" w:rsidRPr="003F46ED" w:rsidRDefault="00E95B83" w:rsidP="00B30583">
      <w:pPr>
        <w:rPr>
          <w:highlight w:val="yellow"/>
        </w:rPr>
      </w:pPr>
    </w:p>
    <w:p w14:paraId="6F54EE5C" w14:textId="77777777" w:rsidR="00465273" w:rsidRPr="003F46ED" w:rsidRDefault="00465273" w:rsidP="00D0212E">
      <w:pPr>
        <w:pStyle w:val="Heading3"/>
        <w:sectPr w:rsidR="00465273" w:rsidRPr="003F46ED" w:rsidSect="00665CB6">
          <w:footerReference w:type="default" r:id="rId28"/>
          <w:pgSz w:w="16834" w:h="11904" w:orient="landscape"/>
          <w:pgMar w:top="1134" w:right="1440" w:bottom="1134" w:left="1985" w:header="709" w:footer="709" w:gutter="0"/>
          <w:cols w:space="720"/>
          <w:docGrid w:linePitch="299"/>
        </w:sectPr>
      </w:pPr>
    </w:p>
    <w:p w14:paraId="0D3F7003" w14:textId="77777777" w:rsidR="007B1D45" w:rsidRPr="003F46ED" w:rsidRDefault="005B783C" w:rsidP="00715217">
      <w:r w:rsidRPr="003F46ED">
        <w:lastRenderedPageBreak/>
        <w:t xml:space="preserve">The comprehensive national snapshot presented in </w:t>
      </w:r>
      <w:r w:rsidR="005C3E3E" w:rsidRPr="003F46ED">
        <w:t>Table 3.2</w:t>
      </w:r>
      <w:r w:rsidRPr="003F46ED">
        <w:t xml:space="preserve"> enables the following observations. </w:t>
      </w:r>
    </w:p>
    <w:p w14:paraId="3270634B" w14:textId="77777777" w:rsidR="007B1D45" w:rsidRPr="003F46ED" w:rsidRDefault="005B783C" w:rsidP="00D0212E">
      <w:pPr>
        <w:pStyle w:val="Heading3"/>
      </w:pPr>
      <w:r w:rsidRPr="003F46ED">
        <w:t>1. Significant variation in language policy and policy positions</w:t>
      </w:r>
    </w:p>
    <w:p w14:paraId="73F451AA" w14:textId="77777777" w:rsidR="007B1D45" w:rsidRPr="003F46ED" w:rsidRDefault="005B783C" w:rsidP="00715217">
      <w:r w:rsidRPr="003F46ED">
        <w:t>The current policy environment for languages education in Australia</w:t>
      </w:r>
      <w:r w:rsidR="005D4F62" w:rsidRPr="003F46ED">
        <w:t xml:space="preserve"> is</w:t>
      </w:r>
      <w:r w:rsidR="00DA75D9" w:rsidRPr="003F46ED">
        <w:t xml:space="preserve"> varied</w:t>
      </w:r>
      <w:r w:rsidRPr="003F46ED">
        <w:t xml:space="preserve">. Some jurisdictions have a specific policy or overarching policies while </w:t>
      </w:r>
      <w:r w:rsidR="008C4A6D" w:rsidRPr="003F46ED">
        <w:t>others incorporate languages into other policy or curriculum documents</w:t>
      </w:r>
      <w:r w:rsidR="00101322" w:rsidRPr="003F46ED">
        <w:t xml:space="preserve">. </w:t>
      </w:r>
      <w:r w:rsidRPr="003F46ED">
        <w:t xml:space="preserve">A number of </w:t>
      </w:r>
      <w:r w:rsidR="00A17539" w:rsidRPr="003F46ED">
        <w:t>jurisdictions</w:t>
      </w:r>
      <w:r w:rsidRPr="003F46ED">
        <w:t xml:space="preserve"> address languages education through their respective implementation plans for the Australian Curriculum (e.g. </w:t>
      </w:r>
      <w:r w:rsidR="007C4CC3" w:rsidRPr="003F46ED">
        <w:t>NT</w:t>
      </w:r>
      <w:r w:rsidRPr="003F46ED">
        <w:t xml:space="preserve">, </w:t>
      </w:r>
      <w:proofErr w:type="spellStart"/>
      <w:proofErr w:type="gramStart"/>
      <w:r w:rsidR="000464C9" w:rsidRPr="003F46ED">
        <w:t>Tas</w:t>
      </w:r>
      <w:proofErr w:type="spellEnd"/>
      <w:proofErr w:type="gramEnd"/>
      <w:r w:rsidRPr="003F46ED">
        <w:t xml:space="preserve">, </w:t>
      </w:r>
      <w:r w:rsidR="00EB5C58" w:rsidRPr="003F46ED">
        <w:t>SA</w:t>
      </w:r>
      <w:r w:rsidRPr="003F46ED">
        <w:t xml:space="preserve"> and </w:t>
      </w:r>
      <w:r w:rsidR="000464C9" w:rsidRPr="003F46ED">
        <w:t>WA</w:t>
      </w:r>
      <w:r w:rsidRPr="003F46ED">
        <w:t>).</w:t>
      </w:r>
    </w:p>
    <w:p w14:paraId="073E0311" w14:textId="77777777" w:rsidR="007B1D45" w:rsidRPr="003F46ED" w:rsidRDefault="005B783C" w:rsidP="00715217">
      <w:r w:rsidRPr="003F46ED">
        <w:t>The aims of policies and policy positions related to languages education are typically focused on participation and access, or exposure to language learning. They vary in how the aims are framed, ranging from those that encourage schools to offer language programmes to those that require schools to offer progr</w:t>
      </w:r>
      <w:r w:rsidR="00101322" w:rsidRPr="003F46ED">
        <w:t>ammes at particular year levels.</w:t>
      </w:r>
    </w:p>
    <w:p w14:paraId="6897CED6" w14:textId="77777777" w:rsidR="007B1D45" w:rsidRPr="003F46ED" w:rsidRDefault="005B783C" w:rsidP="00715217">
      <w:r w:rsidRPr="003F46ED">
        <w:t>Current policies and policy proposals tend to focus on the mid-primary to junior secondary years collectively. In all cases,</w:t>
      </w:r>
      <w:r w:rsidR="005119C0" w:rsidRPr="003F46ED">
        <w:t xml:space="preserve"> provision of</w:t>
      </w:r>
      <w:r w:rsidRPr="003F46ED">
        <w:t xml:space="preserve"> languag</w:t>
      </w:r>
      <w:r w:rsidR="005119C0" w:rsidRPr="003F46ED">
        <w:t xml:space="preserve">es education </w:t>
      </w:r>
      <w:r w:rsidRPr="003F46ED">
        <w:t xml:space="preserve">is not </w:t>
      </w:r>
      <w:r w:rsidR="00E66DC5" w:rsidRPr="003F46ED">
        <w:t>a requirement</w:t>
      </w:r>
      <w:r w:rsidR="005119C0" w:rsidRPr="003F46ED">
        <w:t xml:space="preserve"> for schools</w:t>
      </w:r>
      <w:r w:rsidRPr="003F46ED">
        <w:t xml:space="preserve"> beyond junior secondary level. </w:t>
      </w:r>
    </w:p>
    <w:p w14:paraId="5825D267" w14:textId="71085AFF" w:rsidR="0065077D" w:rsidRPr="003F46ED" w:rsidRDefault="00943D98" w:rsidP="00715217">
      <w:r w:rsidRPr="003F46ED">
        <w:t>It has been a</w:t>
      </w:r>
      <w:r w:rsidR="0065077D" w:rsidRPr="003F46ED">
        <w:t>lmost three decades since the first national languages policy in Australia (Lo Bianco, 1987)</w:t>
      </w:r>
      <w:r w:rsidRPr="003F46ED">
        <w:t>.</w:t>
      </w:r>
      <w:r w:rsidR="0065077D" w:rsidRPr="003F46ED">
        <w:t xml:space="preserve"> </w:t>
      </w:r>
      <w:r w:rsidRPr="003F46ED">
        <w:t xml:space="preserve">Yet, </w:t>
      </w:r>
      <w:r w:rsidR="0065077D" w:rsidRPr="003F46ED">
        <w:t>policies continue to fluctuate according to national and/or jurisdiction level priorities. At the same time, language enrolment figures at senior secondary</w:t>
      </w:r>
      <w:r w:rsidR="0013405E" w:rsidRPr="003F46ED">
        <w:t xml:space="preserve"> level</w:t>
      </w:r>
      <w:r w:rsidR="0065077D" w:rsidRPr="003F46ED">
        <w:t xml:space="preserve"> have flat-lined nationally.</w:t>
      </w:r>
    </w:p>
    <w:p w14:paraId="0DF890A0" w14:textId="77777777" w:rsidR="007B1D45" w:rsidRPr="003F46ED" w:rsidRDefault="005B783C" w:rsidP="00D0212E">
      <w:pPr>
        <w:pStyle w:val="Heading3"/>
      </w:pPr>
      <w:r w:rsidRPr="003F46ED">
        <w:t xml:space="preserve">2. </w:t>
      </w:r>
      <w:r w:rsidR="00952CE0" w:rsidRPr="003F46ED">
        <w:t>A</w:t>
      </w:r>
      <w:r w:rsidRPr="003F46ED">
        <w:t xml:space="preserve"> period of transition</w:t>
      </w:r>
    </w:p>
    <w:p w14:paraId="49B05AEE" w14:textId="22E6DEA8" w:rsidR="005B783C" w:rsidRPr="003F46ED" w:rsidRDefault="005B783C" w:rsidP="00715217">
      <w:r w:rsidRPr="003F46ED">
        <w:t>Many of the policies reflect a period of transition for languages education. In recent decades, state and territory initiatives have tended to accord with national initiatives such as:</w:t>
      </w:r>
    </w:p>
    <w:p w14:paraId="0D9D4A76" w14:textId="77777777" w:rsidR="005B783C" w:rsidRPr="003F46ED" w:rsidRDefault="005B783C" w:rsidP="00715217">
      <w:r w:rsidRPr="003F46ED">
        <w:t>National Asian Languages and Studies in Schools Program (</w:t>
      </w:r>
      <w:proofErr w:type="spellStart"/>
      <w:r w:rsidRPr="003F46ED">
        <w:t>NALSAS</w:t>
      </w:r>
      <w:proofErr w:type="spellEnd"/>
      <w:r w:rsidRPr="003F46ED">
        <w:t>, 1996</w:t>
      </w:r>
      <w:r w:rsidR="00BC2A59" w:rsidRPr="003F46ED">
        <w:t>–</w:t>
      </w:r>
      <w:r w:rsidRPr="003F46ED">
        <w:t>2004)</w:t>
      </w:r>
    </w:p>
    <w:p w14:paraId="663E36DB" w14:textId="77777777" w:rsidR="00F00102" w:rsidRPr="003F46ED" w:rsidRDefault="00F00102" w:rsidP="00715217">
      <w:r w:rsidRPr="003F46ED">
        <w:t>National Statement for Languages Education in Australian Schools (2005</w:t>
      </w:r>
      <w:r w:rsidR="00BC2A59" w:rsidRPr="003F46ED">
        <w:t>–</w:t>
      </w:r>
      <w:r w:rsidRPr="003F46ED">
        <w:t xml:space="preserve">2008) </w:t>
      </w:r>
    </w:p>
    <w:p w14:paraId="7BCB4CEA" w14:textId="77777777" w:rsidR="00F00102" w:rsidRPr="003F46ED" w:rsidRDefault="00F00102" w:rsidP="00715217">
      <w:r w:rsidRPr="003F46ED">
        <w:t>National Plan for Languages Education in Australian Schools (2005</w:t>
      </w:r>
      <w:r w:rsidR="00BC2A59" w:rsidRPr="003F46ED">
        <w:t>–</w:t>
      </w:r>
      <w:r w:rsidRPr="003F46ED">
        <w:t>2008)</w:t>
      </w:r>
    </w:p>
    <w:p w14:paraId="5563FA2F" w14:textId="77777777" w:rsidR="007B1D45" w:rsidRPr="003F46ED" w:rsidRDefault="005B783C" w:rsidP="00715217">
      <w:r w:rsidRPr="003F46ED">
        <w:t>National Asian Languages and Studies Programs (</w:t>
      </w:r>
      <w:proofErr w:type="spellStart"/>
      <w:r w:rsidRPr="003F46ED">
        <w:t>NALSSP</w:t>
      </w:r>
      <w:proofErr w:type="spellEnd"/>
      <w:r w:rsidRPr="003F46ED">
        <w:t>, 2008</w:t>
      </w:r>
      <w:r w:rsidR="00BC2A59" w:rsidRPr="003F46ED">
        <w:t>–</w:t>
      </w:r>
      <w:r w:rsidRPr="003F46ED">
        <w:t>2012)</w:t>
      </w:r>
      <w:r w:rsidR="00F00102" w:rsidRPr="003F46ED">
        <w:t>.</w:t>
      </w:r>
    </w:p>
    <w:p w14:paraId="4669FFA5" w14:textId="77777777" w:rsidR="007B1D45" w:rsidRPr="003F46ED" w:rsidRDefault="005B783C" w:rsidP="00715217">
      <w:r w:rsidRPr="003F46ED">
        <w:t xml:space="preserve">At present, the Australian Curriculum and the Australian Government’s focus on languages education have come to the fore. The Australian Curriculum has become a primary vehicle through which several jurisdictions are addressing the provision of languages education. However, </w:t>
      </w:r>
      <w:r w:rsidR="00571D10" w:rsidRPr="003F46ED">
        <w:t xml:space="preserve">successful </w:t>
      </w:r>
      <w:r w:rsidR="00FD2110" w:rsidRPr="003F46ED">
        <w:t xml:space="preserve">provision of languages, including </w:t>
      </w:r>
      <w:r w:rsidRPr="003F46ED">
        <w:t xml:space="preserve">fair access for </w:t>
      </w:r>
      <w:r w:rsidR="00FD2110" w:rsidRPr="003F46ED">
        <w:t xml:space="preserve">all </w:t>
      </w:r>
      <w:r w:rsidRPr="003F46ED">
        <w:t>students</w:t>
      </w:r>
      <w:r w:rsidR="00FD2110" w:rsidRPr="003F46ED">
        <w:t>,</w:t>
      </w:r>
      <w:r w:rsidRPr="003F46ED">
        <w:t xml:space="preserve"> will not result just from the introduction of the Australian Curriculum</w:t>
      </w:r>
      <w:r w:rsidR="009F6F5E" w:rsidRPr="003F46ED">
        <w:t xml:space="preserve">. For example, in </w:t>
      </w:r>
      <w:r w:rsidR="00EB5C58" w:rsidRPr="003F46ED">
        <w:t>SA</w:t>
      </w:r>
      <w:r w:rsidR="006C28E2" w:rsidRPr="003F46ED">
        <w:t xml:space="preserve">, school principals may, </w:t>
      </w:r>
      <w:r w:rsidRPr="003F46ED">
        <w:t>under exceptional circumstances</w:t>
      </w:r>
      <w:r w:rsidR="006C28E2" w:rsidRPr="003F46ED">
        <w:t>,</w:t>
      </w:r>
      <w:r w:rsidRPr="003F46ED">
        <w:t xml:space="preserve"> negotiate an alternative timeline for implementation. </w:t>
      </w:r>
    </w:p>
    <w:p w14:paraId="59DC6950" w14:textId="7781B782" w:rsidR="00344AA0" w:rsidRPr="003F46ED" w:rsidRDefault="005B783C" w:rsidP="00715217">
      <w:r w:rsidRPr="003F46ED">
        <w:t xml:space="preserve">Furthermore, in using the Australian Curriculum indicative time allocations as the framing for the scoped and sequenced languages, the time allocated to language programmes in schools may either increase or decrease depending on existing conditions </w:t>
      </w:r>
      <w:r w:rsidR="007722CA" w:rsidRPr="003F46ED">
        <w:t>with</w:t>
      </w:r>
      <w:r w:rsidRPr="003F46ED">
        <w:t xml:space="preserve">in schools and </w:t>
      </w:r>
      <w:r w:rsidR="007722CA" w:rsidRPr="003F46ED">
        <w:t>j</w:t>
      </w:r>
      <w:r w:rsidRPr="003F46ED">
        <w:t>urisdiction</w:t>
      </w:r>
      <w:r w:rsidR="00D22A86" w:rsidRPr="003F46ED">
        <w:t>s. The research related to time-on-</w:t>
      </w:r>
      <w:r w:rsidRPr="003F46ED">
        <w:t xml:space="preserve">task and immersion opportunities for languages (see, for example, </w:t>
      </w:r>
      <w:r w:rsidR="00BE30A4" w:rsidRPr="003F46ED">
        <w:t xml:space="preserve">Cross &amp; </w:t>
      </w:r>
      <w:proofErr w:type="spellStart"/>
      <w:r w:rsidR="00BE30A4" w:rsidRPr="003F46ED">
        <w:t>Gearon</w:t>
      </w:r>
      <w:proofErr w:type="spellEnd"/>
      <w:r w:rsidR="00BE30A4" w:rsidRPr="003F46ED">
        <w:t xml:space="preserve">, 2013; </w:t>
      </w:r>
      <w:r w:rsidRPr="003F46ED">
        <w:t>Boudreaux, 2010) suggests that inadequate learning time may impact on student engagement and potentially enrolments at senior secondary.</w:t>
      </w:r>
    </w:p>
    <w:p w14:paraId="57DD1FCB" w14:textId="77777777" w:rsidR="007B1D45" w:rsidRPr="003F46ED" w:rsidRDefault="00101322" w:rsidP="00B30583">
      <w:pPr>
        <w:rPr>
          <w:rFonts w:ascii="Calibri" w:hAnsi="Calibri"/>
          <w:szCs w:val="22"/>
        </w:rPr>
      </w:pPr>
      <w:r w:rsidRPr="003F46ED">
        <w:br w:type="page"/>
      </w:r>
    </w:p>
    <w:p w14:paraId="43043AE4" w14:textId="77777777" w:rsidR="007B1D45" w:rsidRPr="003F46ED" w:rsidRDefault="005B783C" w:rsidP="00D0212E">
      <w:pPr>
        <w:pStyle w:val="Heading3"/>
      </w:pPr>
      <w:r w:rsidRPr="003F46ED">
        <w:lastRenderedPageBreak/>
        <w:t>3. The need for targeted support</w:t>
      </w:r>
      <w:r w:rsidR="00824333" w:rsidRPr="003F46ED">
        <w:t>, monitoring</w:t>
      </w:r>
      <w:r w:rsidRPr="003F46ED">
        <w:t xml:space="preserve"> and evaluation </w:t>
      </w:r>
    </w:p>
    <w:p w14:paraId="7683CBFC" w14:textId="77777777" w:rsidR="007B1D45" w:rsidRPr="003F46ED" w:rsidRDefault="005B783C" w:rsidP="00715217">
      <w:r w:rsidRPr="003F46ED">
        <w:t xml:space="preserve">Each of the state and territory policies or proposals includes a range of strategies to support implementation. The nature and extent of </w:t>
      </w:r>
      <w:r w:rsidR="00DC72EA" w:rsidRPr="003F46ED">
        <w:t xml:space="preserve">the </w:t>
      </w:r>
      <w:r w:rsidR="00EA5803" w:rsidRPr="003F46ED">
        <w:t>support vary</w:t>
      </w:r>
      <w:r w:rsidRPr="003F46ED">
        <w:t xml:space="preserve"> according to </w:t>
      </w:r>
      <w:r w:rsidR="00310399" w:rsidRPr="003F46ED">
        <w:t>specific</w:t>
      </w:r>
      <w:r w:rsidR="00304DE3" w:rsidRPr="003F46ED">
        <w:t xml:space="preserve"> </w:t>
      </w:r>
      <w:r w:rsidR="0053085B" w:rsidRPr="003F46ED">
        <w:t xml:space="preserve">aims and </w:t>
      </w:r>
      <w:r w:rsidR="00304DE3" w:rsidRPr="003F46ED">
        <w:t>objectives</w:t>
      </w:r>
      <w:r w:rsidRPr="003F46ED">
        <w:t xml:space="preserve"> but typically involve professional learnin</w:t>
      </w:r>
      <w:r w:rsidR="00240ADC" w:rsidRPr="003F46ED">
        <w:t>g (local</w:t>
      </w:r>
      <w:r w:rsidRPr="003F46ED">
        <w:t xml:space="preserve"> and in-country), </w:t>
      </w:r>
      <w:r w:rsidR="00BC2A59" w:rsidRPr="003F46ED">
        <w:t xml:space="preserve">programme </w:t>
      </w:r>
      <w:r w:rsidRPr="003F46ED">
        <w:t>development (such as Content and L</w:t>
      </w:r>
      <w:r w:rsidR="00BB6F18" w:rsidRPr="003F46ED">
        <w:t>anguage Integrated Learning [</w:t>
      </w:r>
      <w:proofErr w:type="spellStart"/>
      <w:r w:rsidR="00BB6F18" w:rsidRPr="003F46ED">
        <w:t>CLIL</w:t>
      </w:r>
      <w:proofErr w:type="spellEnd"/>
      <w:r w:rsidR="00BB6F18" w:rsidRPr="003F46ED">
        <w:t>]</w:t>
      </w:r>
      <w:r w:rsidR="009B11DF" w:rsidRPr="003F46ED">
        <w:t>, where students learn subject content through an additional language,</w:t>
      </w:r>
      <w:r w:rsidRPr="003F46ED">
        <w:t xml:space="preserve"> and bilingual immersion), collaboration with the tertiary education sector, development of curriculum materials (including online delivery) and language assistant </w:t>
      </w:r>
      <w:r w:rsidR="00BC2A59" w:rsidRPr="003F46ED">
        <w:t>programmes</w:t>
      </w:r>
      <w:r w:rsidRPr="003F46ED">
        <w:t xml:space="preserve">. Strategies targeted at senior secondary students include </w:t>
      </w:r>
      <w:r w:rsidR="008D2C73" w:rsidRPr="003F46ED">
        <w:t>programmes</w:t>
      </w:r>
      <w:r w:rsidRPr="003F46ED">
        <w:t xml:space="preserve"> to fast-track students to university study (</w:t>
      </w:r>
      <w:proofErr w:type="spellStart"/>
      <w:proofErr w:type="gramStart"/>
      <w:r w:rsidR="000464C9" w:rsidRPr="003F46ED">
        <w:t>Tas</w:t>
      </w:r>
      <w:proofErr w:type="spellEnd"/>
      <w:proofErr w:type="gramEnd"/>
      <w:r w:rsidRPr="003F46ED">
        <w:t>).</w:t>
      </w:r>
    </w:p>
    <w:p w14:paraId="517BF8D0" w14:textId="77777777" w:rsidR="007B1D45" w:rsidRPr="003F46ED" w:rsidRDefault="005B783C" w:rsidP="00715217">
      <w:r w:rsidRPr="003F46ED">
        <w:t>However, little is known about the impact of these support strategies on student retention, particularly at Years 11 and 12. Impact evaluations tend to be small-scale and localised. Nationwide</w:t>
      </w:r>
      <w:r w:rsidR="00A8569B" w:rsidRPr="003F46ED">
        <w:t>, possibly</w:t>
      </w:r>
      <w:r w:rsidRPr="003F46ED">
        <w:t xml:space="preserve"> longitudinal</w:t>
      </w:r>
      <w:r w:rsidR="001B3FB4" w:rsidRPr="003F46ED">
        <w:t>,</w:t>
      </w:r>
      <w:r w:rsidRPr="003F46ED">
        <w:t xml:space="preserve"> evaluations are required to support improvements to language education into the future.</w:t>
      </w:r>
    </w:p>
    <w:p w14:paraId="0A45F59A" w14:textId="77777777" w:rsidR="007B1D45" w:rsidRPr="003F46ED" w:rsidRDefault="005B783C" w:rsidP="00715217">
      <w:r w:rsidRPr="003F46ED">
        <w:t xml:space="preserve">There is currently no </w:t>
      </w:r>
      <w:r w:rsidR="005C72C1" w:rsidRPr="003F46ED">
        <w:t xml:space="preserve">national </w:t>
      </w:r>
      <w:r w:rsidRPr="003F46ED">
        <w:t>process for tracking student enrolments and participation patterns in any language, at any level. This inhibits comprehensive language planning and has been reported widely by researchers</w:t>
      </w:r>
      <w:r w:rsidR="005C72C1" w:rsidRPr="003F46ED">
        <w:t xml:space="preserve"> as a barrier to languages planning</w:t>
      </w:r>
      <w:r w:rsidRPr="003F46ED">
        <w:t xml:space="preserve"> (see, for example, </w:t>
      </w:r>
      <w:r w:rsidR="00D34F7C" w:rsidRPr="003F46ED">
        <w:t xml:space="preserve">Lo Bianco &amp; </w:t>
      </w:r>
      <w:proofErr w:type="spellStart"/>
      <w:r w:rsidR="00D34F7C" w:rsidRPr="003F46ED">
        <w:t>Aliani</w:t>
      </w:r>
      <w:proofErr w:type="spellEnd"/>
      <w:r w:rsidR="00D34F7C" w:rsidRPr="003F46ED">
        <w:t xml:space="preserve">, 2013; Slaughter, 2009; </w:t>
      </w:r>
      <w:proofErr w:type="spellStart"/>
      <w:r w:rsidRPr="003F46ED">
        <w:t>Liddicoat</w:t>
      </w:r>
      <w:proofErr w:type="spellEnd"/>
      <w:r w:rsidRPr="003F46ED">
        <w:t xml:space="preserve"> et </w:t>
      </w:r>
      <w:r w:rsidR="00D34F7C" w:rsidRPr="003F46ED">
        <w:t>al., 2007</w:t>
      </w:r>
      <w:r w:rsidRPr="003F46ED">
        <w:t xml:space="preserve">). </w:t>
      </w:r>
    </w:p>
    <w:p w14:paraId="4B9C6491" w14:textId="77777777" w:rsidR="007B1D45" w:rsidRPr="003F46ED" w:rsidRDefault="005B783C" w:rsidP="00715217">
      <w:r w:rsidRPr="003F46ED">
        <w:t xml:space="preserve">Some jurisdictions, and </w:t>
      </w:r>
      <w:r w:rsidR="00EC59E4" w:rsidRPr="003F46ED">
        <w:t xml:space="preserve">non-government </w:t>
      </w:r>
      <w:r w:rsidRPr="003F46ED">
        <w:t xml:space="preserve">sectors within </w:t>
      </w:r>
      <w:r w:rsidR="00EC59E4" w:rsidRPr="003F46ED">
        <w:t>states/territories</w:t>
      </w:r>
      <w:r w:rsidRPr="003F46ED">
        <w:t xml:space="preserve">, collect more data than others. For example, </w:t>
      </w:r>
      <w:r w:rsidR="00EB5C58" w:rsidRPr="003F46ED">
        <w:t>Vic</w:t>
      </w:r>
      <w:r w:rsidRPr="003F46ED">
        <w:t xml:space="preserve"> has collected data and published comprehensive annual reports on languages taught in government schools for over two decades. But even where data is collected it may not be comparable nationally. For specific languages, the most comprehensive data is available for Chinese, Indonesian, Japanese and Korean </w:t>
      </w:r>
      <w:r w:rsidR="00195C26" w:rsidRPr="003F46ED">
        <w:t xml:space="preserve">languages </w:t>
      </w:r>
      <w:r w:rsidRPr="003F46ED">
        <w:t xml:space="preserve">during the </w:t>
      </w:r>
      <w:proofErr w:type="spellStart"/>
      <w:r w:rsidRPr="003F46ED">
        <w:t>NALSAS</w:t>
      </w:r>
      <w:proofErr w:type="spellEnd"/>
      <w:r w:rsidRPr="003F46ED">
        <w:t xml:space="preserve"> and </w:t>
      </w:r>
      <w:proofErr w:type="spellStart"/>
      <w:r w:rsidRPr="003F46ED">
        <w:t>NALSSP</w:t>
      </w:r>
      <w:proofErr w:type="spellEnd"/>
      <w:r w:rsidRPr="003F46ED">
        <w:t xml:space="preserve"> periods, when reporting student participation data was mandatory. Nonetheless, all four language-specific reports on those languages comment on the general unavailability and</w:t>
      </w:r>
      <w:r w:rsidR="009772B7" w:rsidRPr="003F46ED">
        <w:t>/or</w:t>
      </w:r>
      <w:r w:rsidRPr="003F46ED">
        <w:t xml:space="preserve"> non-comparability of data (de </w:t>
      </w:r>
      <w:proofErr w:type="spellStart"/>
      <w:r w:rsidRPr="003F46ED">
        <w:t>Kretser</w:t>
      </w:r>
      <w:proofErr w:type="spellEnd"/>
      <w:r w:rsidRPr="003F46ED">
        <w:t xml:space="preserve"> &amp; Spence-Brown, 2010; Kohler &amp; </w:t>
      </w:r>
      <w:proofErr w:type="spellStart"/>
      <w:r w:rsidRPr="003F46ED">
        <w:t>Mahnken</w:t>
      </w:r>
      <w:proofErr w:type="spellEnd"/>
      <w:r w:rsidRPr="003F46ED">
        <w:t>, 2010; Orton, 2010; Shin, 2010).</w:t>
      </w:r>
    </w:p>
    <w:p w14:paraId="07248EB1" w14:textId="77777777" w:rsidR="007B1D45" w:rsidRPr="003F46ED" w:rsidRDefault="005B783C" w:rsidP="00D0212E">
      <w:pPr>
        <w:pStyle w:val="Heading3"/>
      </w:pPr>
      <w:r w:rsidRPr="003F46ED">
        <w:t>International comparisons</w:t>
      </w:r>
    </w:p>
    <w:p w14:paraId="6C8A1873" w14:textId="49CAE0F2" w:rsidR="00F945E4" w:rsidRPr="003F46ED" w:rsidRDefault="00FD10A0" w:rsidP="00715217">
      <w:pPr>
        <w:sectPr w:rsidR="00F945E4" w:rsidRPr="003F46ED" w:rsidSect="00665CB6">
          <w:pgSz w:w="11904" w:h="16834"/>
          <w:pgMar w:top="1440" w:right="1134" w:bottom="1985" w:left="1134" w:header="709" w:footer="709" w:gutter="0"/>
          <w:cols w:space="720"/>
          <w:docGrid w:linePitch="299"/>
        </w:sectPr>
      </w:pPr>
      <w:r w:rsidRPr="003F46ED">
        <w:t xml:space="preserve">A brief overview </w:t>
      </w:r>
      <w:r w:rsidR="005B783C" w:rsidRPr="003F46ED">
        <w:t>of languages education in selected countries with the aim of considering both similarities and differences to the languages edu</w:t>
      </w:r>
      <w:r w:rsidR="00F945E4" w:rsidRPr="003F46ED">
        <w:t>cation context</w:t>
      </w:r>
      <w:r w:rsidR="001771AE" w:rsidRPr="003F46ED">
        <w:t xml:space="preserve"> in Australia</w:t>
      </w:r>
      <w:r w:rsidR="006F6DF8" w:rsidRPr="003F46ED">
        <w:t xml:space="preserve"> is provided by Table 3.3</w:t>
      </w:r>
      <w:r w:rsidR="00F945E4" w:rsidRPr="003F46ED">
        <w:t>.</w:t>
      </w:r>
      <w:r w:rsidR="00293A87" w:rsidRPr="003F46ED">
        <w:t xml:space="preserve"> The countries have been chosen either due to their relevance to the Australian context or purely for comparative purposes.</w:t>
      </w:r>
    </w:p>
    <w:p w14:paraId="08D8F6AE" w14:textId="51365EDE" w:rsidR="00F945E4" w:rsidRPr="00BF296E" w:rsidRDefault="00CD22E9" w:rsidP="00BA49C9">
      <w:pPr>
        <w:pStyle w:val="Caption"/>
        <w:rPr>
          <w:b/>
        </w:rPr>
      </w:pPr>
      <w:r w:rsidRPr="00BF296E">
        <w:rPr>
          <w:b/>
        </w:rPr>
        <w:lastRenderedPageBreak/>
        <w:t>Table 3</w:t>
      </w:r>
      <w:r w:rsidR="00042338" w:rsidRPr="00BF296E">
        <w:rPr>
          <w:b/>
        </w:rPr>
        <w:t>.</w:t>
      </w:r>
      <w:r w:rsidRPr="00BF296E">
        <w:rPr>
          <w:b/>
        </w:rPr>
        <w:t>3</w:t>
      </w:r>
      <w:r w:rsidR="00F945E4" w:rsidRPr="00BF296E">
        <w:rPr>
          <w:b/>
        </w:rPr>
        <w:t>: Summary of key aspects of language policies internationally</w:t>
      </w:r>
      <w:r w:rsidR="00F77EC8" w:rsidRPr="00BF296E">
        <w:rPr>
          <w:b/>
        </w:rPr>
        <w:t xml:space="preserve"> for selected countries</w:t>
      </w:r>
      <w:r w:rsidR="00F945E4" w:rsidRPr="00BF296E">
        <w:rPr>
          <w:b/>
        </w:rPr>
        <w:t xml:space="preserve"> (adapted from </w:t>
      </w:r>
      <w:proofErr w:type="spellStart"/>
      <w:r w:rsidR="002879C0" w:rsidRPr="00BF296E">
        <w:rPr>
          <w:b/>
        </w:rPr>
        <w:t>Liddicoat</w:t>
      </w:r>
      <w:proofErr w:type="spellEnd"/>
      <w:r w:rsidR="002879C0" w:rsidRPr="00BF296E">
        <w:rPr>
          <w:b/>
        </w:rPr>
        <w:t xml:space="preserve"> et al., 2007</w:t>
      </w:r>
      <w:r w:rsidR="00F77EC8" w:rsidRPr="00BF296E">
        <w:rPr>
          <w:b/>
        </w:rPr>
        <w:t>)</w:t>
      </w:r>
    </w:p>
    <w:tbl>
      <w:tblPr>
        <w:tblStyle w:val="TableGrid"/>
        <w:tblW w:w="5000" w:type="pct"/>
        <w:tblLook w:val="04A0" w:firstRow="1" w:lastRow="0" w:firstColumn="1" w:lastColumn="0" w:noHBand="0" w:noVBand="1"/>
      </w:tblPr>
      <w:tblGrid>
        <w:gridCol w:w="1316"/>
        <w:gridCol w:w="3926"/>
        <w:gridCol w:w="2382"/>
        <w:gridCol w:w="2224"/>
      </w:tblGrid>
      <w:tr w:rsidR="00465273" w:rsidRPr="003F46ED" w14:paraId="25FE6861" w14:textId="77777777" w:rsidTr="00B44405">
        <w:trPr>
          <w:cantSplit/>
          <w:trHeight w:val="567"/>
          <w:tblHeader/>
        </w:trPr>
        <w:tc>
          <w:tcPr>
            <w:tcW w:w="615" w:type="pct"/>
            <w:shd w:val="clear" w:color="auto" w:fill="000000" w:themeFill="text1"/>
            <w:vAlign w:val="center"/>
          </w:tcPr>
          <w:p w14:paraId="067C3147" w14:textId="77777777" w:rsidR="00465273" w:rsidRPr="003F46ED" w:rsidRDefault="00465273" w:rsidP="00B30583">
            <w:pPr>
              <w:rPr>
                <w:lang w:val="en-AU"/>
              </w:rPr>
            </w:pPr>
            <w:r w:rsidRPr="003F46ED">
              <w:rPr>
                <w:lang w:val="en-AU"/>
              </w:rPr>
              <w:t>Countries</w:t>
            </w:r>
          </w:p>
        </w:tc>
        <w:tc>
          <w:tcPr>
            <w:tcW w:w="2011" w:type="pct"/>
            <w:shd w:val="clear" w:color="auto" w:fill="000000" w:themeFill="text1"/>
            <w:vAlign w:val="center"/>
          </w:tcPr>
          <w:p w14:paraId="657B2FE1" w14:textId="77777777" w:rsidR="00465273" w:rsidRPr="003F46ED" w:rsidRDefault="00465273" w:rsidP="00B30583">
            <w:pPr>
              <w:rPr>
                <w:lang w:val="en-AU"/>
              </w:rPr>
            </w:pPr>
            <w:r w:rsidRPr="003F46ED">
              <w:rPr>
                <w:lang w:val="en-AU"/>
              </w:rPr>
              <w:t>Requirements for language/s study</w:t>
            </w:r>
          </w:p>
        </w:tc>
        <w:tc>
          <w:tcPr>
            <w:tcW w:w="1227" w:type="pct"/>
            <w:shd w:val="clear" w:color="auto" w:fill="000000" w:themeFill="text1"/>
            <w:vAlign w:val="center"/>
          </w:tcPr>
          <w:p w14:paraId="41E8C8B1" w14:textId="77777777" w:rsidR="00465273" w:rsidRPr="003F46ED" w:rsidRDefault="00465273" w:rsidP="00B30583">
            <w:pPr>
              <w:rPr>
                <w:lang w:val="en-AU"/>
              </w:rPr>
            </w:pPr>
            <w:r w:rsidRPr="003F46ED">
              <w:rPr>
                <w:lang w:val="en-AU"/>
              </w:rPr>
              <w:t>Hours per week</w:t>
            </w:r>
          </w:p>
        </w:tc>
        <w:tc>
          <w:tcPr>
            <w:tcW w:w="1147" w:type="pct"/>
            <w:shd w:val="clear" w:color="auto" w:fill="000000" w:themeFill="text1"/>
            <w:vAlign w:val="center"/>
          </w:tcPr>
          <w:p w14:paraId="1A68151B" w14:textId="77777777" w:rsidR="00465273" w:rsidRPr="003F46ED" w:rsidRDefault="00465273" w:rsidP="00B30583">
            <w:pPr>
              <w:rPr>
                <w:lang w:val="en-AU"/>
              </w:rPr>
            </w:pPr>
            <w:r w:rsidRPr="003F46ED">
              <w:rPr>
                <w:lang w:val="en-AU"/>
              </w:rPr>
              <w:t>Other comments</w:t>
            </w:r>
          </w:p>
        </w:tc>
      </w:tr>
      <w:tr w:rsidR="00465273" w:rsidRPr="003F46ED" w14:paraId="5E52EE8E" w14:textId="77777777" w:rsidTr="00B44405">
        <w:trPr>
          <w:cantSplit/>
        </w:trPr>
        <w:tc>
          <w:tcPr>
            <w:tcW w:w="615" w:type="pct"/>
          </w:tcPr>
          <w:p w14:paraId="2BF7143A" w14:textId="77777777" w:rsidR="00465273" w:rsidRPr="003F46ED" w:rsidRDefault="00465273" w:rsidP="00B30583">
            <w:pPr>
              <w:rPr>
                <w:lang w:val="en-AU"/>
              </w:rPr>
            </w:pPr>
            <w:r w:rsidRPr="003F46ED">
              <w:rPr>
                <w:lang w:val="en-AU"/>
              </w:rPr>
              <w:t>United States</w:t>
            </w:r>
          </w:p>
        </w:tc>
        <w:tc>
          <w:tcPr>
            <w:tcW w:w="2011" w:type="pct"/>
          </w:tcPr>
          <w:p w14:paraId="40CFB762" w14:textId="77777777" w:rsidR="00465273" w:rsidRPr="003F46ED" w:rsidRDefault="00465273" w:rsidP="00B30583">
            <w:pPr>
              <w:rPr>
                <w:lang w:val="en-AU"/>
              </w:rPr>
            </w:pPr>
            <w:r w:rsidRPr="003F46ED">
              <w:rPr>
                <w:lang w:val="en-AU"/>
              </w:rPr>
              <w:t>Compulsory at least two years at secondary level (in 40 states)</w:t>
            </w:r>
          </w:p>
        </w:tc>
        <w:tc>
          <w:tcPr>
            <w:tcW w:w="1227" w:type="pct"/>
          </w:tcPr>
          <w:p w14:paraId="7BBAFAEC" w14:textId="77777777" w:rsidR="00465273" w:rsidRPr="003F46ED" w:rsidRDefault="00465273" w:rsidP="00B30583">
            <w:pPr>
              <w:rPr>
                <w:lang w:val="en-AU"/>
              </w:rPr>
            </w:pPr>
            <w:r w:rsidRPr="003F46ED">
              <w:rPr>
                <w:lang w:val="en-AU"/>
              </w:rPr>
              <w:t>-</w:t>
            </w:r>
          </w:p>
        </w:tc>
        <w:tc>
          <w:tcPr>
            <w:tcW w:w="1147" w:type="pct"/>
          </w:tcPr>
          <w:p w14:paraId="4F392525" w14:textId="77777777" w:rsidR="00465273" w:rsidRPr="003F46ED" w:rsidRDefault="00465273" w:rsidP="00B30583">
            <w:pPr>
              <w:rPr>
                <w:lang w:val="en-AU"/>
              </w:rPr>
            </w:pPr>
            <w:r w:rsidRPr="003F46ED">
              <w:rPr>
                <w:lang w:val="en-AU"/>
              </w:rPr>
              <w:t>State-based decision making, varied policy and implementation</w:t>
            </w:r>
          </w:p>
        </w:tc>
      </w:tr>
      <w:tr w:rsidR="00465273" w:rsidRPr="003F46ED" w14:paraId="52B2D466" w14:textId="77777777" w:rsidTr="00B44405">
        <w:trPr>
          <w:cantSplit/>
        </w:trPr>
        <w:tc>
          <w:tcPr>
            <w:tcW w:w="615" w:type="pct"/>
          </w:tcPr>
          <w:p w14:paraId="2E96AFEE" w14:textId="77777777" w:rsidR="00465273" w:rsidRPr="003F46ED" w:rsidRDefault="00465273" w:rsidP="00B30583">
            <w:pPr>
              <w:rPr>
                <w:lang w:val="en-AU"/>
              </w:rPr>
            </w:pPr>
            <w:r w:rsidRPr="003F46ED">
              <w:rPr>
                <w:lang w:val="en-AU"/>
              </w:rPr>
              <w:t xml:space="preserve">Canada </w:t>
            </w:r>
          </w:p>
        </w:tc>
        <w:tc>
          <w:tcPr>
            <w:tcW w:w="2011" w:type="pct"/>
          </w:tcPr>
          <w:p w14:paraId="65E7F7FA" w14:textId="77777777" w:rsidR="00465273" w:rsidRPr="003F46ED" w:rsidRDefault="00465273" w:rsidP="00B30583">
            <w:pPr>
              <w:rPr>
                <w:lang w:val="en-AU"/>
              </w:rPr>
            </w:pPr>
            <w:r w:rsidRPr="003F46ED">
              <w:rPr>
                <w:lang w:val="en-AU"/>
              </w:rPr>
              <w:t>Onta</w:t>
            </w:r>
            <w:r w:rsidR="00BD3489" w:rsidRPr="003F46ED">
              <w:rPr>
                <w:lang w:val="en-AU"/>
              </w:rPr>
              <w:t>rio: minimum 600 hours between G</w:t>
            </w:r>
            <w:r w:rsidRPr="003F46ED">
              <w:rPr>
                <w:lang w:val="en-AU"/>
              </w:rPr>
              <w:t>rades 4 and 8</w:t>
            </w:r>
          </w:p>
          <w:p w14:paraId="0F212CB5" w14:textId="77777777" w:rsidR="00465273" w:rsidRPr="003F46ED" w:rsidRDefault="00465273" w:rsidP="00B30583">
            <w:pPr>
              <w:rPr>
                <w:lang w:val="en-AU"/>
              </w:rPr>
            </w:pPr>
            <w:r w:rsidRPr="003F46ED">
              <w:rPr>
                <w:bCs/>
                <w:lang w:val="en-AU"/>
              </w:rPr>
              <w:t>British Columbia</w:t>
            </w:r>
            <w:r w:rsidR="00BD3489" w:rsidRPr="003F46ED">
              <w:rPr>
                <w:lang w:val="en-AU"/>
              </w:rPr>
              <w:t>: compulsory in G</w:t>
            </w:r>
            <w:r w:rsidRPr="003F46ED">
              <w:rPr>
                <w:lang w:val="en-AU"/>
              </w:rPr>
              <w:t>rades 5 to 8</w:t>
            </w:r>
          </w:p>
          <w:p w14:paraId="06BCCB0A" w14:textId="77777777" w:rsidR="00465273" w:rsidRPr="003F46ED" w:rsidRDefault="00BD3489" w:rsidP="00B30583">
            <w:pPr>
              <w:rPr>
                <w:lang w:val="en-AU"/>
              </w:rPr>
            </w:pPr>
            <w:r w:rsidRPr="003F46ED">
              <w:rPr>
                <w:lang w:val="en-AU"/>
              </w:rPr>
              <w:t>Quebec: compulsory from G</w:t>
            </w:r>
            <w:r w:rsidR="00465273" w:rsidRPr="003F46ED">
              <w:rPr>
                <w:lang w:val="en-AU"/>
              </w:rPr>
              <w:t>rades 1 or 3 (depending on language)</w:t>
            </w:r>
          </w:p>
        </w:tc>
        <w:tc>
          <w:tcPr>
            <w:tcW w:w="1227" w:type="pct"/>
          </w:tcPr>
          <w:p w14:paraId="13C5E35A" w14:textId="77777777" w:rsidR="00465273" w:rsidRPr="003F46ED" w:rsidRDefault="00465273" w:rsidP="00B30583">
            <w:pPr>
              <w:rPr>
                <w:lang w:val="en-AU"/>
              </w:rPr>
            </w:pPr>
            <w:r w:rsidRPr="003F46ED">
              <w:rPr>
                <w:lang w:val="en-AU"/>
              </w:rPr>
              <w:t>-</w:t>
            </w:r>
          </w:p>
        </w:tc>
        <w:tc>
          <w:tcPr>
            <w:tcW w:w="1147" w:type="pct"/>
          </w:tcPr>
          <w:p w14:paraId="29AFA753" w14:textId="77777777" w:rsidR="00465273" w:rsidRPr="003F46ED" w:rsidRDefault="00465273" w:rsidP="00B30583">
            <w:pPr>
              <w:rPr>
                <w:lang w:val="en-AU"/>
              </w:rPr>
            </w:pPr>
            <w:r w:rsidRPr="003F46ED">
              <w:rPr>
                <w:lang w:val="en-AU"/>
              </w:rPr>
              <w:t>Focus on increasing the proportion of 15–19 year-olds who speak both official languages to 50% by 2013 (twice the previous level)</w:t>
            </w:r>
          </w:p>
        </w:tc>
      </w:tr>
      <w:tr w:rsidR="00465273" w:rsidRPr="003F46ED" w14:paraId="320ED1DD" w14:textId="77777777" w:rsidTr="00B44405">
        <w:trPr>
          <w:cantSplit/>
        </w:trPr>
        <w:tc>
          <w:tcPr>
            <w:tcW w:w="615" w:type="pct"/>
          </w:tcPr>
          <w:p w14:paraId="318B1E34" w14:textId="77777777" w:rsidR="00465273" w:rsidRPr="003F46ED" w:rsidRDefault="00465273" w:rsidP="00B30583">
            <w:pPr>
              <w:rPr>
                <w:lang w:val="en-AU"/>
              </w:rPr>
            </w:pPr>
            <w:r w:rsidRPr="003F46ED">
              <w:rPr>
                <w:lang w:val="en-AU"/>
              </w:rPr>
              <w:t>New Zealand</w:t>
            </w:r>
          </w:p>
          <w:p w14:paraId="41127FDE" w14:textId="77777777" w:rsidR="00465273" w:rsidRPr="003F46ED" w:rsidRDefault="00465273" w:rsidP="00B30583">
            <w:pPr>
              <w:rPr>
                <w:lang w:val="en-AU"/>
              </w:rPr>
            </w:pPr>
          </w:p>
        </w:tc>
        <w:tc>
          <w:tcPr>
            <w:tcW w:w="2011" w:type="pct"/>
          </w:tcPr>
          <w:p w14:paraId="7DC02C5B" w14:textId="77777777" w:rsidR="00465273" w:rsidRPr="003F46ED" w:rsidRDefault="00465273" w:rsidP="00B30583">
            <w:pPr>
              <w:rPr>
                <w:lang w:val="en-AU"/>
              </w:rPr>
            </w:pPr>
            <w:r w:rsidRPr="003F46ED">
              <w:rPr>
                <w:lang w:val="en-AU"/>
              </w:rPr>
              <w:t>Expectation that all schools will offer language programmes from Years 7 to 10</w:t>
            </w:r>
          </w:p>
        </w:tc>
        <w:tc>
          <w:tcPr>
            <w:tcW w:w="1227" w:type="pct"/>
          </w:tcPr>
          <w:p w14:paraId="50728E8D" w14:textId="77777777" w:rsidR="00465273" w:rsidRPr="003F46ED" w:rsidRDefault="00465273" w:rsidP="00B30583">
            <w:pPr>
              <w:rPr>
                <w:lang w:val="en-AU"/>
              </w:rPr>
            </w:pPr>
            <w:r w:rsidRPr="003F46ED">
              <w:rPr>
                <w:lang w:val="en-AU"/>
              </w:rPr>
              <w:t>-</w:t>
            </w:r>
          </w:p>
        </w:tc>
        <w:tc>
          <w:tcPr>
            <w:tcW w:w="1147" w:type="pct"/>
          </w:tcPr>
          <w:p w14:paraId="55D39BDA" w14:textId="77777777" w:rsidR="00465273" w:rsidRPr="003F46ED" w:rsidRDefault="00465273" w:rsidP="00B30583">
            <w:pPr>
              <w:rPr>
                <w:lang w:val="en-AU"/>
              </w:rPr>
            </w:pPr>
          </w:p>
        </w:tc>
      </w:tr>
      <w:tr w:rsidR="00465273" w:rsidRPr="003F46ED" w14:paraId="4C5828EC" w14:textId="77777777" w:rsidTr="00B44405">
        <w:trPr>
          <w:cantSplit/>
        </w:trPr>
        <w:tc>
          <w:tcPr>
            <w:tcW w:w="615" w:type="pct"/>
          </w:tcPr>
          <w:p w14:paraId="7D95D2B0" w14:textId="77777777" w:rsidR="00465273" w:rsidRPr="003F46ED" w:rsidRDefault="00465273" w:rsidP="00B30583">
            <w:pPr>
              <w:rPr>
                <w:lang w:val="en-AU"/>
              </w:rPr>
            </w:pPr>
            <w:r w:rsidRPr="003F46ED">
              <w:rPr>
                <w:lang w:val="en-AU"/>
              </w:rPr>
              <w:t>England</w:t>
            </w:r>
          </w:p>
        </w:tc>
        <w:tc>
          <w:tcPr>
            <w:tcW w:w="2011" w:type="pct"/>
          </w:tcPr>
          <w:p w14:paraId="77C0AE1C" w14:textId="77777777" w:rsidR="00465273" w:rsidRPr="003F46ED" w:rsidRDefault="00465273" w:rsidP="00B30583">
            <w:pPr>
              <w:rPr>
                <w:lang w:val="en-AU"/>
              </w:rPr>
            </w:pPr>
            <w:r w:rsidRPr="003F46ED">
              <w:rPr>
                <w:lang w:val="en-AU"/>
              </w:rPr>
              <w:t>Current policy requires compulsory study from age seven to 14</w:t>
            </w:r>
          </w:p>
        </w:tc>
        <w:tc>
          <w:tcPr>
            <w:tcW w:w="1227" w:type="pct"/>
          </w:tcPr>
          <w:p w14:paraId="35E451E6" w14:textId="77777777" w:rsidR="00465273" w:rsidRPr="003F46ED" w:rsidRDefault="00465273" w:rsidP="00B30583">
            <w:pPr>
              <w:rPr>
                <w:lang w:val="en-AU"/>
              </w:rPr>
            </w:pPr>
            <w:r w:rsidRPr="003F46ED">
              <w:rPr>
                <w:lang w:val="en-AU"/>
              </w:rPr>
              <w:t>-</w:t>
            </w:r>
          </w:p>
        </w:tc>
        <w:tc>
          <w:tcPr>
            <w:tcW w:w="1147" w:type="pct"/>
          </w:tcPr>
          <w:p w14:paraId="1326A36C" w14:textId="77777777" w:rsidR="00465273" w:rsidRPr="003F46ED" w:rsidRDefault="00465273" w:rsidP="00B30583">
            <w:pPr>
              <w:rPr>
                <w:lang w:val="en-AU"/>
              </w:rPr>
            </w:pPr>
          </w:p>
        </w:tc>
      </w:tr>
      <w:tr w:rsidR="00465273" w:rsidRPr="003F46ED" w14:paraId="5698840B" w14:textId="77777777" w:rsidTr="00B44405">
        <w:trPr>
          <w:cantSplit/>
        </w:trPr>
        <w:tc>
          <w:tcPr>
            <w:tcW w:w="615" w:type="pct"/>
          </w:tcPr>
          <w:p w14:paraId="6D26B289" w14:textId="77777777" w:rsidR="00465273" w:rsidRPr="003F46ED" w:rsidRDefault="00465273" w:rsidP="00B30583">
            <w:pPr>
              <w:rPr>
                <w:lang w:val="en-AU"/>
              </w:rPr>
            </w:pPr>
            <w:r w:rsidRPr="003F46ED">
              <w:rPr>
                <w:lang w:val="en-AU"/>
              </w:rPr>
              <w:t>Scotland</w:t>
            </w:r>
          </w:p>
        </w:tc>
        <w:tc>
          <w:tcPr>
            <w:tcW w:w="2011" w:type="pct"/>
          </w:tcPr>
          <w:p w14:paraId="009C1295" w14:textId="77777777" w:rsidR="00465273" w:rsidRPr="003F46ED" w:rsidRDefault="00465273" w:rsidP="00B30583">
            <w:pPr>
              <w:rPr>
                <w:lang w:val="en-AU"/>
              </w:rPr>
            </w:pPr>
            <w:r w:rsidRPr="003F46ED">
              <w:rPr>
                <w:lang w:val="en-AU"/>
              </w:rPr>
              <w:t>Compulsory in last two years of primary and first four of secondary (ages ten to 16)</w:t>
            </w:r>
          </w:p>
        </w:tc>
        <w:tc>
          <w:tcPr>
            <w:tcW w:w="1227" w:type="pct"/>
          </w:tcPr>
          <w:p w14:paraId="7E818550" w14:textId="77777777" w:rsidR="00465273" w:rsidRPr="003F46ED" w:rsidRDefault="00465273" w:rsidP="00B30583">
            <w:pPr>
              <w:rPr>
                <w:lang w:val="en-AU"/>
              </w:rPr>
            </w:pPr>
            <w:r w:rsidRPr="003F46ED">
              <w:rPr>
                <w:lang w:val="en-AU"/>
              </w:rPr>
              <w:t>-</w:t>
            </w:r>
          </w:p>
        </w:tc>
        <w:tc>
          <w:tcPr>
            <w:tcW w:w="1147" w:type="pct"/>
          </w:tcPr>
          <w:p w14:paraId="49E44E31" w14:textId="77777777" w:rsidR="00465273" w:rsidRPr="003F46ED" w:rsidRDefault="00465273" w:rsidP="00B30583">
            <w:pPr>
              <w:rPr>
                <w:lang w:val="en-AU"/>
              </w:rPr>
            </w:pPr>
            <w:r w:rsidRPr="003F46ED">
              <w:rPr>
                <w:lang w:val="en-AU"/>
              </w:rPr>
              <w:t>Expectation of six years of study of the same language</w:t>
            </w:r>
          </w:p>
        </w:tc>
      </w:tr>
      <w:tr w:rsidR="00465273" w:rsidRPr="003F46ED" w14:paraId="4E796C53" w14:textId="77777777" w:rsidTr="00B44405">
        <w:trPr>
          <w:cantSplit/>
        </w:trPr>
        <w:tc>
          <w:tcPr>
            <w:tcW w:w="615" w:type="pct"/>
          </w:tcPr>
          <w:p w14:paraId="340E7675" w14:textId="77777777" w:rsidR="00465273" w:rsidRPr="003F46ED" w:rsidRDefault="00465273" w:rsidP="00B30583">
            <w:pPr>
              <w:rPr>
                <w:lang w:val="en-AU"/>
              </w:rPr>
            </w:pPr>
            <w:r w:rsidRPr="003F46ED">
              <w:rPr>
                <w:lang w:val="en-AU"/>
              </w:rPr>
              <w:t>France</w:t>
            </w:r>
          </w:p>
        </w:tc>
        <w:tc>
          <w:tcPr>
            <w:tcW w:w="2011" w:type="pct"/>
          </w:tcPr>
          <w:p w14:paraId="29E345E4" w14:textId="77777777" w:rsidR="00465273" w:rsidRPr="003F46ED" w:rsidRDefault="00465273" w:rsidP="00B30583">
            <w:pPr>
              <w:rPr>
                <w:lang w:val="en-AU"/>
              </w:rPr>
            </w:pPr>
            <w:r w:rsidRPr="003F46ED">
              <w:rPr>
                <w:lang w:val="en-AU"/>
              </w:rPr>
              <w:t>Compulsory study of at least one foreign language at secondary</w:t>
            </w:r>
          </w:p>
        </w:tc>
        <w:tc>
          <w:tcPr>
            <w:tcW w:w="1227" w:type="pct"/>
          </w:tcPr>
          <w:p w14:paraId="0EFCF813" w14:textId="77777777" w:rsidR="00465273" w:rsidRPr="003F46ED" w:rsidRDefault="00465273" w:rsidP="00B30583">
            <w:pPr>
              <w:rPr>
                <w:lang w:val="en-AU"/>
              </w:rPr>
            </w:pPr>
            <w:r w:rsidRPr="003F46ED">
              <w:rPr>
                <w:lang w:val="en-AU"/>
              </w:rPr>
              <w:t xml:space="preserve">3 hours/week </w:t>
            </w:r>
          </w:p>
        </w:tc>
        <w:tc>
          <w:tcPr>
            <w:tcW w:w="1147" w:type="pct"/>
          </w:tcPr>
          <w:p w14:paraId="19C5A5E1" w14:textId="77777777" w:rsidR="00465273" w:rsidRPr="003F46ED" w:rsidRDefault="00465273" w:rsidP="00B30583">
            <w:pPr>
              <w:rPr>
                <w:lang w:val="en-AU"/>
              </w:rPr>
            </w:pPr>
            <w:r w:rsidRPr="003F46ED">
              <w:rPr>
                <w:lang w:val="en-AU"/>
              </w:rPr>
              <w:t>3 hours/week for each foreign language studied</w:t>
            </w:r>
          </w:p>
        </w:tc>
      </w:tr>
      <w:tr w:rsidR="00465273" w:rsidRPr="003F46ED" w14:paraId="0B9A1AD4" w14:textId="77777777" w:rsidTr="00B44405">
        <w:trPr>
          <w:cantSplit/>
        </w:trPr>
        <w:tc>
          <w:tcPr>
            <w:tcW w:w="615" w:type="pct"/>
          </w:tcPr>
          <w:p w14:paraId="233D7FD9" w14:textId="77777777" w:rsidR="00465273" w:rsidRPr="003F46ED" w:rsidRDefault="00465273" w:rsidP="00B30583">
            <w:pPr>
              <w:rPr>
                <w:lang w:val="en-AU"/>
              </w:rPr>
            </w:pPr>
            <w:r w:rsidRPr="003F46ED">
              <w:rPr>
                <w:lang w:val="en-AU"/>
              </w:rPr>
              <w:t>Austria</w:t>
            </w:r>
          </w:p>
        </w:tc>
        <w:tc>
          <w:tcPr>
            <w:tcW w:w="2011" w:type="pct"/>
          </w:tcPr>
          <w:p w14:paraId="095E7D8E" w14:textId="77777777" w:rsidR="00465273" w:rsidRPr="003F46ED" w:rsidRDefault="00465273" w:rsidP="00B30583">
            <w:pPr>
              <w:rPr>
                <w:lang w:val="en-AU"/>
              </w:rPr>
            </w:pPr>
            <w:r w:rsidRPr="003F46ED">
              <w:rPr>
                <w:lang w:val="en-AU"/>
              </w:rPr>
              <w:t>Compulsory for four years in primary schools, at least two foreign languages</w:t>
            </w:r>
            <w:r w:rsidR="00D04B40" w:rsidRPr="003F46ED">
              <w:rPr>
                <w:lang w:val="en-AU"/>
              </w:rPr>
              <w:t xml:space="preserve"> compulsory</w:t>
            </w:r>
            <w:r w:rsidRPr="003F46ED">
              <w:rPr>
                <w:lang w:val="en-AU"/>
              </w:rPr>
              <w:t xml:space="preserve"> between ages 14–18 in technical and commercial schools,</w:t>
            </w:r>
            <w:r w:rsidR="00D04B40" w:rsidRPr="003F46ED">
              <w:rPr>
                <w:lang w:val="en-AU"/>
              </w:rPr>
              <w:t xml:space="preserve"> with</w:t>
            </w:r>
            <w:r w:rsidRPr="003F46ED">
              <w:rPr>
                <w:lang w:val="en-AU"/>
              </w:rPr>
              <w:t xml:space="preserve"> three required in academic schools</w:t>
            </w:r>
          </w:p>
        </w:tc>
        <w:tc>
          <w:tcPr>
            <w:tcW w:w="1227" w:type="pct"/>
          </w:tcPr>
          <w:p w14:paraId="09035C46" w14:textId="77777777" w:rsidR="00465273" w:rsidRPr="003F46ED" w:rsidRDefault="00465273" w:rsidP="00B30583">
            <w:pPr>
              <w:rPr>
                <w:lang w:val="en-AU"/>
              </w:rPr>
            </w:pPr>
            <w:r w:rsidRPr="003F46ED">
              <w:rPr>
                <w:lang w:val="en-AU"/>
              </w:rPr>
              <w:t>Primary (from Year 1)</w:t>
            </w:r>
          </w:p>
          <w:p w14:paraId="60F798EF" w14:textId="77777777" w:rsidR="00465273" w:rsidRPr="003F46ED" w:rsidRDefault="00465273" w:rsidP="00B30583">
            <w:pPr>
              <w:rPr>
                <w:lang w:val="en-AU"/>
              </w:rPr>
            </w:pPr>
            <w:r w:rsidRPr="003F46ED">
              <w:rPr>
                <w:lang w:val="en-AU"/>
              </w:rPr>
              <w:t>60 mins/ week</w:t>
            </w:r>
          </w:p>
        </w:tc>
        <w:tc>
          <w:tcPr>
            <w:tcW w:w="1147" w:type="pct"/>
          </w:tcPr>
          <w:p w14:paraId="15B2E8CF" w14:textId="77777777" w:rsidR="00465273" w:rsidRPr="003F46ED" w:rsidRDefault="00465273" w:rsidP="00B30583">
            <w:pPr>
              <w:rPr>
                <w:lang w:val="en-AU"/>
              </w:rPr>
            </w:pPr>
            <w:r w:rsidRPr="003F46ED">
              <w:rPr>
                <w:lang w:val="en-AU"/>
              </w:rPr>
              <w:t>Normally taught in primary schools by regular class teachers with language education qualifications (i.e. mainstreamed)</w:t>
            </w:r>
          </w:p>
        </w:tc>
      </w:tr>
      <w:tr w:rsidR="00465273" w:rsidRPr="003F46ED" w14:paraId="496CD783" w14:textId="77777777" w:rsidTr="00B44405">
        <w:trPr>
          <w:cantSplit/>
        </w:trPr>
        <w:tc>
          <w:tcPr>
            <w:tcW w:w="615" w:type="pct"/>
          </w:tcPr>
          <w:p w14:paraId="3203F163" w14:textId="77777777" w:rsidR="00465273" w:rsidRPr="003F46ED" w:rsidRDefault="00465273" w:rsidP="00B30583">
            <w:pPr>
              <w:rPr>
                <w:lang w:val="en-AU"/>
              </w:rPr>
            </w:pPr>
            <w:r w:rsidRPr="003F46ED">
              <w:rPr>
                <w:lang w:val="en-AU"/>
              </w:rPr>
              <w:t>Netherlands</w:t>
            </w:r>
          </w:p>
        </w:tc>
        <w:tc>
          <w:tcPr>
            <w:tcW w:w="2011" w:type="pct"/>
          </w:tcPr>
          <w:p w14:paraId="5C50298C" w14:textId="77777777" w:rsidR="00465273" w:rsidRPr="003F46ED" w:rsidRDefault="00465273" w:rsidP="00B30583">
            <w:pPr>
              <w:rPr>
                <w:lang w:val="en-AU"/>
              </w:rPr>
            </w:pPr>
            <w:r w:rsidRPr="003F46ED">
              <w:rPr>
                <w:lang w:val="en-AU"/>
              </w:rPr>
              <w:t>Compulsory</w:t>
            </w:r>
            <w:r w:rsidR="00A33A16" w:rsidRPr="003F46ED">
              <w:rPr>
                <w:lang w:val="en-AU"/>
              </w:rPr>
              <w:t>:</w:t>
            </w:r>
            <w:r w:rsidRPr="003F46ED">
              <w:rPr>
                <w:lang w:val="en-AU"/>
              </w:rPr>
              <w:t xml:space="preserve"> all students study two languages for the entire duration of secondary schooling and three languages in final year</w:t>
            </w:r>
          </w:p>
        </w:tc>
        <w:tc>
          <w:tcPr>
            <w:tcW w:w="1227" w:type="pct"/>
          </w:tcPr>
          <w:p w14:paraId="0A56BDC0" w14:textId="77777777" w:rsidR="00465273" w:rsidRPr="003F46ED" w:rsidRDefault="00465273" w:rsidP="00B30583">
            <w:pPr>
              <w:rPr>
                <w:lang w:val="en-AU"/>
              </w:rPr>
            </w:pPr>
            <w:r w:rsidRPr="003F46ED">
              <w:rPr>
                <w:lang w:val="en-AU"/>
              </w:rPr>
              <w:t>-</w:t>
            </w:r>
          </w:p>
        </w:tc>
        <w:tc>
          <w:tcPr>
            <w:tcW w:w="1147" w:type="pct"/>
          </w:tcPr>
          <w:p w14:paraId="3CBA12B7" w14:textId="77777777" w:rsidR="00465273" w:rsidRPr="003F46ED" w:rsidRDefault="00465273" w:rsidP="00B30583">
            <w:pPr>
              <w:rPr>
                <w:lang w:val="en-AU"/>
              </w:rPr>
            </w:pPr>
          </w:p>
        </w:tc>
      </w:tr>
      <w:tr w:rsidR="00465273" w:rsidRPr="003F46ED" w14:paraId="7E645F48" w14:textId="77777777" w:rsidTr="00B44405">
        <w:trPr>
          <w:cantSplit/>
        </w:trPr>
        <w:tc>
          <w:tcPr>
            <w:tcW w:w="615" w:type="pct"/>
          </w:tcPr>
          <w:p w14:paraId="6F949F0B" w14:textId="77777777" w:rsidR="00465273" w:rsidRPr="003F46ED" w:rsidRDefault="00465273" w:rsidP="00B30583">
            <w:pPr>
              <w:rPr>
                <w:lang w:val="en-AU"/>
              </w:rPr>
            </w:pPr>
            <w:r w:rsidRPr="003F46ED">
              <w:rPr>
                <w:lang w:val="en-AU"/>
              </w:rPr>
              <w:lastRenderedPageBreak/>
              <w:t xml:space="preserve">Japan </w:t>
            </w:r>
          </w:p>
        </w:tc>
        <w:tc>
          <w:tcPr>
            <w:tcW w:w="2011" w:type="pct"/>
          </w:tcPr>
          <w:p w14:paraId="33A65CC3" w14:textId="77777777" w:rsidR="00465273" w:rsidRPr="003F46ED" w:rsidRDefault="00465273" w:rsidP="00B30583">
            <w:pPr>
              <w:rPr>
                <w:lang w:val="en-AU"/>
              </w:rPr>
            </w:pPr>
            <w:r w:rsidRPr="003F46ED">
              <w:rPr>
                <w:lang w:val="en-AU"/>
              </w:rPr>
              <w:t>Compulsory at both junior high school and senior high school levels. Optional in primary (but 88% teach English)</w:t>
            </w:r>
          </w:p>
        </w:tc>
        <w:tc>
          <w:tcPr>
            <w:tcW w:w="1227" w:type="pct"/>
          </w:tcPr>
          <w:p w14:paraId="104170BF" w14:textId="77777777" w:rsidR="00465273" w:rsidRPr="003F46ED" w:rsidRDefault="00465273" w:rsidP="00B30583">
            <w:pPr>
              <w:rPr>
                <w:lang w:val="en-AU"/>
              </w:rPr>
            </w:pPr>
            <w:r w:rsidRPr="003F46ED">
              <w:rPr>
                <w:lang w:val="en-AU"/>
              </w:rPr>
              <w:t>Junior secondary</w:t>
            </w:r>
          </w:p>
          <w:p w14:paraId="398F02F0" w14:textId="77777777" w:rsidR="00465273" w:rsidRPr="003F46ED" w:rsidRDefault="00465273" w:rsidP="00B30583">
            <w:pPr>
              <w:rPr>
                <w:lang w:val="en-AU"/>
              </w:rPr>
            </w:pPr>
            <w:r w:rsidRPr="003F46ED">
              <w:rPr>
                <w:lang w:val="en-AU"/>
              </w:rPr>
              <w:t>150 mins/week</w:t>
            </w:r>
          </w:p>
        </w:tc>
        <w:tc>
          <w:tcPr>
            <w:tcW w:w="1147" w:type="pct"/>
          </w:tcPr>
          <w:p w14:paraId="3E7089D4" w14:textId="77777777" w:rsidR="00465273" w:rsidRPr="003F46ED" w:rsidRDefault="00465273" w:rsidP="00B30583">
            <w:pPr>
              <w:rPr>
                <w:lang w:val="en-AU"/>
              </w:rPr>
            </w:pPr>
          </w:p>
        </w:tc>
      </w:tr>
      <w:tr w:rsidR="00465273" w:rsidRPr="003F46ED" w14:paraId="2F8516DC" w14:textId="77777777" w:rsidTr="00B44405">
        <w:trPr>
          <w:cantSplit/>
        </w:trPr>
        <w:tc>
          <w:tcPr>
            <w:tcW w:w="615" w:type="pct"/>
          </w:tcPr>
          <w:p w14:paraId="6BA8421E" w14:textId="77777777" w:rsidR="00465273" w:rsidRPr="003F46ED" w:rsidRDefault="00465273" w:rsidP="00B30583">
            <w:pPr>
              <w:rPr>
                <w:lang w:val="en-AU"/>
              </w:rPr>
            </w:pPr>
            <w:r w:rsidRPr="003F46ED">
              <w:rPr>
                <w:lang w:val="en-AU"/>
              </w:rPr>
              <w:t>China</w:t>
            </w:r>
          </w:p>
        </w:tc>
        <w:tc>
          <w:tcPr>
            <w:tcW w:w="2011" w:type="pct"/>
          </w:tcPr>
          <w:p w14:paraId="30FD6792" w14:textId="77777777" w:rsidR="00465273" w:rsidRPr="003F46ED" w:rsidRDefault="00465273" w:rsidP="00B30583">
            <w:pPr>
              <w:rPr>
                <w:lang w:val="en-AU"/>
              </w:rPr>
            </w:pPr>
            <w:r w:rsidRPr="003F46ED">
              <w:rPr>
                <w:lang w:val="en-AU"/>
              </w:rPr>
              <w:t>Compulsory (English) language study in primary school introduced in 2</w:t>
            </w:r>
            <w:r w:rsidR="009F4BE5" w:rsidRPr="003F46ED">
              <w:rPr>
                <w:lang w:val="en-AU"/>
              </w:rPr>
              <w:t>001;</w:t>
            </w:r>
            <w:r w:rsidRPr="003F46ED">
              <w:rPr>
                <w:lang w:val="en-AU"/>
              </w:rPr>
              <w:t xml:space="preserve"> compulsory at secondary level</w:t>
            </w:r>
          </w:p>
        </w:tc>
        <w:tc>
          <w:tcPr>
            <w:tcW w:w="1227" w:type="pct"/>
          </w:tcPr>
          <w:p w14:paraId="047B0A75" w14:textId="77777777" w:rsidR="00465273" w:rsidRPr="003F46ED" w:rsidRDefault="00465273" w:rsidP="00B30583">
            <w:pPr>
              <w:rPr>
                <w:lang w:val="en-AU"/>
              </w:rPr>
            </w:pPr>
            <w:r w:rsidRPr="003F46ED">
              <w:rPr>
                <w:lang w:val="en-AU"/>
              </w:rPr>
              <w:t>Primary (from Grade 3), 80 mins/ week</w:t>
            </w:r>
          </w:p>
          <w:p w14:paraId="7F4CE9BD" w14:textId="77777777" w:rsidR="00465273" w:rsidRPr="003F46ED" w:rsidRDefault="00465273" w:rsidP="00B30583">
            <w:pPr>
              <w:rPr>
                <w:lang w:val="en-AU"/>
              </w:rPr>
            </w:pPr>
            <w:r w:rsidRPr="003F46ED">
              <w:rPr>
                <w:lang w:val="en-AU"/>
              </w:rPr>
              <w:t>Secondary, 5–6 lessons of 45 mins/ week, total of 3.75 to 4.5 hours/ week</w:t>
            </w:r>
          </w:p>
        </w:tc>
        <w:tc>
          <w:tcPr>
            <w:tcW w:w="1147" w:type="pct"/>
          </w:tcPr>
          <w:p w14:paraId="44B0038D" w14:textId="77777777" w:rsidR="00465273" w:rsidRPr="003F46ED" w:rsidRDefault="00465273" w:rsidP="00B30583">
            <w:pPr>
              <w:rPr>
                <w:lang w:val="en-AU"/>
              </w:rPr>
            </w:pPr>
          </w:p>
        </w:tc>
      </w:tr>
      <w:tr w:rsidR="00465273" w:rsidRPr="003F46ED" w14:paraId="3E74C4EA" w14:textId="77777777" w:rsidTr="00B44405">
        <w:trPr>
          <w:cantSplit/>
        </w:trPr>
        <w:tc>
          <w:tcPr>
            <w:tcW w:w="615" w:type="pct"/>
          </w:tcPr>
          <w:p w14:paraId="1FCAB936" w14:textId="77777777" w:rsidR="00465273" w:rsidRPr="003F46ED" w:rsidRDefault="00465273" w:rsidP="00B30583">
            <w:pPr>
              <w:rPr>
                <w:lang w:val="en-AU"/>
              </w:rPr>
            </w:pPr>
            <w:r w:rsidRPr="003F46ED">
              <w:rPr>
                <w:lang w:val="en-AU"/>
              </w:rPr>
              <w:t>Republic of Korea</w:t>
            </w:r>
          </w:p>
        </w:tc>
        <w:tc>
          <w:tcPr>
            <w:tcW w:w="2011" w:type="pct"/>
          </w:tcPr>
          <w:p w14:paraId="3F300470" w14:textId="2EBB7AED" w:rsidR="00465273" w:rsidRPr="003F46ED" w:rsidRDefault="00465273" w:rsidP="00B30583">
            <w:pPr>
              <w:rPr>
                <w:lang w:val="en-AU"/>
              </w:rPr>
            </w:pPr>
            <w:r w:rsidRPr="003F46ED">
              <w:rPr>
                <w:lang w:val="en-AU"/>
              </w:rPr>
              <w:t>Since 2000, com</w:t>
            </w:r>
            <w:r w:rsidR="00D62C26" w:rsidRPr="003F46ED">
              <w:rPr>
                <w:lang w:val="en-AU"/>
              </w:rPr>
              <w:t>pulsory in primary grades 3–6; c</w:t>
            </w:r>
            <w:r w:rsidRPr="003F46ED">
              <w:rPr>
                <w:lang w:val="en-AU"/>
              </w:rPr>
              <w:t>ompulsory at secondary level</w:t>
            </w:r>
            <w:r w:rsidR="002F005A">
              <w:rPr>
                <w:lang w:val="en-AU"/>
              </w:rPr>
              <w:t xml:space="preserve"> </w:t>
            </w:r>
          </w:p>
          <w:p w14:paraId="302722E4" w14:textId="77777777" w:rsidR="00465273" w:rsidRPr="003F46ED" w:rsidRDefault="00465273" w:rsidP="00B30583">
            <w:pPr>
              <w:rPr>
                <w:lang w:val="en-AU"/>
              </w:rPr>
            </w:pPr>
          </w:p>
        </w:tc>
        <w:tc>
          <w:tcPr>
            <w:tcW w:w="1227" w:type="pct"/>
          </w:tcPr>
          <w:p w14:paraId="68725560" w14:textId="77777777" w:rsidR="00465273" w:rsidRPr="003F46ED" w:rsidRDefault="00465273" w:rsidP="00B30583">
            <w:pPr>
              <w:rPr>
                <w:lang w:val="en-AU"/>
              </w:rPr>
            </w:pPr>
            <w:r w:rsidRPr="003F46ED">
              <w:rPr>
                <w:lang w:val="en-AU"/>
              </w:rPr>
              <w:t>Grades 3–4, 90 mins/week</w:t>
            </w:r>
          </w:p>
          <w:p w14:paraId="054227D5" w14:textId="77777777" w:rsidR="00465273" w:rsidRPr="003F46ED" w:rsidRDefault="00465273" w:rsidP="00B30583">
            <w:pPr>
              <w:rPr>
                <w:lang w:val="en-AU"/>
              </w:rPr>
            </w:pPr>
            <w:r w:rsidRPr="003F46ED">
              <w:rPr>
                <w:lang w:val="en-AU"/>
              </w:rPr>
              <w:t xml:space="preserve">Grades 5–6, 80 mins/week </w:t>
            </w:r>
          </w:p>
          <w:p w14:paraId="55FED5B1" w14:textId="77777777" w:rsidR="00465273" w:rsidRPr="003F46ED" w:rsidRDefault="00465273" w:rsidP="00B30583">
            <w:pPr>
              <w:rPr>
                <w:lang w:val="en-AU"/>
              </w:rPr>
            </w:pPr>
            <w:r w:rsidRPr="003F46ED">
              <w:rPr>
                <w:lang w:val="en-AU"/>
              </w:rPr>
              <w:t>Junior secondary, 2–4 hours/ week</w:t>
            </w:r>
          </w:p>
          <w:p w14:paraId="2C58D3CC" w14:textId="77777777" w:rsidR="00465273" w:rsidRPr="003F46ED" w:rsidRDefault="00465273" w:rsidP="00B30583">
            <w:pPr>
              <w:rPr>
                <w:lang w:val="en-AU"/>
              </w:rPr>
            </w:pPr>
            <w:r w:rsidRPr="003F46ED">
              <w:rPr>
                <w:lang w:val="en-AU"/>
              </w:rPr>
              <w:t>Senior secondary (Grades 10–12) 4 hours/week</w:t>
            </w:r>
          </w:p>
        </w:tc>
        <w:tc>
          <w:tcPr>
            <w:tcW w:w="1147" w:type="pct"/>
          </w:tcPr>
          <w:p w14:paraId="66C2138C" w14:textId="77777777" w:rsidR="00465273" w:rsidRPr="003F46ED" w:rsidRDefault="00465273" w:rsidP="00B30583">
            <w:pPr>
              <w:rPr>
                <w:lang w:val="en-AU"/>
              </w:rPr>
            </w:pPr>
          </w:p>
        </w:tc>
      </w:tr>
    </w:tbl>
    <w:p w14:paraId="547B41B3" w14:textId="77777777" w:rsidR="007B1D45" w:rsidRPr="003F46ED" w:rsidRDefault="00E64726" w:rsidP="00B30583">
      <w:bookmarkStart w:id="366" w:name="_Toc402180580"/>
      <w:r w:rsidRPr="003F46ED">
        <w:t>Table 3</w:t>
      </w:r>
      <w:r w:rsidR="002879C0" w:rsidRPr="003F46ED">
        <w:t>.</w:t>
      </w:r>
      <w:r w:rsidRPr="003F46ED">
        <w:t>3</w:t>
      </w:r>
      <w:r w:rsidR="009F657E" w:rsidRPr="003F46ED">
        <w:t xml:space="preserve"> indicates a number of common aspects in the language policies of the majority of countries selected.</w:t>
      </w:r>
      <w:r w:rsidR="00F0402B" w:rsidRPr="003F46ED">
        <w:t xml:space="preserve"> For the majority of countries, </w:t>
      </w:r>
      <w:r w:rsidR="009F657E" w:rsidRPr="003F46ED">
        <w:t>except New Zealand a</w:t>
      </w:r>
      <w:r w:rsidR="00F0402B" w:rsidRPr="003F46ED">
        <w:t xml:space="preserve">nd some states in </w:t>
      </w:r>
      <w:r w:rsidR="002D0FA0" w:rsidRPr="003F46ED">
        <w:t>the United States and Canada</w:t>
      </w:r>
      <w:r w:rsidR="009F657E" w:rsidRPr="003F46ED">
        <w:t xml:space="preserve">, the study of a foreign language is compulsory for at least junior and senior secondary school. </w:t>
      </w:r>
      <w:r w:rsidR="009E2924" w:rsidRPr="003F46ED">
        <w:t>In Asia, t</w:t>
      </w:r>
      <w:r w:rsidR="009F657E" w:rsidRPr="003F46ED">
        <w:t>here is increasingly a compulsory requirement</w:t>
      </w:r>
      <w:r w:rsidR="006D01C6" w:rsidRPr="003F46ED">
        <w:t xml:space="preserve"> for students</w:t>
      </w:r>
      <w:r w:rsidR="00900654" w:rsidRPr="003F46ED">
        <w:t xml:space="preserve"> to study a language</w:t>
      </w:r>
      <w:r w:rsidR="009F657E" w:rsidRPr="003F46ED">
        <w:t xml:space="preserve"> in primary school where traditionally foreign language study has been weaker</w:t>
      </w:r>
      <w:r w:rsidR="00411B36" w:rsidRPr="003F46ED">
        <w:t xml:space="preserve"> (e.g</w:t>
      </w:r>
      <w:r w:rsidR="009F657E" w:rsidRPr="003F46ED">
        <w:t>.</w:t>
      </w:r>
      <w:r w:rsidR="00411B36" w:rsidRPr="003F46ED">
        <w:t xml:space="preserve"> China and </w:t>
      </w:r>
      <w:r w:rsidR="00BC2A59" w:rsidRPr="003F46ED">
        <w:t xml:space="preserve">the Republic of </w:t>
      </w:r>
      <w:r w:rsidR="00411B36" w:rsidRPr="003F46ED">
        <w:t>Korea</w:t>
      </w:r>
      <w:r w:rsidR="00BC2A59" w:rsidRPr="003F46ED">
        <w:t xml:space="preserve"> [South Korea]</w:t>
      </w:r>
      <w:r w:rsidR="00411B36" w:rsidRPr="003F46ED">
        <w:t>).</w:t>
      </w:r>
      <w:bookmarkEnd w:id="366"/>
      <w:r w:rsidR="00B70A77" w:rsidRPr="003F46ED">
        <w:t xml:space="preserve"> </w:t>
      </w:r>
    </w:p>
    <w:p w14:paraId="2E55C1A9" w14:textId="77777777" w:rsidR="007B1D45" w:rsidRPr="003F46ED" w:rsidRDefault="00007C27" w:rsidP="00B30583">
      <w:r w:rsidRPr="003F46ED">
        <w:t xml:space="preserve">Majority </w:t>
      </w:r>
      <w:r w:rsidR="00B70A77" w:rsidRPr="003F46ED">
        <w:t xml:space="preserve">English-speaking countries tend to have language learning requirements that are less demanding than </w:t>
      </w:r>
      <w:r w:rsidR="00097E46" w:rsidRPr="003F46ED">
        <w:t xml:space="preserve">those found in </w:t>
      </w:r>
      <w:r w:rsidR="00B70A77" w:rsidRPr="003F46ED">
        <w:t>countries</w:t>
      </w:r>
      <w:r w:rsidR="00CC54F4" w:rsidRPr="003F46ED">
        <w:t xml:space="preserve"> where English is not </w:t>
      </w:r>
      <w:r w:rsidR="000C495C" w:rsidRPr="003F46ED">
        <w:t>the main</w:t>
      </w:r>
      <w:r w:rsidR="00CC54F4" w:rsidRPr="003F46ED">
        <w:t xml:space="preserve"> language. </w:t>
      </w:r>
      <w:r w:rsidR="000C495C" w:rsidRPr="003F46ED">
        <w:t xml:space="preserve">In </w:t>
      </w:r>
      <w:r w:rsidR="0017527D" w:rsidRPr="003F46ED">
        <w:t>countries</w:t>
      </w:r>
      <w:r w:rsidR="000C495C" w:rsidRPr="003F46ED">
        <w:t xml:space="preserve"> where </w:t>
      </w:r>
      <w:r w:rsidR="0017527D" w:rsidRPr="003F46ED">
        <w:t>English</w:t>
      </w:r>
      <w:r w:rsidR="000C495C" w:rsidRPr="003F46ED">
        <w:t xml:space="preserve"> is not the main language, it</w:t>
      </w:r>
      <w:r w:rsidR="0017527D" w:rsidRPr="003F46ED">
        <w:t xml:space="preserve"> is often the main second language taught, which allows for supply side issues to be better addressed. In Australia, for example, the sheer number of languages in addition to English means that supply is more of a challenge.</w:t>
      </w:r>
    </w:p>
    <w:p w14:paraId="4E26C300" w14:textId="77777777" w:rsidR="007B1D45" w:rsidRPr="003F46ED" w:rsidRDefault="009F657E" w:rsidP="00B30583">
      <w:bookmarkStart w:id="367" w:name="_Toc402180581"/>
      <w:r w:rsidRPr="003F46ED">
        <w:t>With the exception of the United States, where</w:t>
      </w:r>
      <w:r w:rsidR="006D01C6" w:rsidRPr="003F46ED">
        <w:t xml:space="preserve"> study</w:t>
      </w:r>
      <w:r w:rsidRPr="003F46ED">
        <w:t xml:space="preserve"> requirements and implementation are determined at the local level, the majority of the selected countries have a centrally mandated number of hours of language study per week. In general, the time allocations are substantial (2</w:t>
      </w:r>
      <w:r w:rsidR="00BC2A59" w:rsidRPr="003F46ED">
        <w:t>–</w:t>
      </w:r>
      <w:r w:rsidRPr="003F46ED">
        <w:t xml:space="preserve">4 hours/week). In </w:t>
      </w:r>
      <w:r w:rsidR="00DF0A6A" w:rsidRPr="003F46ED">
        <w:t>Austria, the time allocations are similar to those</w:t>
      </w:r>
      <w:r w:rsidRPr="003F46ED">
        <w:t xml:space="preserve"> in Australian primary schools, but the language programme is taught by the general class teacher,</w:t>
      </w:r>
      <w:r w:rsidR="00964912" w:rsidRPr="003F46ED">
        <w:t xml:space="preserve"> thus</w:t>
      </w:r>
      <w:r w:rsidRPr="003F46ED">
        <w:t xml:space="preserve"> making all primary teachers also teachers of a foreign language. China and </w:t>
      </w:r>
      <w:r w:rsidR="00BC2A59" w:rsidRPr="003F46ED">
        <w:t xml:space="preserve">South </w:t>
      </w:r>
      <w:r w:rsidRPr="003F46ED">
        <w:t>Korea have similar time allocations to Australia for primary and junior secondary, but these increase in sen</w:t>
      </w:r>
      <w:r w:rsidR="00407F0D" w:rsidRPr="003F46ED">
        <w:t>ior secondary to approximately four</w:t>
      </w:r>
      <w:r w:rsidR="00F104A7" w:rsidRPr="003F46ED">
        <w:t xml:space="preserve"> hours/</w:t>
      </w:r>
      <w:r w:rsidRPr="003F46ED">
        <w:t>week.</w:t>
      </w:r>
      <w:bookmarkEnd w:id="367"/>
    </w:p>
    <w:p w14:paraId="4F34911D" w14:textId="77777777" w:rsidR="007B1D45" w:rsidRPr="003F46ED" w:rsidRDefault="009F657E" w:rsidP="00B30583">
      <w:bookmarkStart w:id="368" w:name="_Toc402180582"/>
      <w:r w:rsidRPr="003F46ED">
        <w:t>These findings are supported by a recent report into language learning in countries that rank highly in the Programme for International Student Assessment (PISA).</w:t>
      </w:r>
      <w:r w:rsidR="008D2C73" w:rsidRPr="003F46ED">
        <w:t xml:space="preserve"> </w:t>
      </w:r>
      <w:r w:rsidRPr="003F46ED">
        <w:t xml:space="preserve">The report found that in Finland, China, </w:t>
      </w:r>
      <w:r w:rsidR="00BC2A59" w:rsidRPr="003F46ED">
        <w:t xml:space="preserve">South </w:t>
      </w:r>
      <w:r w:rsidRPr="003F46ED">
        <w:lastRenderedPageBreak/>
        <w:t xml:space="preserve">Korea and Japan, language learning is compulsory and starts at an early age. It is a valued and regular part of the curriculum. For example, Finland allocates 228 hours per year in primary and 398 hours per year in secondary to language learning, compared to 60 hours and 100 hours respectively in Australia (Fernandez &amp; </w:t>
      </w:r>
      <w:proofErr w:type="spellStart"/>
      <w:r w:rsidRPr="003F46ED">
        <w:t>Gearon</w:t>
      </w:r>
      <w:proofErr w:type="spellEnd"/>
      <w:r w:rsidRPr="003F46ED">
        <w:t>, 2011).</w:t>
      </w:r>
      <w:bookmarkEnd w:id="368"/>
      <w:r w:rsidRPr="003F46ED">
        <w:t xml:space="preserve"> </w:t>
      </w:r>
    </w:p>
    <w:p w14:paraId="2AE5A563" w14:textId="77777777" w:rsidR="007B1D45" w:rsidRPr="003F46ED" w:rsidRDefault="009F657E" w:rsidP="00B30583">
      <w:bookmarkStart w:id="369" w:name="_Toc402180583"/>
      <w:r w:rsidRPr="003F46ED">
        <w:t xml:space="preserve">The 2012 report by the Education, </w:t>
      </w:r>
      <w:proofErr w:type="spellStart"/>
      <w:r w:rsidRPr="003F46ED">
        <w:t>Audiovisual</w:t>
      </w:r>
      <w:proofErr w:type="spellEnd"/>
      <w:r w:rsidRPr="003F46ED">
        <w:t xml:space="preserve"> and Culture Executive Agency (</w:t>
      </w:r>
      <w:proofErr w:type="spellStart"/>
      <w:r w:rsidRPr="003F46ED">
        <w:t>EACEA</w:t>
      </w:r>
      <w:proofErr w:type="spellEnd"/>
      <w:r w:rsidRPr="003F46ED">
        <w:t>) states similar findings. Funded by the European Commission, the report is based on data from 32 European countries and provides a comprehensive picture of the current state of foreign language study in Europe with the following findings:</w:t>
      </w:r>
      <w:bookmarkEnd w:id="369"/>
    </w:p>
    <w:p w14:paraId="615A12C7" w14:textId="77777777" w:rsidR="007B1D45" w:rsidRPr="003F46ED" w:rsidRDefault="009F657E" w:rsidP="00F536F8">
      <w:pPr>
        <w:pStyle w:val="Heading4"/>
      </w:pPr>
      <w:bookmarkStart w:id="370" w:name="_Toc402180584"/>
      <w:r w:rsidRPr="003F46ED">
        <w:t>1. Language learning is compulsory and in demand</w:t>
      </w:r>
      <w:bookmarkEnd w:id="370"/>
    </w:p>
    <w:p w14:paraId="2EBA49E4" w14:textId="77777777" w:rsidR="007B1D45" w:rsidRPr="003F46ED" w:rsidRDefault="009F657E" w:rsidP="00B30583">
      <w:bookmarkStart w:id="371" w:name="_Toc402180585"/>
      <w:r w:rsidRPr="003F46ED">
        <w:t>The study of at least one foreign language is mandatory in the majority of European countries. Over the past two decades, the main reforms in relation to language study have been to increase the duration of compulsory language study (except in the United Kingdom).</w:t>
      </w:r>
      <w:bookmarkEnd w:id="371"/>
    </w:p>
    <w:p w14:paraId="24BED983" w14:textId="77777777" w:rsidR="007B1D45" w:rsidRPr="003F46ED" w:rsidRDefault="009F657E" w:rsidP="00B30583">
      <w:bookmarkStart w:id="372" w:name="_Toc402180586"/>
      <w:r w:rsidRPr="003F46ED">
        <w:t>In the majority of these countries, there is widespread school autonomy to decide the languages offered and how to implement the languages curriculum. Autonomy is seen as enabling schools to ‘enrich’ their curriculum offerings through providing locally or regionally relevant language study, typically in addition to English (</w:t>
      </w:r>
      <w:proofErr w:type="spellStart"/>
      <w:r w:rsidRPr="003F46ED">
        <w:t>EACEA</w:t>
      </w:r>
      <w:proofErr w:type="spellEnd"/>
      <w:r w:rsidRPr="003F46ED">
        <w:t>, 2012).</w:t>
      </w:r>
      <w:bookmarkEnd w:id="372"/>
    </w:p>
    <w:p w14:paraId="285AC3DF" w14:textId="3BB18818" w:rsidR="009F657E" w:rsidRPr="003F46ED" w:rsidRDefault="009F657E" w:rsidP="00B30583">
      <w:bookmarkStart w:id="373" w:name="_Toc402180587"/>
      <w:r w:rsidRPr="003F46ED">
        <w:t xml:space="preserve">In general, language learning is </w:t>
      </w:r>
      <w:r w:rsidR="00414E41" w:rsidRPr="003F46ED">
        <w:t>considered</w:t>
      </w:r>
      <w:r w:rsidRPr="003F46ED">
        <w:t xml:space="preserve"> a normal part of the school curriculum</w:t>
      </w:r>
      <w:r w:rsidR="00F55091" w:rsidRPr="003F46ED">
        <w:t xml:space="preserve"> and essential to being ‘educated’</w:t>
      </w:r>
      <w:r w:rsidRPr="003F46ED">
        <w:t>. Even in countries where schools are streamed, all students are expected to study at least two languages. For the majority of countries, English is the main foreign language studied at all levels of schooling and is typically mandated (</w:t>
      </w:r>
      <w:proofErr w:type="spellStart"/>
      <w:r w:rsidRPr="003F46ED">
        <w:t>EACEA</w:t>
      </w:r>
      <w:proofErr w:type="spellEnd"/>
      <w:r w:rsidR="002B015C" w:rsidRPr="003F46ED">
        <w:t>,</w:t>
      </w:r>
      <w:r w:rsidRPr="003F46ED">
        <w:t xml:space="preserve"> 2012).</w:t>
      </w:r>
      <w:bookmarkEnd w:id="373"/>
    </w:p>
    <w:p w14:paraId="6AE0EFAE" w14:textId="77777777" w:rsidR="007B1D45" w:rsidRPr="003F46ED" w:rsidRDefault="009F657E" w:rsidP="00F536F8">
      <w:pPr>
        <w:pStyle w:val="Heading4"/>
      </w:pPr>
      <w:bookmarkStart w:id="374" w:name="_Toc402180588"/>
      <w:r w:rsidRPr="003F46ED">
        <w:t>2. Language teachers are highly qualified</w:t>
      </w:r>
      <w:bookmarkEnd w:id="374"/>
    </w:p>
    <w:p w14:paraId="0EA87F48" w14:textId="77777777" w:rsidR="007B1D45" w:rsidRPr="003F46ED" w:rsidRDefault="009F657E" w:rsidP="00B30583">
      <w:bookmarkStart w:id="375" w:name="_Toc402180589"/>
      <w:r w:rsidRPr="003F46ED">
        <w:t>Language teachers in the majority of European countries are hig</w:t>
      </w:r>
      <w:r w:rsidR="00CE752E" w:rsidRPr="003F46ED">
        <w:t>hly qualified. On average, 89.6 per cent</w:t>
      </w:r>
      <w:r w:rsidRPr="003F46ED">
        <w:t xml:space="preserve"> of language teachers state that they are fully qualified to teach foreign languages (</w:t>
      </w:r>
      <w:proofErr w:type="spellStart"/>
      <w:r w:rsidRPr="003F46ED">
        <w:t>EACEA</w:t>
      </w:r>
      <w:proofErr w:type="spellEnd"/>
      <w:r w:rsidR="0061702A" w:rsidRPr="003F46ED">
        <w:t>,</w:t>
      </w:r>
      <w:r w:rsidRPr="003F46ED">
        <w:t xml:space="preserve"> 2012). This proportion is higher in secondary schools. Targeted programmes, such as upgrade courses and altering the content of initial teacher ed</w:t>
      </w:r>
      <w:r w:rsidR="000D3302" w:rsidRPr="003F46ED">
        <w:t>ucation courses</w:t>
      </w:r>
      <w:r w:rsidRPr="003F46ED">
        <w:t xml:space="preserve"> to meet the needs of primary school teachers</w:t>
      </w:r>
      <w:r w:rsidR="000D3302" w:rsidRPr="003F46ED">
        <w:t>,</w:t>
      </w:r>
      <w:r w:rsidRPr="003F46ED">
        <w:t xml:space="preserve"> are underway. Secondary school language teachers are requir</w:t>
      </w:r>
      <w:r w:rsidR="006824B1" w:rsidRPr="003F46ED">
        <w:t>ed generally to complete a four</w:t>
      </w:r>
      <w:r w:rsidRPr="003F46ED">
        <w:t xml:space="preserve"> to five-year course. In the United Kingdom, language teachers complete a four-year undergraduate degree plus a one-year teaching qualification.</w:t>
      </w:r>
      <w:bookmarkEnd w:id="375"/>
      <w:r w:rsidRPr="003F46ED">
        <w:t xml:space="preserve"> </w:t>
      </w:r>
    </w:p>
    <w:p w14:paraId="19330E0D" w14:textId="77777777" w:rsidR="007B1D45" w:rsidRPr="003F46ED" w:rsidRDefault="009F657E" w:rsidP="00B30583">
      <w:bookmarkStart w:id="376" w:name="_Toc402180590"/>
      <w:r w:rsidRPr="003F46ED">
        <w:t xml:space="preserve">However, only a few countries require language teachers to undertake intensive in-country study programmes as part of their initial teacher </w:t>
      </w:r>
      <w:r w:rsidR="00EB216C" w:rsidRPr="003F46ED">
        <w:t>education</w:t>
      </w:r>
      <w:r w:rsidRPr="003F46ED">
        <w:t>. In the United Kingdom, pre-service language teachers are expected to undert</w:t>
      </w:r>
      <w:r w:rsidR="00643E5B" w:rsidRPr="003F46ED">
        <w:t xml:space="preserve">ake one year of their degree in </w:t>
      </w:r>
      <w:r w:rsidRPr="003F46ED">
        <w:t>country. In Ireland, language teachers must have spent at least three months in the target language country to qualify for teacher registration. Germany recommends two to four weeks of in-country study (</w:t>
      </w:r>
      <w:proofErr w:type="spellStart"/>
      <w:r w:rsidRPr="003F46ED">
        <w:t>EACEA</w:t>
      </w:r>
      <w:proofErr w:type="spellEnd"/>
      <w:r w:rsidR="008E54B0" w:rsidRPr="003F46ED">
        <w:t>,</w:t>
      </w:r>
      <w:r w:rsidRPr="003F46ED">
        <w:t xml:space="preserve"> 2012).</w:t>
      </w:r>
      <w:bookmarkEnd w:id="376"/>
    </w:p>
    <w:p w14:paraId="0A202F10" w14:textId="77777777" w:rsidR="007B1D45" w:rsidRPr="003F46ED" w:rsidRDefault="009F657E" w:rsidP="00F536F8">
      <w:pPr>
        <w:pStyle w:val="Heading4"/>
      </w:pPr>
      <w:bookmarkStart w:id="377" w:name="_Toc402180591"/>
      <w:r w:rsidRPr="003F46ED">
        <w:t>3. Language learning is substantive and sustained</w:t>
      </w:r>
      <w:bookmarkEnd w:id="377"/>
      <w:r w:rsidRPr="003F46ED">
        <w:t xml:space="preserve"> </w:t>
      </w:r>
    </w:p>
    <w:p w14:paraId="74C61E9A" w14:textId="77777777" w:rsidR="007B1D45" w:rsidRPr="003F46ED" w:rsidRDefault="009F657E" w:rsidP="00B30583">
      <w:bookmarkStart w:id="378" w:name="_Toc402180592"/>
      <w:proofErr w:type="spellStart"/>
      <w:r w:rsidRPr="003F46ED">
        <w:t>CLIL</w:t>
      </w:r>
      <w:proofErr w:type="spellEnd"/>
      <w:r w:rsidRPr="003F46ED">
        <w:t xml:space="preserve"> is found in almost all European countries, except Denmark, Greece, Iceland and Turkey, even though it is not the typical approach for language programmes (</w:t>
      </w:r>
      <w:proofErr w:type="spellStart"/>
      <w:r w:rsidRPr="003F46ED">
        <w:t>EACEA</w:t>
      </w:r>
      <w:proofErr w:type="spellEnd"/>
      <w:r w:rsidR="00F17597" w:rsidRPr="003F46ED">
        <w:t>,</w:t>
      </w:r>
      <w:r w:rsidRPr="003F46ED">
        <w:t xml:space="preserve"> 2012). However, approaches such as </w:t>
      </w:r>
      <w:proofErr w:type="spellStart"/>
      <w:r w:rsidRPr="003F46ED">
        <w:t>CLIL</w:t>
      </w:r>
      <w:proofErr w:type="spellEnd"/>
      <w:r w:rsidRPr="003F46ED">
        <w:t xml:space="preserve"> and immersion (teaching other subjects in the target language) are becoming increasingly popular with recent pilot projects (e.g. Belgium, Cyprus and Portugal). Since 2010, all students in Italy in their final year of secondary school are required to study one non-language subject through a foreign language. Austria has a similar requirement and requires the first foreign language studied in primary school to be taught using </w:t>
      </w:r>
      <w:proofErr w:type="spellStart"/>
      <w:r w:rsidRPr="003F46ED">
        <w:t>CLIL</w:t>
      </w:r>
      <w:proofErr w:type="spellEnd"/>
      <w:r w:rsidRPr="003F46ED">
        <w:t>.</w:t>
      </w:r>
      <w:bookmarkEnd w:id="378"/>
      <w:r w:rsidRPr="003F46ED">
        <w:t xml:space="preserve"> </w:t>
      </w:r>
    </w:p>
    <w:p w14:paraId="281E5273" w14:textId="77777777" w:rsidR="007B1D45" w:rsidRPr="003F46ED" w:rsidRDefault="009F657E" w:rsidP="00B30583">
      <w:bookmarkStart w:id="379" w:name="_Toc402180593"/>
      <w:r w:rsidRPr="003F46ED">
        <w:lastRenderedPageBreak/>
        <w:t xml:space="preserve">These experiences indicate that focusing on substantive content leads to significant progression in learning over time. </w:t>
      </w:r>
      <w:r w:rsidR="0094725B" w:rsidRPr="003F46ED">
        <w:t>However, the teaching of another subject through the target language requires high levels of pedagogical content knowledge and language proficiency together with access to quality resources</w:t>
      </w:r>
      <w:r w:rsidRPr="003F46ED">
        <w:t>. Furthermore, students require formal recognition for their learning, and most European countries issue a certificate at the end of compulsory education that draws attention to students’ language learning.</w:t>
      </w:r>
      <w:bookmarkEnd w:id="379"/>
    </w:p>
    <w:p w14:paraId="7A329CF8" w14:textId="77777777" w:rsidR="007B1D45" w:rsidRPr="003F46ED" w:rsidRDefault="009F657E" w:rsidP="00B30583">
      <w:bookmarkStart w:id="380" w:name="_Toc402180594"/>
      <w:r w:rsidRPr="003F46ED">
        <w:t>Some European countries have attempted to recognise students’ language learning through their formal accreditation processes. In the case of the United Kingdom, most initiatives have focused on primary and junior secondary levels, with the assumption that students would automatically continue with their language study. The figures suggest otherwise; when the mandatory period of language learning from ages 11 to 16 was reduced</w:t>
      </w:r>
      <w:r w:rsidR="00761FE5" w:rsidRPr="003F46ED">
        <w:t xml:space="preserve"> to</w:t>
      </w:r>
      <w:r w:rsidRPr="003F46ED">
        <w:t xml:space="preserve"> 11 to 14 in 2004, a substantial decline in enrolments followed (Tinsley, 2013). The reduced requirement was intended to increase subject choice</w:t>
      </w:r>
      <w:r w:rsidR="00560454" w:rsidRPr="003F46ED">
        <w:t xml:space="preserve"> pathways,</w:t>
      </w:r>
      <w:r w:rsidRPr="003F46ED">
        <w:t xml:space="preserve"> but there is now concern that language learning is falling behind other countries to such a degree that remedial action must be taken (Richardson, 2014). This is a similar scenario to that in Australia</w:t>
      </w:r>
      <w:r w:rsidRPr="003F46ED">
        <w:rPr>
          <w:i/>
        </w:rPr>
        <w:t>.</w:t>
      </w:r>
      <w:bookmarkEnd w:id="380"/>
    </w:p>
    <w:p w14:paraId="1D9EDF97" w14:textId="77777777" w:rsidR="007B1D45" w:rsidRPr="003F46ED" w:rsidRDefault="009F657E" w:rsidP="00B30583">
      <w:bookmarkStart w:id="381" w:name="_Toc402180595"/>
      <w:r w:rsidRPr="003F46ED">
        <w:t>Reforms to curriculum, structures and/or certification are being explored as the</w:t>
      </w:r>
      <w:r w:rsidR="00537FE4" w:rsidRPr="003F46ED">
        <w:t xml:space="preserve"> solution. The recent reforms to</w:t>
      </w:r>
      <w:r w:rsidRPr="003F46ED">
        <w:t xml:space="preserve"> A-Level (senior secondary) subjects, including languages, are currently under community consultation. The stated aim for languages is to improve student engagement by increasing learning demands through critical engagement with literary works and independent research (Department for Education UK, 2014). This initiative assumes that curriculum reform will boost learner engagement and improve retention in language programmes.</w:t>
      </w:r>
      <w:bookmarkEnd w:id="381"/>
    </w:p>
    <w:p w14:paraId="224026A2" w14:textId="77777777" w:rsidR="007B1D45" w:rsidRPr="003F46ED" w:rsidRDefault="009F657E" w:rsidP="00B30583">
      <w:bookmarkStart w:id="382" w:name="_Toc402180596"/>
      <w:r w:rsidRPr="003F46ED">
        <w:t>Both Scotland and England have introduced a Baccalaureate certificate that includes language study. The Scottish Baccalaureate requires students to study a language to 16 years</w:t>
      </w:r>
      <w:r w:rsidR="004D590C" w:rsidRPr="003F46ED">
        <w:t xml:space="preserve"> of age</w:t>
      </w:r>
      <w:r w:rsidRPr="003F46ED">
        <w:t xml:space="preserve">. The English Baccalaureate, an embedded qualification within the existing General Certificate of </w:t>
      </w:r>
      <w:r w:rsidR="00EC4622" w:rsidRPr="003F46ED">
        <w:t xml:space="preserve">Secondary </w:t>
      </w:r>
      <w:r w:rsidRPr="003F46ED">
        <w:t>Education</w:t>
      </w:r>
      <w:r w:rsidR="003154C4" w:rsidRPr="003F46ED">
        <w:t xml:space="preserve"> (G</w:t>
      </w:r>
      <w:r w:rsidR="00EC4622" w:rsidRPr="003F46ED">
        <w:t>CS</w:t>
      </w:r>
      <w:r w:rsidR="003154C4" w:rsidRPr="003F46ED">
        <w:t>E)</w:t>
      </w:r>
      <w:r w:rsidRPr="003F46ED">
        <w:t>, shows signs of improved participation rates. The United Kingdom’s Department for Education claims that almost half of state-school students undertook languages at GCSE in 2013, the highest level for seven years (Richardson, 2014).</w:t>
      </w:r>
      <w:bookmarkEnd w:id="382"/>
      <w:r w:rsidRPr="003F46ED">
        <w:t xml:space="preserve"> </w:t>
      </w:r>
    </w:p>
    <w:p w14:paraId="13AA9B2B" w14:textId="77777777" w:rsidR="007B1D45" w:rsidRPr="003F46ED" w:rsidRDefault="009F657E" w:rsidP="00B30583">
      <w:bookmarkStart w:id="383" w:name="_Toc402180597"/>
      <w:r w:rsidRPr="003F46ED">
        <w:t>Criticism remains, however, as few students continue with their language learning to A-Level (senior secondary). Tinsley (2013) argues that the United Kingdom requires a multi-pronged approach including: compulsory language learning within a mandated core curriculum; formal recognition of language achievement; diversification of language pathways (including targeted</w:t>
      </w:r>
      <w:r w:rsidR="004460CA" w:rsidRPr="003F46ED">
        <w:t>,</w:t>
      </w:r>
      <w:r w:rsidRPr="003F46ED">
        <w:t xml:space="preserve"> vocationally oriented language subjects); and an increased range of l</w:t>
      </w:r>
      <w:r w:rsidR="004B4521" w:rsidRPr="003F46ED">
        <w:t>anguages. The recommendations of</w:t>
      </w:r>
      <w:r w:rsidRPr="003F46ED">
        <w:t xml:space="preserve"> this research are not incongruent with Tinsley’s proposals.</w:t>
      </w:r>
      <w:bookmarkEnd w:id="383"/>
    </w:p>
    <w:p w14:paraId="52953860" w14:textId="77777777" w:rsidR="007B1D45" w:rsidRPr="003F46ED" w:rsidRDefault="009F657E" w:rsidP="00F536F8">
      <w:pPr>
        <w:pStyle w:val="Heading3"/>
      </w:pPr>
      <w:bookmarkStart w:id="384" w:name="_Toc402180598"/>
      <w:r w:rsidRPr="003F46ED">
        <w:t>Languages in senior secondary in Australia</w:t>
      </w:r>
      <w:bookmarkEnd w:id="384"/>
      <w:r w:rsidR="00E82103" w:rsidRPr="003F46ED">
        <w:t xml:space="preserve"> – certification and incentives</w:t>
      </w:r>
    </w:p>
    <w:p w14:paraId="48704269" w14:textId="77777777" w:rsidR="007B1D45" w:rsidRPr="003F46ED" w:rsidRDefault="005C678F" w:rsidP="00B30583">
      <w:r w:rsidRPr="003F46ED">
        <w:t>An overview of languages (as a learning area) within the current senior secondary certification requirements in each jurisdiction is provided by Table 3.4.</w:t>
      </w:r>
    </w:p>
    <w:p w14:paraId="5291CDEF" w14:textId="41A09490" w:rsidR="006E0B78" w:rsidRPr="003F46ED" w:rsidRDefault="006E0B78" w:rsidP="00B30583">
      <w:pPr>
        <w:sectPr w:rsidR="006E0B78" w:rsidRPr="003F46ED" w:rsidSect="00665CB6">
          <w:pgSz w:w="11900" w:h="16840"/>
          <w:pgMar w:top="1985" w:right="1134" w:bottom="1440" w:left="1134" w:header="709" w:footer="709" w:gutter="0"/>
          <w:cols w:space="720"/>
          <w:docGrid w:linePitch="299"/>
        </w:sectPr>
      </w:pPr>
    </w:p>
    <w:p w14:paraId="3E96198C" w14:textId="77777777" w:rsidR="007444AB" w:rsidRPr="00BF296E" w:rsidRDefault="007146EC" w:rsidP="00BF296E">
      <w:pPr>
        <w:pStyle w:val="Caption"/>
        <w:rPr>
          <w:b/>
        </w:rPr>
      </w:pPr>
      <w:r w:rsidRPr="00BF296E">
        <w:rPr>
          <w:b/>
        </w:rPr>
        <w:lastRenderedPageBreak/>
        <w:t>Table 3.4</w:t>
      </w:r>
      <w:r w:rsidR="00C14E77" w:rsidRPr="00BF296E">
        <w:rPr>
          <w:b/>
        </w:rPr>
        <w:t>: Languages within current senior secondary certification requirements in each state and territory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4752"/>
        <w:gridCol w:w="1397"/>
        <w:gridCol w:w="1539"/>
        <w:gridCol w:w="4894"/>
      </w:tblGrid>
      <w:tr w:rsidR="000A175B" w:rsidRPr="003F46ED" w14:paraId="154CFD29" w14:textId="77777777" w:rsidTr="006C1E78">
        <w:trPr>
          <w:cantSplit/>
          <w:tblHeader/>
        </w:trPr>
        <w:tc>
          <w:tcPr>
            <w:tcW w:w="578" w:type="pct"/>
            <w:shd w:val="clear" w:color="auto" w:fill="000000" w:themeFill="text1"/>
          </w:tcPr>
          <w:p w14:paraId="4587C161" w14:textId="77777777" w:rsidR="000A175B" w:rsidRPr="003F46ED" w:rsidRDefault="000A175B" w:rsidP="00B30583">
            <w:r w:rsidRPr="003F46ED">
              <w:t>State/territory</w:t>
            </w:r>
          </w:p>
        </w:tc>
        <w:tc>
          <w:tcPr>
            <w:tcW w:w="1670" w:type="pct"/>
            <w:shd w:val="clear" w:color="auto" w:fill="000000" w:themeFill="text1"/>
          </w:tcPr>
          <w:p w14:paraId="0412852D" w14:textId="77777777" w:rsidR="000A175B" w:rsidRPr="003F46ED" w:rsidRDefault="000A175B" w:rsidP="00B30583">
            <w:r w:rsidRPr="003F46ED">
              <w:t>Authority and certificate</w:t>
            </w:r>
          </w:p>
        </w:tc>
        <w:tc>
          <w:tcPr>
            <w:tcW w:w="491" w:type="pct"/>
            <w:shd w:val="clear" w:color="auto" w:fill="000000" w:themeFill="text1"/>
          </w:tcPr>
          <w:p w14:paraId="558BC824" w14:textId="6B2D7E1E" w:rsidR="000A175B" w:rsidRPr="003F46ED" w:rsidRDefault="000A175B" w:rsidP="00B30583">
            <w:r w:rsidRPr="003F46ED">
              <w:t>Required for certification (</w:t>
            </w:r>
            <w:r w:rsidR="00844CAE" w:rsidRPr="003F46ED">
              <w:t>Yes</w:t>
            </w:r>
            <w:r w:rsidRPr="003F46ED">
              <w:t>/</w:t>
            </w:r>
            <w:r w:rsidR="00844CAE" w:rsidRPr="003F46ED">
              <w:t>No</w:t>
            </w:r>
            <w:r w:rsidRPr="003F46ED">
              <w:t>)</w:t>
            </w:r>
          </w:p>
        </w:tc>
        <w:tc>
          <w:tcPr>
            <w:tcW w:w="541" w:type="pct"/>
            <w:shd w:val="clear" w:color="auto" w:fill="000000" w:themeFill="text1"/>
          </w:tcPr>
          <w:p w14:paraId="6E8A0124" w14:textId="43FEB67E" w:rsidR="000A175B" w:rsidRPr="003F46ED" w:rsidRDefault="000A175B" w:rsidP="00B30583">
            <w:r w:rsidRPr="003F46ED">
              <w:t>Required for University Entry (</w:t>
            </w:r>
            <w:r w:rsidR="00844CAE" w:rsidRPr="003F46ED">
              <w:t>Yes</w:t>
            </w:r>
            <w:r w:rsidRPr="003F46ED">
              <w:t>/</w:t>
            </w:r>
            <w:r w:rsidR="00844CAE" w:rsidRPr="003F46ED">
              <w:t>No</w:t>
            </w:r>
            <w:r w:rsidRPr="003F46ED">
              <w:t>)</w:t>
            </w:r>
          </w:p>
        </w:tc>
        <w:tc>
          <w:tcPr>
            <w:tcW w:w="1720" w:type="pct"/>
            <w:shd w:val="clear" w:color="auto" w:fill="000000" w:themeFill="text1"/>
          </w:tcPr>
          <w:p w14:paraId="3F5AA9C7" w14:textId="77777777" w:rsidR="000A175B" w:rsidRPr="003F46ED" w:rsidRDefault="000A175B" w:rsidP="00B30583">
            <w:r w:rsidRPr="003F46ED">
              <w:t>Incentives</w:t>
            </w:r>
          </w:p>
          <w:p w14:paraId="1430201F" w14:textId="77777777" w:rsidR="000A175B" w:rsidRPr="003F46ED" w:rsidRDefault="000A175B" w:rsidP="00B30583">
            <w:r w:rsidRPr="003F46ED">
              <w:t>(Bonus Points for Languages)</w:t>
            </w:r>
          </w:p>
        </w:tc>
      </w:tr>
      <w:tr w:rsidR="000A175B" w:rsidRPr="003F46ED" w14:paraId="5A27ABF8" w14:textId="77777777" w:rsidTr="006C1E78">
        <w:trPr>
          <w:cantSplit/>
        </w:trPr>
        <w:tc>
          <w:tcPr>
            <w:tcW w:w="578" w:type="pct"/>
          </w:tcPr>
          <w:p w14:paraId="4598D4B4" w14:textId="77777777" w:rsidR="000A175B" w:rsidRPr="003F46ED" w:rsidRDefault="000A175B" w:rsidP="00B30583">
            <w:r w:rsidRPr="003F46ED">
              <w:t>Australian Capital Territory</w:t>
            </w:r>
          </w:p>
          <w:p w14:paraId="1324C9D2" w14:textId="77777777" w:rsidR="000A175B" w:rsidRPr="003F46ED" w:rsidRDefault="000A175B" w:rsidP="00B30583"/>
        </w:tc>
        <w:tc>
          <w:tcPr>
            <w:tcW w:w="1670" w:type="pct"/>
          </w:tcPr>
          <w:p w14:paraId="055F3B42" w14:textId="77777777" w:rsidR="000A175B" w:rsidRPr="003F46ED" w:rsidRDefault="000A175B" w:rsidP="006C1E78">
            <w:r w:rsidRPr="003F46ED">
              <w:t>ACT Board of Senior Secondary Studies</w:t>
            </w:r>
          </w:p>
          <w:p w14:paraId="31710EC5" w14:textId="77777777" w:rsidR="000A175B" w:rsidRPr="003F46ED" w:rsidRDefault="000A175B" w:rsidP="006C1E78">
            <w:r w:rsidRPr="003F46ED">
              <w:t>ACT Senior Secondary Certificate and ACT Record of Achievement for students completing  a minimum of 17 standard units forming at least 3 A, T, H, C or M courses</w:t>
            </w:r>
          </w:p>
          <w:p w14:paraId="59507375" w14:textId="77777777" w:rsidR="000A175B" w:rsidRPr="003F46ED" w:rsidRDefault="000A175B" w:rsidP="006C1E78">
            <w:r w:rsidRPr="003F46ED">
              <w:t>ACT Tertiary Entrance Statement for students completing a minimum of:</w:t>
            </w:r>
          </w:p>
          <w:p w14:paraId="7E6A2BD0" w14:textId="77777777" w:rsidR="000A175B" w:rsidRPr="003F46ED" w:rsidRDefault="000A175B" w:rsidP="006C1E78">
            <w:r w:rsidRPr="003F46ED">
              <w:t xml:space="preserve">20 standard units which must include at least 18 </w:t>
            </w:r>
            <w:proofErr w:type="gramStart"/>
            <w:r w:rsidRPr="003F46ED">
              <w:t>standard</w:t>
            </w:r>
            <w:proofErr w:type="gramEnd"/>
            <w:r w:rsidRPr="003F46ED">
              <w:t xml:space="preserve"> A, C, E, T, M, H units. 12.5 of these standard units must be T or H. </w:t>
            </w:r>
          </w:p>
          <w:p w14:paraId="4A1FC25F" w14:textId="77777777" w:rsidR="000A175B" w:rsidRPr="003F46ED" w:rsidRDefault="000A175B" w:rsidP="006C1E78">
            <w:r w:rsidRPr="003F46ED">
              <w:t>The accredited units must be arranged into courses to form at least the following patterns:</w:t>
            </w:r>
          </w:p>
          <w:p w14:paraId="3F70A16F" w14:textId="77777777" w:rsidR="000A175B" w:rsidRPr="003F46ED" w:rsidRDefault="000A175B" w:rsidP="00550616">
            <w:pPr>
              <w:pStyle w:val="ListParagraph"/>
              <w:numPr>
                <w:ilvl w:val="0"/>
                <w:numId w:val="4"/>
              </w:numPr>
              <w:ind w:left="360"/>
            </w:pPr>
            <w:r w:rsidRPr="003F46ED">
              <w:t>five majors or</w:t>
            </w:r>
          </w:p>
          <w:p w14:paraId="5EEE00E1" w14:textId="77777777" w:rsidR="000A175B" w:rsidRPr="003F46ED" w:rsidRDefault="000A175B" w:rsidP="00550616">
            <w:pPr>
              <w:pStyle w:val="ListParagraph"/>
              <w:numPr>
                <w:ilvl w:val="0"/>
                <w:numId w:val="4"/>
              </w:numPr>
              <w:ind w:left="360"/>
            </w:pPr>
            <w:r w:rsidRPr="003F46ED">
              <w:t>four majors and one minor or</w:t>
            </w:r>
          </w:p>
          <w:p w14:paraId="6BA4A49B" w14:textId="77777777" w:rsidR="000A175B" w:rsidRPr="003F46ED" w:rsidRDefault="000A175B" w:rsidP="00550616">
            <w:pPr>
              <w:pStyle w:val="ListParagraph"/>
              <w:numPr>
                <w:ilvl w:val="0"/>
                <w:numId w:val="4"/>
              </w:numPr>
              <w:ind w:left="360"/>
            </w:pPr>
            <w:r w:rsidRPr="003F46ED">
              <w:t>three majors and three minors</w:t>
            </w:r>
          </w:p>
          <w:p w14:paraId="264BCB97" w14:textId="77777777" w:rsidR="000A175B" w:rsidRPr="003F46ED" w:rsidRDefault="000A175B" w:rsidP="00B30583">
            <w:r w:rsidRPr="003F46ED">
              <w:t>Of these major and minor courses:</w:t>
            </w:r>
          </w:p>
          <w:p w14:paraId="44CE2E4E" w14:textId="77777777" w:rsidR="000A175B" w:rsidRPr="003F46ED" w:rsidRDefault="000A175B" w:rsidP="00550616">
            <w:pPr>
              <w:pStyle w:val="ListParagraph"/>
              <w:numPr>
                <w:ilvl w:val="0"/>
                <w:numId w:val="4"/>
              </w:numPr>
              <w:ind w:left="360"/>
            </w:pPr>
            <w:r w:rsidRPr="003F46ED">
              <w:t>at least three major courses and one minor course must have been classified T or H</w:t>
            </w:r>
          </w:p>
          <w:p w14:paraId="28576441" w14:textId="1625214A" w:rsidR="000A175B" w:rsidRPr="003F46ED" w:rsidRDefault="000A175B" w:rsidP="006C1E78">
            <w:r w:rsidRPr="003F46ED">
              <w:t>The student must also sit for the ACT Scaling Test (AST).</w:t>
            </w:r>
          </w:p>
        </w:tc>
        <w:tc>
          <w:tcPr>
            <w:tcW w:w="491" w:type="pct"/>
          </w:tcPr>
          <w:p w14:paraId="3BADCD42" w14:textId="62A32668" w:rsidR="000A175B" w:rsidRPr="003F46ED" w:rsidRDefault="00844CAE" w:rsidP="00B30583">
            <w:r w:rsidRPr="003F46ED">
              <w:t>No</w:t>
            </w:r>
          </w:p>
        </w:tc>
        <w:tc>
          <w:tcPr>
            <w:tcW w:w="541" w:type="pct"/>
          </w:tcPr>
          <w:p w14:paraId="15A826EF" w14:textId="6F024CF0" w:rsidR="000A175B" w:rsidRPr="003F46ED" w:rsidRDefault="00844CAE" w:rsidP="00B30583">
            <w:r w:rsidRPr="003F46ED">
              <w:t>No</w:t>
            </w:r>
          </w:p>
        </w:tc>
        <w:tc>
          <w:tcPr>
            <w:tcW w:w="1720" w:type="pct"/>
          </w:tcPr>
          <w:p w14:paraId="6EEA5D03" w14:textId="77777777" w:rsidR="000A175B" w:rsidRPr="003F46ED" w:rsidRDefault="000A175B" w:rsidP="00B30583">
            <w:r w:rsidRPr="003F46ED">
              <w:t>The Australian National University (</w:t>
            </w:r>
            <w:proofErr w:type="spellStart"/>
            <w:r w:rsidRPr="003F46ED">
              <w:t>ANU</w:t>
            </w:r>
            <w:proofErr w:type="spellEnd"/>
            <w:r w:rsidRPr="003F46ED">
              <w:t>) offers bonus points for nationally strategic senior secondary subjects, and in recognition of difficult circumstances that students face in their studies.</w:t>
            </w:r>
          </w:p>
          <w:p w14:paraId="2FFF3327" w14:textId="77777777" w:rsidR="000A175B" w:rsidRPr="003F46ED" w:rsidRDefault="000A175B" w:rsidP="00B30583">
            <w:r w:rsidRPr="003F46ED">
              <w:t xml:space="preserve">Bonus points are applied to all applicants with an </w:t>
            </w:r>
            <w:proofErr w:type="spellStart"/>
            <w:r w:rsidRPr="003F46ED">
              <w:t>ATAR</w:t>
            </w:r>
            <w:proofErr w:type="spellEnd"/>
            <w:r w:rsidRPr="003F46ED">
              <w:t xml:space="preserve"> at or above 70. Points are awarded in accordance with the approved schedule, and no more than 10 points (maximum 5 academic points and maximum 5 equity points) will be awarded.</w:t>
            </w:r>
          </w:p>
          <w:p w14:paraId="6C5A2AC5" w14:textId="77777777" w:rsidR="000A175B" w:rsidRPr="003F46ED" w:rsidRDefault="000A175B" w:rsidP="00B30583">
            <w:r w:rsidRPr="003F46ED">
              <w:t>Language Studies (Other than English) is awarded 5 points.</w:t>
            </w:r>
          </w:p>
        </w:tc>
      </w:tr>
      <w:tr w:rsidR="000A175B" w:rsidRPr="003F46ED" w14:paraId="12683D96" w14:textId="77777777" w:rsidTr="006C1E78">
        <w:trPr>
          <w:cantSplit/>
        </w:trPr>
        <w:tc>
          <w:tcPr>
            <w:tcW w:w="578" w:type="pct"/>
          </w:tcPr>
          <w:p w14:paraId="3EFD3238" w14:textId="77777777" w:rsidR="000A175B" w:rsidRPr="003F46ED" w:rsidRDefault="000A175B" w:rsidP="00B30583">
            <w:r w:rsidRPr="003F46ED">
              <w:lastRenderedPageBreak/>
              <w:t xml:space="preserve">New South Wales </w:t>
            </w:r>
          </w:p>
          <w:p w14:paraId="127C621E" w14:textId="77777777" w:rsidR="000A175B" w:rsidRPr="003F46ED" w:rsidRDefault="000A175B" w:rsidP="00B30583"/>
        </w:tc>
        <w:tc>
          <w:tcPr>
            <w:tcW w:w="1670" w:type="pct"/>
          </w:tcPr>
          <w:p w14:paraId="48CCCF39" w14:textId="77777777" w:rsidR="000A175B" w:rsidRPr="003F46ED" w:rsidRDefault="000A175B" w:rsidP="00B30583">
            <w:r w:rsidRPr="003F46ED">
              <w:t>Board of Studies, Teaching and Educational Standards NSW</w:t>
            </w:r>
          </w:p>
          <w:p w14:paraId="74368BA1" w14:textId="77777777" w:rsidR="000A175B" w:rsidRPr="003F46ED" w:rsidRDefault="000A175B" w:rsidP="00B30583">
            <w:r w:rsidRPr="003F46ED">
              <w:t>High School Certificate (HSC)</w:t>
            </w:r>
          </w:p>
          <w:p w14:paraId="6B979C17" w14:textId="77777777" w:rsidR="000A175B" w:rsidRPr="003F46ED" w:rsidRDefault="000A175B" w:rsidP="00B30583">
            <w:r w:rsidRPr="003F46ED">
              <w:t>Minimum 22 units: 12 Preliminary (Year 11) and 10 HSC (Year 12) units required (2 units of English in each)</w:t>
            </w:r>
          </w:p>
        </w:tc>
        <w:tc>
          <w:tcPr>
            <w:tcW w:w="491" w:type="pct"/>
          </w:tcPr>
          <w:p w14:paraId="324C2142" w14:textId="4AADCC39" w:rsidR="000A175B" w:rsidRPr="003F46ED" w:rsidRDefault="00844CAE" w:rsidP="00B30583">
            <w:r w:rsidRPr="003F46ED">
              <w:t>No</w:t>
            </w:r>
          </w:p>
        </w:tc>
        <w:tc>
          <w:tcPr>
            <w:tcW w:w="541" w:type="pct"/>
          </w:tcPr>
          <w:p w14:paraId="2DA4A10B" w14:textId="43FE75F9" w:rsidR="000A175B" w:rsidRPr="003F46ED" w:rsidRDefault="00844CAE" w:rsidP="00B30583">
            <w:r w:rsidRPr="003F46ED">
              <w:t>No</w:t>
            </w:r>
          </w:p>
        </w:tc>
        <w:tc>
          <w:tcPr>
            <w:tcW w:w="1720" w:type="pct"/>
          </w:tcPr>
          <w:p w14:paraId="1FC2E217" w14:textId="77777777" w:rsidR="000A175B" w:rsidRPr="003F46ED" w:rsidRDefault="000A175B" w:rsidP="00B30583">
            <w:r w:rsidRPr="003F46ED">
              <w:t>Dependent on application to individual institutions and specific courses, e.g. University of New South Wales offers up to 4 bonus points for languages, depending on HSC results</w:t>
            </w:r>
          </w:p>
        </w:tc>
      </w:tr>
      <w:tr w:rsidR="000A175B" w:rsidRPr="003F46ED" w14:paraId="56576B4F" w14:textId="77777777" w:rsidTr="006C1E78">
        <w:trPr>
          <w:cantSplit/>
        </w:trPr>
        <w:tc>
          <w:tcPr>
            <w:tcW w:w="578" w:type="pct"/>
          </w:tcPr>
          <w:p w14:paraId="440F63EE" w14:textId="77777777" w:rsidR="000A175B" w:rsidRPr="003F46ED" w:rsidRDefault="000A175B" w:rsidP="00B30583">
            <w:r w:rsidRPr="003F46ED">
              <w:t>Northern Territory</w:t>
            </w:r>
          </w:p>
          <w:p w14:paraId="1D798365" w14:textId="77777777" w:rsidR="000A175B" w:rsidRPr="003F46ED" w:rsidRDefault="000A175B" w:rsidP="00B30583"/>
        </w:tc>
        <w:tc>
          <w:tcPr>
            <w:tcW w:w="1670" w:type="pct"/>
          </w:tcPr>
          <w:p w14:paraId="59B27CAD" w14:textId="77777777" w:rsidR="000A175B" w:rsidRPr="003F46ED" w:rsidRDefault="000A175B" w:rsidP="00B30583">
            <w:r w:rsidRPr="003F46ED">
              <w:t>NT Certificate of Education and Training (</w:t>
            </w:r>
            <w:proofErr w:type="spellStart"/>
            <w:r w:rsidRPr="003F46ED">
              <w:t>NTCET</w:t>
            </w:r>
            <w:proofErr w:type="spellEnd"/>
            <w:r w:rsidRPr="003F46ED">
              <w:t xml:space="preserve">) (Administered by </w:t>
            </w:r>
            <w:proofErr w:type="spellStart"/>
            <w:r w:rsidRPr="003F46ED">
              <w:t>SACE</w:t>
            </w:r>
            <w:proofErr w:type="spellEnd"/>
            <w:r w:rsidRPr="003F46ED">
              <w:t xml:space="preserve"> Board of SA) </w:t>
            </w:r>
          </w:p>
          <w:p w14:paraId="2F65E186" w14:textId="77777777" w:rsidR="000A175B" w:rsidRPr="003F46ED" w:rsidRDefault="000A175B" w:rsidP="00B30583">
            <w:r w:rsidRPr="003F46ED">
              <w:t>90 credits required (one year of study is equal to 20 credits)</w:t>
            </w:r>
          </w:p>
        </w:tc>
        <w:tc>
          <w:tcPr>
            <w:tcW w:w="491" w:type="pct"/>
          </w:tcPr>
          <w:p w14:paraId="7289A200" w14:textId="77BE3F88" w:rsidR="000A175B" w:rsidRPr="003F46ED" w:rsidRDefault="00844CAE" w:rsidP="00B30583">
            <w:r w:rsidRPr="003F46ED">
              <w:t>No</w:t>
            </w:r>
          </w:p>
        </w:tc>
        <w:tc>
          <w:tcPr>
            <w:tcW w:w="541" w:type="pct"/>
          </w:tcPr>
          <w:p w14:paraId="2518CF6A" w14:textId="60B8B271" w:rsidR="000A175B" w:rsidRPr="003F46ED" w:rsidRDefault="00844CAE" w:rsidP="00B30583">
            <w:r w:rsidRPr="003F46ED">
              <w:t>No</w:t>
            </w:r>
          </w:p>
        </w:tc>
        <w:tc>
          <w:tcPr>
            <w:tcW w:w="1720" w:type="pct"/>
          </w:tcPr>
          <w:p w14:paraId="43D9E143" w14:textId="77777777" w:rsidR="000A175B" w:rsidRPr="003F46ED" w:rsidRDefault="000A175B" w:rsidP="00B30583">
            <w:r w:rsidRPr="003F46ED">
              <w:t>The Universities’ Language, Literacy and Mathematics Bonus Scheme (recognised by all three universities in SA) awards students up to two points for successfully completing a subject in:</w:t>
            </w:r>
          </w:p>
          <w:p w14:paraId="18A39352" w14:textId="77777777" w:rsidR="000A175B" w:rsidRPr="003F46ED" w:rsidRDefault="000A175B" w:rsidP="00B30583">
            <w:r w:rsidRPr="003F46ED">
              <w:t xml:space="preserve">20 credits of a </w:t>
            </w:r>
            <w:proofErr w:type="spellStart"/>
            <w:r w:rsidRPr="003F46ED">
              <w:t>LOTE</w:t>
            </w:r>
            <w:proofErr w:type="spellEnd"/>
            <w:r w:rsidRPr="003F46ED">
              <w:t xml:space="preserve"> in the Languages Learning Area.</w:t>
            </w:r>
          </w:p>
        </w:tc>
      </w:tr>
      <w:tr w:rsidR="000A175B" w:rsidRPr="003F46ED" w14:paraId="06087EBA" w14:textId="77777777" w:rsidTr="006C1E78">
        <w:trPr>
          <w:cantSplit/>
        </w:trPr>
        <w:tc>
          <w:tcPr>
            <w:tcW w:w="578" w:type="pct"/>
          </w:tcPr>
          <w:p w14:paraId="72BC8A37" w14:textId="77777777" w:rsidR="000A175B" w:rsidRPr="003F46ED" w:rsidRDefault="000A175B" w:rsidP="00B30583">
            <w:r w:rsidRPr="003F46ED">
              <w:t>Queensland</w:t>
            </w:r>
          </w:p>
          <w:p w14:paraId="460F5BFD" w14:textId="77777777" w:rsidR="000A175B" w:rsidRPr="003F46ED" w:rsidRDefault="000A175B" w:rsidP="00B30583"/>
        </w:tc>
        <w:tc>
          <w:tcPr>
            <w:tcW w:w="1670" w:type="pct"/>
          </w:tcPr>
          <w:p w14:paraId="5648C410" w14:textId="77777777" w:rsidR="000A175B" w:rsidRPr="003F46ED" w:rsidRDefault="000A175B" w:rsidP="00B30583">
            <w:r w:rsidRPr="003F46ED">
              <w:t>Queensland Curriculum and Assessment Authority</w:t>
            </w:r>
          </w:p>
          <w:p w14:paraId="40967AC5" w14:textId="77777777" w:rsidR="000A175B" w:rsidRPr="003F46ED" w:rsidRDefault="000A175B" w:rsidP="00B30583">
            <w:r w:rsidRPr="003F46ED">
              <w:t>Queensland Certificate of Education (</w:t>
            </w:r>
            <w:proofErr w:type="spellStart"/>
            <w:r w:rsidRPr="003F46ED">
              <w:t>QCE</w:t>
            </w:r>
            <w:proofErr w:type="spellEnd"/>
            <w:r w:rsidRPr="003F46ED">
              <w:t>)</w:t>
            </w:r>
          </w:p>
          <w:p w14:paraId="67F0B30D" w14:textId="77777777" w:rsidR="000A175B" w:rsidRPr="003F46ED" w:rsidRDefault="000A175B" w:rsidP="00B30583">
            <w:r w:rsidRPr="003F46ED">
              <w:t>20 credits required with at least 12 from Core courses</w:t>
            </w:r>
          </w:p>
        </w:tc>
        <w:tc>
          <w:tcPr>
            <w:tcW w:w="491" w:type="pct"/>
          </w:tcPr>
          <w:p w14:paraId="1811F19C" w14:textId="7EAD9D80" w:rsidR="000A175B" w:rsidRPr="003F46ED" w:rsidRDefault="00844CAE" w:rsidP="00B30583">
            <w:r w:rsidRPr="003F46ED">
              <w:t>No</w:t>
            </w:r>
          </w:p>
        </w:tc>
        <w:tc>
          <w:tcPr>
            <w:tcW w:w="541" w:type="pct"/>
          </w:tcPr>
          <w:p w14:paraId="036EB921" w14:textId="0286EA56" w:rsidR="000A175B" w:rsidRPr="003F46ED" w:rsidRDefault="00844CAE" w:rsidP="00B30583">
            <w:r w:rsidRPr="003F46ED">
              <w:t>No</w:t>
            </w:r>
          </w:p>
        </w:tc>
        <w:tc>
          <w:tcPr>
            <w:tcW w:w="1720" w:type="pct"/>
          </w:tcPr>
          <w:p w14:paraId="49C0D718" w14:textId="77777777" w:rsidR="000A175B" w:rsidRPr="003F46ED" w:rsidRDefault="000A175B" w:rsidP="00B30583">
            <w:proofErr w:type="spellStart"/>
            <w:r w:rsidRPr="003F46ED">
              <w:t>QTAC</w:t>
            </w:r>
            <w:proofErr w:type="spellEnd"/>
            <w:r w:rsidRPr="003F46ED">
              <w:t xml:space="preserve"> converts Year 12 results to entry rank and applies 2 bonus points for languages</w:t>
            </w:r>
          </w:p>
        </w:tc>
      </w:tr>
      <w:tr w:rsidR="000A175B" w:rsidRPr="003F46ED" w14:paraId="11FFE925" w14:textId="77777777" w:rsidTr="006C1E78">
        <w:trPr>
          <w:cantSplit/>
        </w:trPr>
        <w:tc>
          <w:tcPr>
            <w:tcW w:w="578" w:type="pct"/>
          </w:tcPr>
          <w:p w14:paraId="32BB7AC5" w14:textId="77777777" w:rsidR="007B1D45" w:rsidRPr="003F46ED" w:rsidRDefault="000A175B" w:rsidP="00B30583">
            <w:r w:rsidRPr="003F46ED">
              <w:t>South Australia</w:t>
            </w:r>
          </w:p>
          <w:p w14:paraId="76C6AF3E" w14:textId="15B097C7" w:rsidR="000A175B" w:rsidRPr="003F46ED" w:rsidRDefault="000A175B" w:rsidP="00B30583"/>
        </w:tc>
        <w:tc>
          <w:tcPr>
            <w:tcW w:w="1670" w:type="pct"/>
          </w:tcPr>
          <w:p w14:paraId="3F3DD662" w14:textId="77777777" w:rsidR="000A175B" w:rsidRPr="003F46ED" w:rsidRDefault="000A175B" w:rsidP="00B30583">
            <w:proofErr w:type="spellStart"/>
            <w:r w:rsidRPr="003F46ED">
              <w:t>SACE</w:t>
            </w:r>
            <w:proofErr w:type="spellEnd"/>
            <w:r w:rsidRPr="003F46ED">
              <w:t xml:space="preserve"> Board of SA</w:t>
            </w:r>
          </w:p>
          <w:p w14:paraId="42565288" w14:textId="77777777" w:rsidR="000A175B" w:rsidRPr="003F46ED" w:rsidRDefault="000A175B" w:rsidP="00B30583">
            <w:r w:rsidRPr="003F46ED">
              <w:t>South Australian Certificate of Education (</w:t>
            </w:r>
            <w:proofErr w:type="spellStart"/>
            <w:r w:rsidRPr="003F46ED">
              <w:t>SACE</w:t>
            </w:r>
            <w:proofErr w:type="spellEnd"/>
            <w:r w:rsidRPr="003F46ED">
              <w:t>)</w:t>
            </w:r>
          </w:p>
          <w:p w14:paraId="04A8F896" w14:textId="77777777" w:rsidR="000A175B" w:rsidRPr="003F46ED" w:rsidRDefault="000A175B" w:rsidP="00B30583">
            <w:r w:rsidRPr="003F46ED">
              <w:t xml:space="preserve">Minimum 60 Stage 2 credits, plus ten Stage 2 credits for mandatory Research project subject </w:t>
            </w:r>
          </w:p>
        </w:tc>
        <w:tc>
          <w:tcPr>
            <w:tcW w:w="491" w:type="pct"/>
          </w:tcPr>
          <w:p w14:paraId="6155496A" w14:textId="20C3E496" w:rsidR="000A175B" w:rsidRPr="003F46ED" w:rsidRDefault="00844CAE" w:rsidP="006C1E78">
            <w:r w:rsidRPr="003F46ED">
              <w:t>No</w:t>
            </w:r>
          </w:p>
        </w:tc>
        <w:tc>
          <w:tcPr>
            <w:tcW w:w="541" w:type="pct"/>
          </w:tcPr>
          <w:p w14:paraId="1FEE46D2" w14:textId="3A603D3A" w:rsidR="000A175B" w:rsidRPr="003F46ED" w:rsidRDefault="00844CAE" w:rsidP="00B30583">
            <w:r w:rsidRPr="003F46ED">
              <w:t>No</w:t>
            </w:r>
          </w:p>
        </w:tc>
        <w:tc>
          <w:tcPr>
            <w:tcW w:w="1720" w:type="pct"/>
          </w:tcPr>
          <w:p w14:paraId="131F9B91" w14:textId="77777777" w:rsidR="000A175B" w:rsidRPr="003F46ED" w:rsidRDefault="000A175B" w:rsidP="00B30583">
            <w:r w:rsidRPr="003F46ED">
              <w:t>Between 2-4 points for languages, recognised by three universities in SA</w:t>
            </w:r>
          </w:p>
          <w:p w14:paraId="3E9FC2C6" w14:textId="77777777" w:rsidR="000A175B" w:rsidRPr="003F46ED" w:rsidRDefault="000A175B" w:rsidP="00B30583"/>
        </w:tc>
      </w:tr>
      <w:tr w:rsidR="000A175B" w:rsidRPr="003F46ED" w14:paraId="331C81FD" w14:textId="77777777" w:rsidTr="006C1E78">
        <w:trPr>
          <w:cantSplit/>
        </w:trPr>
        <w:tc>
          <w:tcPr>
            <w:tcW w:w="578" w:type="pct"/>
          </w:tcPr>
          <w:p w14:paraId="219FE14C" w14:textId="77777777" w:rsidR="000A175B" w:rsidRPr="003F46ED" w:rsidRDefault="000A175B" w:rsidP="00B30583">
            <w:r w:rsidRPr="003F46ED">
              <w:lastRenderedPageBreak/>
              <w:t>Tasmania</w:t>
            </w:r>
          </w:p>
          <w:p w14:paraId="0D92E493" w14:textId="77777777" w:rsidR="000A175B" w:rsidRPr="003F46ED" w:rsidRDefault="000A175B" w:rsidP="00B30583"/>
        </w:tc>
        <w:tc>
          <w:tcPr>
            <w:tcW w:w="1670" w:type="pct"/>
          </w:tcPr>
          <w:p w14:paraId="57578536" w14:textId="77777777" w:rsidR="000A175B" w:rsidRPr="003F46ED" w:rsidRDefault="000A175B" w:rsidP="00B30583">
            <w:r w:rsidRPr="003F46ED">
              <w:t>Office of Tasmanian Assessment,  Standards and Certification (</w:t>
            </w:r>
            <w:proofErr w:type="spellStart"/>
            <w:r w:rsidRPr="003F46ED">
              <w:t>TASC</w:t>
            </w:r>
            <w:proofErr w:type="spellEnd"/>
            <w:r w:rsidRPr="003F46ED">
              <w:t>)</w:t>
            </w:r>
          </w:p>
          <w:p w14:paraId="539E5018" w14:textId="77777777" w:rsidR="000A175B" w:rsidRPr="003F46ED" w:rsidRDefault="000A175B" w:rsidP="00B30583">
            <w:r w:rsidRPr="003F46ED">
              <w:t>Tasmanian Certificate of Education (</w:t>
            </w:r>
            <w:proofErr w:type="spellStart"/>
            <w:r w:rsidRPr="003F46ED">
              <w:t>TCE</w:t>
            </w:r>
            <w:proofErr w:type="spellEnd"/>
            <w:r w:rsidRPr="003F46ED">
              <w:t>)</w:t>
            </w:r>
          </w:p>
          <w:p w14:paraId="7B737CA3" w14:textId="77777777" w:rsidR="000A175B" w:rsidRPr="003F46ED" w:rsidRDefault="000A175B" w:rsidP="00B30583">
            <w:r w:rsidRPr="003F46ED">
              <w:t>Must meet five required standards</w:t>
            </w:r>
          </w:p>
        </w:tc>
        <w:tc>
          <w:tcPr>
            <w:tcW w:w="491" w:type="pct"/>
          </w:tcPr>
          <w:p w14:paraId="188163D7" w14:textId="064C2F08" w:rsidR="000A175B" w:rsidRPr="003F46ED" w:rsidRDefault="00844CAE" w:rsidP="00B30583">
            <w:r w:rsidRPr="003F46ED">
              <w:t>No</w:t>
            </w:r>
          </w:p>
        </w:tc>
        <w:tc>
          <w:tcPr>
            <w:tcW w:w="541" w:type="pct"/>
          </w:tcPr>
          <w:p w14:paraId="36DFF4DD" w14:textId="4284E29E" w:rsidR="000A175B" w:rsidRPr="003F46ED" w:rsidRDefault="00844CAE" w:rsidP="00B30583">
            <w:r w:rsidRPr="003F46ED">
              <w:t>No</w:t>
            </w:r>
          </w:p>
        </w:tc>
        <w:tc>
          <w:tcPr>
            <w:tcW w:w="1720" w:type="pct"/>
          </w:tcPr>
          <w:p w14:paraId="48C1A03F" w14:textId="77777777" w:rsidR="000A175B" w:rsidRPr="003F46ED" w:rsidRDefault="000A175B" w:rsidP="00B30583">
            <w:r w:rsidRPr="003F46ED">
              <w:t xml:space="preserve">Two bonus points for languages, recognised by the University of Tasmania only, for </w:t>
            </w:r>
            <w:proofErr w:type="spellStart"/>
            <w:r w:rsidRPr="003F46ED">
              <w:t>UTAS</w:t>
            </w:r>
            <w:proofErr w:type="spellEnd"/>
            <w:r w:rsidRPr="003F46ED">
              <w:t xml:space="preserve"> entrance purposes</w:t>
            </w:r>
          </w:p>
          <w:p w14:paraId="472D622F" w14:textId="77777777" w:rsidR="000A175B" w:rsidRPr="003F46ED" w:rsidRDefault="000A175B" w:rsidP="00B30583"/>
        </w:tc>
      </w:tr>
      <w:tr w:rsidR="000A175B" w:rsidRPr="003F46ED" w14:paraId="5D55E791" w14:textId="77777777" w:rsidTr="006C1E78">
        <w:trPr>
          <w:cantSplit/>
        </w:trPr>
        <w:tc>
          <w:tcPr>
            <w:tcW w:w="578" w:type="pct"/>
          </w:tcPr>
          <w:p w14:paraId="67B38360" w14:textId="77777777" w:rsidR="000A175B" w:rsidRPr="003F46ED" w:rsidRDefault="000A175B" w:rsidP="006C1E78">
            <w:r w:rsidRPr="003F46ED">
              <w:t xml:space="preserve">Victoria </w:t>
            </w:r>
          </w:p>
          <w:p w14:paraId="6CC3EA1D" w14:textId="77777777" w:rsidR="000A175B" w:rsidRPr="003F46ED" w:rsidRDefault="000A175B" w:rsidP="00B30583"/>
        </w:tc>
        <w:tc>
          <w:tcPr>
            <w:tcW w:w="1670" w:type="pct"/>
          </w:tcPr>
          <w:p w14:paraId="32F95E7C" w14:textId="77777777" w:rsidR="000A175B" w:rsidRPr="003F46ED" w:rsidRDefault="000A175B" w:rsidP="00B30583">
            <w:r w:rsidRPr="003F46ED">
              <w:t>Victorian Curriculum and Assessment Authority</w:t>
            </w:r>
          </w:p>
          <w:p w14:paraId="23AA8FF1" w14:textId="77777777" w:rsidR="000A175B" w:rsidRPr="003F46ED" w:rsidRDefault="000A175B" w:rsidP="00B30583">
            <w:r w:rsidRPr="003F46ED">
              <w:t>Victorian Certificate of Education (</w:t>
            </w:r>
            <w:proofErr w:type="spellStart"/>
            <w:r w:rsidRPr="003F46ED">
              <w:t>VCE</w:t>
            </w:r>
            <w:proofErr w:type="spellEnd"/>
            <w:r w:rsidRPr="003F46ED">
              <w:t>)</w:t>
            </w:r>
          </w:p>
          <w:p w14:paraId="6160E2AC" w14:textId="77777777" w:rsidR="000A175B" w:rsidRPr="003F46ED" w:rsidRDefault="000A175B" w:rsidP="00B30583">
            <w:r w:rsidRPr="003F46ED">
              <w:t>Minimum 16 units required (3 units of English)</w:t>
            </w:r>
          </w:p>
          <w:p w14:paraId="5CE4BD52" w14:textId="77777777" w:rsidR="000A175B" w:rsidRPr="003F46ED" w:rsidRDefault="000A175B" w:rsidP="00B30583"/>
        </w:tc>
        <w:tc>
          <w:tcPr>
            <w:tcW w:w="491" w:type="pct"/>
          </w:tcPr>
          <w:p w14:paraId="4E3FCEA7" w14:textId="54A04955" w:rsidR="000A175B" w:rsidRPr="003F46ED" w:rsidRDefault="00844CAE" w:rsidP="00B30583">
            <w:r w:rsidRPr="003F46ED">
              <w:t>No</w:t>
            </w:r>
          </w:p>
        </w:tc>
        <w:tc>
          <w:tcPr>
            <w:tcW w:w="541" w:type="pct"/>
          </w:tcPr>
          <w:p w14:paraId="00E7AAAC" w14:textId="025E8684" w:rsidR="000A175B" w:rsidRPr="003F46ED" w:rsidRDefault="00844CAE" w:rsidP="00B30583">
            <w:r w:rsidRPr="003F46ED">
              <w:t>No</w:t>
            </w:r>
          </w:p>
        </w:tc>
        <w:tc>
          <w:tcPr>
            <w:tcW w:w="1720" w:type="pct"/>
          </w:tcPr>
          <w:p w14:paraId="528B3F55" w14:textId="77777777" w:rsidR="000A175B" w:rsidRPr="003F46ED" w:rsidRDefault="000A175B" w:rsidP="00B30583">
            <w:r w:rsidRPr="003F46ED">
              <w:t xml:space="preserve">Language is adjusted up by adding five to the initial </w:t>
            </w:r>
            <w:proofErr w:type="spellStart"/>
            <w:r w:rsidRPr="003F46ED">
              <w:t>VTAC</w:t>
            </w:r>
            <w:proofErr w:type="spellEnd"/>
            <w:r w:rsidRPr="003F46ED">
              <w:t xml:space="preserve"> Scaled Study Score average. All students of a Language receive an adjustment, but it is not a uniform adjustment.</w:t>
            </w:r>
          </w:p>
          <w:p w14:paraId="43097838" w14:textId="77777777" w:rsidR="000A175B" w:rsidRPr="003F46ED" w:rsidRDefault="000A175B" w:rsidP="00B30583">
            <w:pPr>
              <w:rPr>
                <w:color w:val="1F497D"/>
                <w:szCs w:val="22"/>
              </w:rPr>
            </w:pPr>
            <w:proofErr w:type="spellStart"/>
            <w:r w:rsidRPr="003F46ED">
              <w:t>ATAR</w:t>
            </w:r>
            <w:proofErr w:type="spellEnd"/>
            <w:r w:rsidRPr="003F46ED">
              <w:t xml:space="preserve"> calculation includes 10 per cent of the fifth and sixth permissible scores (subjects) available for a student.</w:t>
            </w:r>
          </w:p>
        </w:tc>
      </w:tr>
      <w:tr w:rsidR="000A175B" w:rsidRPr="003F46ED" w14:paraId="68D7CB12" w14:textId="77777777" w:rsidTr="006C1E78">
        <w:trPr>
          <w:cantSplit/>
        </w:trPr>
        <w:tc>
          <w:tcPr>
            <w:tcW w:w="578" w:type="pct"/>
          </w:tcPr>
          <w:p w14:paraId="43A17CBE" w14:textId="77777777" w:rsidR="000A175B" w:rsidRPr="003F46ED" w:rsidRDefault="000A175B" w:rsidP="00B30583">
            <w:r w:rsidRPr="003F46ED">
              <w:t>Western Australia</w:t>
            </w:r>
          </w:p>
          <w:p w14:paraId="253B6169" w14:textId="77777777" w:rsidR="000A175B" w:rsidRPr="003F46ED" w:rsidRDefault="000A175B" w:rsidP="00B30583"/>
        </w:tc>
        <w:tc>
          <w:tcPr>
            <w:tcW w:w="1670" w:type="pct"/>
          </w:tcPr>
          <w:p w14:paraId="7214D18F" w14:textId="77777777" w:rsidR="000A175B" w:rsidRPr="003F46ED" w:rsidRDefault="000A175B" w:rsidP="00B30583">
            <w:r w:rsidRPr="003F46ED">
              <w:t>School Curriculum and Standards Authority</w:t>
            </w:r>
          </w:p>
          <w:p w14:paraId="23B841AE" w14:textId="77777777" w:rsidR="000A175B" w:rsidRPr="003F46ED" w:rsidRDefault="000A175B" w:rsidP="00B30583">
            <w:r w:rsidRPr="003F46ED">
              <w:t>Western Australian Certificate of Education (WACE)</w:t>
            </w:r>
          </w:p>
          <w:p w14:paraId="6EBC64E2" w14:textId="77777777" w:rsidR="000A175B" w:rsidRPr="003F46ED" w:rsidRDefault="000A175B" w:rsidP="00B30583">
            <w:r w:rsidRPr="003F46ED">
              <w:t>Four subjects required</w:t>
            </w:r>
          </w:p>
        </w:tc>
        <w:tc>
          <w:tcPr>
            <w:tcW w:w="491" w:type="pct"/>
          </w:tcPr>
          <w:p w14:paraId="4C77268A" w14:textId="650C8CC2" w:rsidR="000A175B" w:rsidRPr="003F46ED" w:rsidRDefault="00844CAE" w:rsidP="00B30583">
            <w:r w:rsidRPr="003F46ED">
              <w:t>No</w:t>
            </w:r>
          </w:p>
        </w:tc>
        <w:tc>
          <w:tcPr>
            <w:tcW w:w="541" w:type="pct"/>
          </w:tcPr>
          <w:p w14:paraId="120E6077" w14:textId="42354A37" w:rsidR="000A175B" w:rsidRPr="003F46ED" w:rsidRDefault="00844CAE" w:rsidP="00B30583">
            <w:r w:rsidRPr="003F46ED">
              <w:t>No</w:t>
            </w:r>
          </w:p>
        </w:tc>
        <w:tc>
          <w:tcPr>
            <w:tcW w:w="1720" w:type="pct"/>
          </w:tcPr>
          <w:p w14:paraId="4C977106" w14:textId="77777777" w:rsidR="000A175B" w:rsidRPr="003F46ED" w:rsidRDefault="000A175B" w:rsidP="00B30583">
            <w:proofErr w:type="spellStart"/>
            <w:r w:rsidRPr="003F46ED">
              <w:t>LOTE</w:t>
            </w:r>
            <w:proofErr w:type="spellEnd"/>
            <w:r w:rsidRPr="003F46ED">
              <w:t xml:space="preserve"> Bonus – 10% of the best language subject scaled score added to the student’s best four scaled scores (the language subject does not need to be one of the best four) for determining </w:t>
            </w:r>
            <w:proofErr w:type="spellStart"/>
            <w:r w:rsidRPr="003F46ED">
              <w:t>ATAR</w:t>
            </w:r>
            <w:proofErr w:type="spellEnd"/>
            <w:r w:rsidRPr="003F46ED">
              <w:t>.  Curtin University Edith Cowan University, Murdoch University and University of WA</w:t>
            </w:r>
          </w:p>
        </w:tc>
      </w:tr>
    </w:tbl>
    <w:p w14:paraId="58923E74" w14:textId="77777777" w:rsidR="007B1D45" w:rsidRPr="003F46ED" w:rsidRDefault="007B1D45" w:rsidP="00B30583">
      <w:bookmarkStart w:id="385" w:name="_GoBack"/>
      <w:bookmarkEnd w:id="385"/>
    </w:p>
    <w:p w14:paraId="0D9EA410" w14:textId="77777777" w:rsidR="00465273" w:rsidRPr="003F46ED" w:rsidRDefault="00465273" w:rsidP="00B30583">
      <w:pPr>
        <w:sectPr w:rsidR="00465273" w:rsidRPr="003F46ED" w:rsidSect="00665CB6">
          <w:headerReference w:type="first" r:id="rId29"/>
          <w:pgSz w:w="16840" w:h="11900" w:orient="landscape"/>
          <w:pgMar w:top="1134" w:right="1389" w:bottom="1134" w:left="1440" w:header="709" w:footer="709" w:gutter="0"/>
          <w:cols w:space="720"/>
          <w:docGrid w:linePitch="299"/>
        </w:sectPr>
      </w:pPr>
    </w:p>
    <w:p w14:paraId="2E3FBDCF" w14:textId="77777777" w:rsidR="007B1D45" w:rsidRPr="003F46ED" w:rsidRDefault="00544B13" w:rsidP="00B30583">
      <w:bookmarkStart w:id="386" w:name="_Toc402180600"/>
      <w:r w:rsidRPr="003F46ED">
        <w:lastRenderedPageBreak/>
        <w:t xml:space="preserve">As indicated in </w:t>
      </w:r>
      <w:r w:rsidR="000859C4" w:rsidRPr="003F46ED">
        <w:t xml:space="preserve">Table </w:t>
      </w:r>
      <w:r w:rsidR="001D5D18" w:rsidRPr="003F46ED">
        <w:t>3</w:t>
      </w:r>
      <w:r w:rsidR="000859C4" w:rsidRPr="003F46ED">
        <w:t>.4</w:t>
      </w:r>
      <w:r w:rsidRPr="003F46ED">
        <w:t xml:space="preserve">, </w:t>
      </w:r>
      <w:r w:rsidR="007207A5" w:rsidRPr="003F46ED">
        <w:t xml:space="preserve">each jurisdiction has its own senior secondary certification requirements. There are a limited number of mandatory subjects or areas of study (e.g. English </w:t>
      </w:r>
      <w:r w:rsidR="005559CC" w:rsidRPr="003F46ED">
        <w:t xml:space="preserve">and the research project in </w:t>
      </w:r>
      <w:r w:rsidR="00EB5C58" w:rsidRPr="003F46ED">
        <w:t>SA</w:t>
      </w:r>
      <w:r w:rsidR="000C1E9E" w:rsidRPr="003F46ED">
        <w:t>). T</w:t>
      </w:r>
      <w:r w:rsidR="007207A5" w:rsidRPr="003F46ED">
        <w:t>he study of a language in addition to English is optional in all cases.</w:t>
      </w:r>
      <w:bookmarkEnd w:id="386"/>
      <w:r w:rsidR="007207A5" w:rsidRPr="003F46ED">
        <w:t xml:space="preserve"> </w:t>
      </w:r>
    </w:p>
    <w:p w14:paraId="5D67E7EB" w14:textId="77777777" w:rsidR="007B1D45" w:rsidRPr="003F46ED" w:rsidRDefault="007207A5" w:rsidP="00B30583">
      <w:bookmarkStart w:id="387" w:name="_Toc402180601"/>
      <w:r w:rsidRPr="003F46ED">
        <w:t xml:space="preserve">While some tertiary institutions award </w:t>
      </w:r>
      <w:r w:rsidR="000F2E37" w:rsidRPr="003F46ED">
        <w:t>Australian Tertiary Admission Rank (</w:t>
      </w:r>
      <w:proofErr w:type="spellStart"/>
      <w:r w:rsidRPr="003F46ED">
        <w:t>ATAR</w:t>
      </w:r>
      <w:proofErr w:type="spellEnd"/>
      <w:r w:rsidR="000F2E37" w:rsidRPr="003F46ED">
        <w:t>)</w:t>
      </w:r>
      <w:r w:rsidRPr="003F46ED">
        <w:t xml:space="preserve"> bonus points for students who complete language study at Year 12, these vary from one institution to another</w:t>
      </w:r>
      <w:r w:rsidR="00831444" w:rsidRPr="003F46ED">
        <w:t>. S</w:t>
      </w:r>
      <w:r w:rsidRPr="003F46ED">
        <w:t xml:space="preserve">enior secondary language study is not a requirement for entry into any </w:t>
      </w:r>
      <w:r w:rsidR="00A25A31" w:rsidRPr="003F46ED">
        <w:t xml:space="preserve">tertiary </w:t>
      </w:r>
      <w:r w:rsidRPr="003F46ED">
        <w:t xml:space="preserve">institution or course. </w:t>
      </w:r>
      <w:r w:rsidR="00ED3177" w:rsidRPr="003F46ED">
        <w:t>P</w:t>
      </w:r>
      <w:r w:rsidR="007A110E" w:rsidRPr="003F46ED">
        <w:t xml:space="preserve">roviding students with </w:t>
      </w:r>
      <w:r w:rsidR="00ED3177" w:rsidRPr="003F46ED">
        <w:t xml:space="preserve">the </w:t>
      </w:r>
      <w:r w:rsidR="007A110E" w:rsidRPr="003F46ED">
        <w:t>freedom to choose subjec</w:t>
      </w:r>
      <w:r w:rsidR="00ED3177" w:rsidRPr="003F46ED">
        <w:t xml:space="preserve">ts that reflect their interests, </w:t>
      </w:r>
      <w:r w:rsidR="007A110E" w:rsidRPr="003F46ED">
        <w:t xml:space="preserve">preferences </w:t>
      </w:r>
      <w:r w:rsidR="00ED3177" w:rsidRPr="003F46ED">
        <w:t xml:space="preserve">and learning needs </w:t>
      </w:r>
      <w:r w:rsidR="007A110E" w:rsidRPr="003F46ED">
        <w:t>underpins course offerings at the senior secondary level across Australia</w:t>
      </w:r>
      <w:r w:rsidR="00ED3177" w:rsidRPr="003F46ED">
        <w:t>.</w:t>
      </w:r>
      <w:bookmarkEnd w:id="387"/>
    </w:p>
    <w:p w14:paraId="03EB4CE3" w14:textId="77777777" w:rsidR="007B1D45" w:rsidRPr="003F46ED" w:rsidRDefault="007207A5" w:rsidP="00B30583">
      <w:bookmarkStart w:id="388" w:name="_Toc402180602"/>
      <w:r w:rsidRPr="003F46ED">
        <w:t>The addition of bonus points may be carried out automatically by the state/territory tertiary admissions authority</w:t>
      </w:r>
      <w:r w:rsidR="008F0A7E" w:rsidRPr="003F46ED">
        <w:t>,</w:t>
      </w:r>
      <w:r w:rsidRPr="003F46ED">
        <w:t xml:space="preserve"> applied automatically (e.g. University of Adelaide) or at the discretion of individual universities (e.g. </w:t>
      </w:r>
      <w:r w:rsidR="000973CA" w:rsidRPr="003F46ED">
        <w:t xml:space="preserve">The </w:t>
      </w:r>
      <w:r w:rsidRPr="003F46ED">
        <w:t xml:space="preserve">University of Melbourne). It is unclear whether bonus points act as an incentive to study, or a reward for having studied, languages. An incentive is used to build student demand, while a reward would apply to students who are already committed to language learning. The student survey </w:t>
      </w:r>
      <w:r w:rsidR="00085CFB" w:rsidRPr="003F46ED">
        <w:t>results</w:t>
      </w:r>
      <w:r w:rsidRPr="003F46ED">
        <w:t xml:space="preserve"> suggest that both </w:t>
      </w:r>
      <w:r w:rsidR="001D5D18" w:rsidRPr="003F46ED">
        <w:t xml:space="preserve">scenarios </w:t>
      </w:r>
      <w:r w:rsidRPr="003F46ED">
        <w:t>are plausible</w:t>
      </w:r>
      <w:r w:rsidR="00482DB9" w:rsidRPr="003F46ED">
        <w:t>, depending on</w:t>
      </w:r>
      <w:r w:rsidRPr="003F46ED">
        <w:t xml:space="preserve"> the student (see Attachment 2).</w:t>
      </w:r>
      <w:bookmarkEnd w:id="388"/>
    </w:p>
    <w:p w14:paraId="693995B4" w14:textId="77777777" w:rsidR="007B1D45" w:rsidRPr="003F46ED" w:rsidRDefault="007207A5" w:rsidP="00B30583">
      <w:bookmarkStart w:id="389" w:name="_Toc402180603"/>
      <w:r w:rsidRPr="003F46ED">
        <w:t>Worth noting is the opportunity for students to be accelerated and/or extended in their senior secondary language learning. There are three main mechanisms: 1) advan</w:t>
      </w:r>
      <w:r w:rsidR="004D66B9" w:rsidRPr="003F46ED">
        <w:t>ced level courses</w:t>
      </w:r>
      <w:r w:rsidR="00101322" w:rsidRPr="003F46ED">
        <w:t xml:space="preserve"> </w:t>
      </w:r>
      <w:r w:rsidRPr="003F46ED">
        <w:t>enable students to gain further un</w:t>
      </w:r>
      <w:r w:rsidR="004D66B9" w:rsidRPr="003F46ED">
        <w:t>its in languages; 2) Beginners</w:t>
      </w:r>
      <w:r w:rsidRPr="003F46ED">
        <w:t xml:space="preserve"> courses in some jurisdictions are a form of accelerated language learning, similar to the </w:t>
      </w:r>
      <w:r w:rsidRPr="003F46ED">
        <w:rPr>
          <w:i/>
        </w:rPr>
        <w:t>ab initio</w:t>
      </w:r>
      <w:r w:rsidRPr="003F46ED">
        <w:t xml:space="preserve"> model in the International Baccalaureate Diploma; 3) some certificates (e.g. </w:t>
      </w:r>
      <w:proofErr w:type="spellStart"/>
      <w:r w:rsidRPr="003F46ED">
        <w:t>VCE</w:t>
      </w:r>
      <w:proofErr w:type="spellEnd"/>
      <w:r w:rsidRPr="003F46ED">
        <w:t>) are structured such that units may be take</w:t>
      </w:r>
      <w:r w:rsidR="00FD0AEC" w:rsidRPr="003F46ED">
        <w:t>n at Year 10 or even as early as</w:t>
      </w:r>
      <w:r w:rsidRPr="003F46ED">
        <w:t xml:space="preserve"> Year 9. While anecdotal evidence suggests that acceleration of this kind can support retention (de </w:t>
      </w:r>
      <w:proofErr w:type="spellStart"/>
      <w:r w:rsidRPr="003F46ED">
        <w:t>Kretser</w:t>
      </w:r>
      <w:proofErr w:type="spellEnd"/>
      <w:r w:rsidRPr="003F46ED">
        <w:t xml:space="preserve"> &amp; Spence-Br</w:t>
      </w:r>
      <w:r w:rsidR="006C405C" w:rsidRPr="003F46ED">
        <w:t>own, 2010), there are</w:t>
      </w:r>
      <w:r w:rsidR="00B30824" w:rsidRPr="003F46ED">
        <w:t xml:space="preserve"> no public</w:t>
      </w:r>
      <w:r w:rsidRPr="003F46ED">
        <w:t>ly available data on the numbers of students who do so. Such data would enable assessment of how certificate flexibility impacts on retention.</w:t>
      </w:r>
      <w:bookmarkEnd w:id="389"/>
    </w:p>
    <w:p w14:paraId="314C681F" w14:textId="77777777" w:rsidR="007B1D45" w:rsidRPr="003F46ED" w:rsidRDefault="007207A5" w:rsidP="00F536F8">
      <w:pPr>
        <w:pStyle w:val="Heading3"/>
      </w:pPr>
      <w:bookmarkStart w:id="390" w:name="_Toc402180604"/>
      <w:r w:rsidRPr="003F46ED">
        <w:t>Eligibility criteria and retention</w:t>
      </w:r>
      <w:bookmarkEnd w:id="390"/>
    </w:p>
    <w:p w14:paraId="3AD2B2BF" w14:textId="77777777" w:rsidR="007B1D45" w:rsidRPr="003F46ED" w:rsidRDefault="004A1E49" w:rsidP="00B30583">
      <w:bookmarkStart w:id="391" w:name="_Toc402180605"/>
      <w:r w:rsidRPr="003F46ED">
        <w:t>Discussions on eligibility are often framed in terms of enabling</w:t>
      </w:r>
      <w:r w:rsidR="00437249" w:rsidRPr="003F46ED">
        <w:t xml:space="preserve"> fair and</w:t>
      </w:r>
      <w:r w:rsidRPr="003F46ED">
        <w:t xml:space="preserve"> equitable access </w:t>
      </w:r>
      <w:r w:rsidR="00437249" w:rsidRPr="003F46ED">
        <w:t>to languages</w:t>
      </w:r>
      <w:r w:rsidRPr="003F46ED">
        <w:t xml:space="preserve"> for all types of language learners, thus leading to the eligibility criteria approach. This issue has been an area of research and debate for some time in Australia (see</w:t>
      </w:r>
      <w:r w:rsidR="00B13B1A" w:rsidRPr="003F46ED">
        <w:t>, for example,</w:t>
      </w:r>
      <w:r w:rsidRPr="003F46ED">
        <w:t xml:space="preserve"> </w:t>
      </w:r>
      <w:proofErr w:type="spellStart"/>
      <w:r w:rsidRPr="003F46ED">
        <w:t>Clyne</w:t>
      </w:r>
      <w:proofErr w:type="spellEnd"/>
      <w:r w:rsidRPr="003F46ED">
        <w:t xml:space="preserve"> et al., 1997, 2004; Elder, 1996, </w:t>
      </w:r>
      <w:proofErr w:type="spellStart"/>
      <w:r w:rsidRPr="003F46ED">
        <w:t>2000a</w:t>
      </w:r>
      <w:proofErr w:type="spellEnd"/>
      <w:r w:rsidRPr="003F46ED">
        <w:t xml:space="preserve">, </w:t>
      </w:r>
      <w:proofErr w:type="spellStart"/>
      <w:r w:rsidRPr="003F46ED">
        <w:t>2000b</w:t>
      </w:r>
      <w:proofErr w:type="spellEnd"/>
      <w:r w:rsidRPr="003F46ED">
        <w:t xml:space="preserve">; Orton 2008; </w:t>
      </w:r>
      <w:proofErr w:type="spellStart"/>
      <w:r w:rsidRPr="003F46ED">
        <w:t>Scarino</w:t>
      </w:r>
      <w:proofErr w:type="spellEnd"/>
      <w:r w:rsidRPr="003F46ED">
        <w:t xml:space="preserve"> et al., 2011).</w:t>
      </w:r>
      <w:bookmarkEnd w:id="391"/>
      <w:r w:rsidR="008D2C73" w:rsidRPr="003F46ED">
        <w:t xml:space="preserve"> </w:t>
      </w:r>
    </w:p>
    <w:p w14:paraId="38D0119A" w14:textId="77777777" w:rsidR="007B1D45" w:rsidRPr="003F46ED" w:rsidRDefault="00605FEE" w:rsidP="00B30583">
      <w:r w:rsidRPr="003F46ED">
        <w:t>An overview of the current courses and eligibility criteria in each state and territory is provided by Table 3.5.</w:t>
      </w:r>
    </w:p>
    <w:p w14:paraId="7A15A966" w14:textId="7D72D130" w:rsidR="00082693" w:rsidRPr="003F46ED" w:rsidRDefault="00082693" w:rsidP="00B30583">
      <w:pPr>
        <w:sectPr w:rsidR="00082693" w:rsidRPr="003F46ED" w:rsidSect="00665CB6">
          <w:pgSz w:w="11900" w:h="16840"/>
          <w:pgMar w:top="1985" w:right="1134" w:bottom="1440" w:left="1134" w:header="709" w:footer="709" w:gutter="0"/>
          <w:cols w:space="720"/>
          <w:docGrid w:linePitch="299"/>
        </w:sectPr>
      </w:pPr>
    </w:p>
    <w:p w14:paraId="6D1C206F" w14:textId="77777777" w:rsidR="007D0385" w:rsidRPr="00BF296E" w:rsidRDefault="007D0385" w:rsidP="00BA49C9">
      <w:pPr>
        <w:pStyle w:val="Caption"/>
        <w:rPr>
          <w:b/>
        </w:rPr>
      </w:pPr>
      <w:r w:rsidRPr="00BF296E">
        <w:rPr>
          <w:b/>
        </w:rPr>
        <w:lastRenderedPageBreak/>
        <w:t>Table 3.5: Current policies related to eligibility to study language courses at senior secondary</w:t>
      </w:r>
    </w:p>
    <w:tbl>
      <w:tblPr>
        <w:tblW w:w="145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35"/>
        <w:gridCol w:w="1703"/>
        <w:gridCol w:w="1410"/>
        <w:gridCol w:w="7"/>
        <w:gridCol w:w="3970"/>
        <w:gridCol w:w="5242"/>
      </w:tblGrid>
      <w:tr w:rsidR="007D0385" w:rsidRPr="004A3C15" w14:paraId="4AADA0CD" w14:textId="77777777" w:rsidTr="007D0385">
        <w:trPr>
          <w:cantSplit/>
          <w:tblHeader/>
        </w:trPr>
        <w:tc>
          <w:tcPr>
            <w:tcW w:w="2235" w:type="dxa"/>
            <w:shd w:val="clear" w:color="auto" w:fill="000000" w:themeFill="text1"/>
          </w:tcPr>
          <w:p w14:paraId="6B153137" w14:textId="77777777" w:rsidR="007D0385" w:rsidRPr="004A3C15" w:rsidRDefault="007D0385" w:rsidP="007D0385">
            <w:pPr>
              <w:spacing w:before="60" w:after="60"/>
              <w:jc w:val="center"/>
              <w:rPr>
                <w:b/>
                <w:color w:val="FFFFFF" w:themeColor="background1"/>
                <w:szCs w:val="20"/>
              </w:rPr>
            </w:pPr>
            <w:r w:rsidRPr="004A3C15">
              <w:rPr>
                <w:b/>
                <w:color w:val="FFFFFF" w:themeColor="background1"/>
                <w:szCs w:val="20"/>
              </w:rPr>
              <w:t>State/territory and Authority</w:t>
            </w:r>
          </w:p>
        </w:tc>
        <w:tc>
          <w:tcPr>
            <w:tcW w:w="1703" w:type="dxa"/>
            <w:shd w:val="clear" w:color="auto" w:fill="000000" w:themeFill="text1"/>
          </w:tcPr>
          <w:p w14:paraId="270E0497" w14:textId="77777777" w:rsidR="007D0385" w:rsidRPr="004A3C15" w:rsidRDefault="007D0385" w:rsidP="007D0385">
            <w:pPr>
              <w:spacing w:before="60" w:after="60"/>
              <w:jc w:val="center"/>
              <w:rPr>
                <w:b/>
                <w:color w:val="FFFFFF" w:themeColor="background1"/>
                <w:szCs w:val="20"/>
              </w:rPr>
            </w:pPr>
            <w:r w:rsidRPr="004A3C15">
              <w:rPr>
                <w:b/>
                <w:color w:val="FFFFFF" w:themeColor="background1"/>
                <w:szCs w:val="20"/>
              </w:rPr>
              <w:t>Course</w:t>
            </w:r>
          </w:p>
        </w:tc>
        <w:tc>
          <w:tcPr>
            <w:tcW w:w="1417" w:type="dxa"/>
            <w:gridSpan w:val="2"/>
            <w:shd w:val="clear" w:color="auto" w:fill="000000" w:themeFill="text1"/>
          </w:tcPr>
          <w:p w14:paraId="5FD2E733" w14:textId="77777777" w:rsidR="007D0385" w:rsidRPr="004A3C15" w:rsidRDefault="007D0385" w:rsidP="007D0385">
            <w:pPr>
              <w:spacing w:before="60" w:after="60"/>
              <w:jc w:val="center"/>
              <w:rPr>
                <w:b/>
                <w:color w:val="FFFFFF" w:themeColor="background1"/>
                <w:szCs w:val="20"/>
              </w:rPr>
            </w:pPr>
            <w:r w:rsidRPr="004A3C15">
              <w:rPr>
                <w:b/>
                <w:color w:val="FFFFFF" w:themeColor="background1"/>
                <w:szCs w:val="20"/>
              </w:rPr>
              <w:t>Language/s</w:t>
            </w:r>
          </w:p>
        </w:tc>
        <w:tc>
          <w:tcPr>
            <w:tcW w:w="3970" w:type="dxa"/>
            <w:shd w:val="clear" w:color="auto" w:fill="000000" w:themeFill="text1"/>
          </w:tcPr>
          <w:p w14:paraId="38FC8145" w14:textId="77777777" w:rsidR="007D0385" w:rsidRPr="004A3C15" w:rsidRDefault="007D0385" w:rsidP="007D0385">
            <w:pPr>
              <w:spacing w:before="60" w:after="60"/>
              <w:jc w:val="center"/>
              <w:rPr>
                <w:b/>
                <w:color w:val="FFFFFF" w:themeColor="background1"/>
                <w:szCs w:val="20"/>
              </w:rPr>
            </w:pPr>
            <w:r w:rsidRPr="004A3C15">
              <w:rPr>
                <w:b/>
                <w:color w:val="FFFFFF" w:themeColor="background1"/>
                <w:szCs w:val="20"/>
              </w:rPr>
              <w:t>Cohort</w:t>
            </w:r>
          </w:p>
        </w:tc>
        <w:tc>
          <w:tcPr>
            <w:tcW w:w="5242" w:type="dxa"/>
            <w:shd w:val="clear" w:color="auto" w:fill="000000" w:themeFill="text1"/>
          </w:tcPr>
          <w:p w14:paraId="49F80391" w14:textId="77777777" w:rsidR="007D0385" w:rsidRPr="004A3C15" w:rsidRDefault="007D0385" w:rsidP="007D0385">
            <w:pPr>
              <w:spacing w:before="60" w:after="60"/>
              <w:jc w:val="center"/>
              <w:rPr>
                <w:b/>
                <w:color w:val="FFFFFF" w:themeColor="background1"/>
                <w:szCs w:val="20"/>
              </w:rPr>
            </w:pPr>
            <w:r w:rsidRPr="004A3C15">
              <w:rPr>
                <w:b/>
                <w:color w:val="FFFFFF" w:themeColor="background1"/>
                <w:szCs w:val="20"/>
              </w:rPr>
              <w:t>Criteria</w:t>
            </w:r>
          </w:p>
        </w:tc>
      </w:tr>
      <w:tr w:rsidR="007D0385" w:rsidRPr="004A3C15" w14:paraId="7EDF917A" w14:textId="77777777" w:rsidTr="007D0385">
        <w:trPr>
          <w:cantSplit/>
        </w:trPr>
        <w:tc>
          <w:tcPr>
            <w:tcW w:w="2235" w:type="dxa"/>
          </w:tcPr>
          <w:p w14:paraId="01FEAB1F" w14:textId="77777777" w:rsidR="007D0385" w:rsidRPr="004A3C15" w:rsidRDefault="007D0385" w:rsidP="007D0385">
            <w:pPr>
              <w:widowControl w:val="0"/>
              <w:autoSpaceDE w:val="0"/>
              <w:autoSpaceDN w:val="0"/>
              <w:adjustRightInd w:val="0"/>
              <w:spacing w:before="60" w:after="60"/>
              <w:rPr>
                <w:b/>
                <w:sz w:val="20"/>
                <w:szCs w:val="20"/>
              </w:rPr>
            </w:pPr>
            <w:r w:rsidRPr="004A3C15">
              <w:rPr>
                <w:b/>
                <w:sz w:val="20"/>
                <w:szCs w:val="20"/>
              </w:rPr>
              <w:t>Australian Capital Territory</w:t>
            </w:r>
          </w:p>
          <w:p w14:paraId="21F78527" w14:textId="77777777" w:rsidR="007D0385" w:rsidRPr="004A3C15" w:rsidRDefault="007D0385" w:rsidP="007D0385">
            <w:pPr>
              <w:widowControl w:val="0"/>
              <w:autoSpaceDE w:val="0"/>
              <w:autoSpaceDN w:val="0"/>
              <w:adjustRightInd w:val="0"/>
              <w:spacing w:before="60" w:after="60"/>
              <w:rPr>
                <w:sz w:val="20"/>
                <w:szCs w:val="20"/>
              </w:rPr>
            </w:pPr>
          </w:p>
        </w:tc>
        <w:tc>
          <w:tcPr>
            <w:tcW w:w="1703" w:type="dxa"/>
            <w:tcBorders>
              <w:bottom w:val="single" w:sz="6" w:space="0" w:color="auto"/>
            </w:tcBorders>
          </w:tcPr>
          <w:p w14:paraId="2FBBE830" w14:textId="77777777" w:rsidR="007D0385" w:rsidRPr="004A3C15" w:rsidRDefault="007D0385" w:rsidP="007D0385">
            <w:pPr>
              <w:spacing w:before="60" w:after="60"/>
              <w:rPr>
                <w:sz w:val="20"/>
                <w:szCs w:val="20"/>
              </w:rPr>
            </w:pPr>
            <w:r w:rsidRPr="004A3C15">
              <w:rPr>
                <w:sz w:val="20"/>
                <w:szCs w:val="20"/>
              </w:rPr>
              <w:t>Continuers</w:t>
            </w:r>
          </w:p>
        </w:tc>
        <w:tc>
          <w:tcPr>
            <w:tcW w:w="1417" w:type="dxa"/>
            <w:gridSpan w:val="2"/>
            <w:tcBorders>
              <w:bottom w:val="single" w:sz="6" w:space="0" w:color="auto"/>
            </w:tcBorders>
          </w:tcPr>
          <w:p w14:paraId="56C73AB3" w14:textId="77777777" w:rsidR="007D0385" w:rsidRPr="004A3C15" w:rsidRDefault="007D0385" w:rsidP="007D0385">
            <w:pPr>
              <w:spacing w:before="60" w:after="60"/>
              <w:rPr>
                <w:sz w:val="20"/>
                <w:szCs w:val="20"/>
              </w:rPr>
            </w:pPr>
            <w:r w:rsidRPr="004A3C15">
              <w:rPr>
                <w:sz w:val="20"/>
                <w:szCs w:val="20"/>
              </w:rPr>
              <w:t>Not specified</w:t>
            </w:r>
          </w:p>
        </w:tc>
        <w:tc>
          <w:tcPr>
            <w:tcW w:w="3970" w:type="dxa"/>
            <w:tcBorders>
              <w:bottom w:val="single" w:sz="6" w:space="0" w:color="auto"/>
            </w:tcBorders>
          </w:tcPr>
          <w:p w14:paraId="3423C6E2" w14:textId="77777777" w:rsidR="007D0385" w:rsidRPr="004A3C15" w:rsidRDefault="007D0385" w:rsidP="007D0385">
            <w:pPr>
              <w:spacing w:before="60" w:after="60"/>
              <w:rPr>
                <w:sz w:val="20"/>
                <w:szCs w:val="20"/>
              </w:rPr>
            </w:pPr>
            <w:r w:rsidRPr="004A3C15">
              <w:rPr>
                <w:sz w:val="20"/>
                <w:szCs w:val="20"/>
              </w:rPr>
              <w:t>Study of the language at school in Australia; native speakers or parents are native speakers but no formal education in the language</w:t>
            </w:r>
          </w:p>
        </w:tc>
        <w:tc>
          <w:tcPr>
            <w:tcW w:w="5242" w:type="dxa"/>
            <w:tcBorders>
              <w:bottom w:val="single" w:sz="6" w:space="0" w:color="auto"/>
            </w:tcBorders>
            <w:shd w:val="clear" w:color="auto" w:fill="auto"/>
          </w:tcPr>
          <w:p w14:paraId="5B91AE7B" w14:textId="77777777" w:rsidR="007D0385" w:rsidRPr="00B628C0" w:rsidRDefault="007D0385" w:rsidP="007D0385">
            <w:pPr>
              <w:spacing w:before="60" w:after="60"/>
              <w:contextualSpacing/>
              <w:rPr>
                <w:sz w:val="20"/>
                <w:szCs w:val="20"/>
              </w:rPr>
            </w:pPr>
            <w:r>
              <w:rPr>
                <w:sz w:val="20"/>
                <w:szCs w:val="20"/>
              </w:rPr>
              <w:t>O</w:t>
            </w:r>
            <w:r w:rsidRPr="00B628C0">
              <w:rPr>
                <w:sz w:val="20"/>
                <w:szCs w:val="20"/>
              </w:rPr>
              <w:t>verseas schooling and language spoken at home</w:t>
            </w:r>
            <w:r>
              <w:rPr>
                <w:sz w:val="20"/>
                <w:szCs w:val="20"/>
              </w:rPr>
              <w:t>.</w:t>
            </w:r>
          </w:p>
        </w:tc>
      </w:tr>
      <w:tr w:rsidR="007D0385" w:rsidRPr="004A3C15" w14:paraId="4B133E26" w14:textId="77777777" w:rsidTr="007D0385">
        <w:trPr>
          <w:cantSplit/>
        </w:trPr>
        <w:tc>
          <w:tcPr>
            <w:tcW w:w="2235" w:type="dxa"/>
            <w:tcBorders>
              <w:bottom w:val="single" w:sz="4" w:space="0" w:color="auto"/>
            </w:tcBorders>
          </w:tcPr>
          <w:p w14:paraId="61DCEBA1" w14:textId="77777777" w:rsidR="007D0385" w:rsidRPr="004A3C15" w:rsidRDefault="007D0385" w:rsidP="007D0385">
            <w:pPr>
              <w:widowControl w:val="0"/>
              <w:autoSpaceDE w:val="0"/>
              <w:autoSpaceDN w:val="0"/>
              <w:adjustRightInd w:val="0"/>
              <w:spacing w:before="60" w:after="60"/>
              <w:rPr>
                <w:b/>
                <w:iCs/>
                <w:sz w:val="20"/>
                <w:szCs w:val="20"/>
              </w:rPr>
            </w:pPr>
            <w:r w:rsidRPr="004A3C15">
              <w:rPr>
                <w:b/>
                <w:iCs/>
                <w:sz w:val="20"/>
                <w:szCs w:val="20"/>
              </w:rPr>
              <w:t>New South Wales</w:t>
            </w:r>
          </w:p>
          <w:p w14:paraId="7348787F" w14:textId="77777777" w:rsidR="007D0385" w:rsidRPr="004A3C15" w:rsidRDefault="007D0385" w:rsidP="007D0385">
            <w:pPr>
              <w:spacing w:before="60" w:after="60"/>
              <w:rPr>
                <w:sz w:val="20"/>
                <w:szCs w:val="20"/>
              </w:rPr>
            </w:pPr>
            <w:r w:rsidRPr="004A3C15">
              <w:rPr>
                <w:sz w:val="20"/>
                <w:szCs w:val="20"/>
              </w:rPr>
              <w:t>Board of Studies,</w:t>
            </w:r>
          </w:p>
          <w:p w14:paraId="3E438763" w14:textId="77777777" w:rsidR="007D0385" w:rsidRPr="004A3C15" w:rsidRDefault="007D0385" w:rsidP="007D0385">
            <w:pPr>
              <w:spacing w:before="60" w:after="60"/>
              <w:rPr>
                <w:sz w:val="20"/>
                <w:szCs w:val="20"/>
              </w:rPr>
            </w:pPr>
            <w:r w:rsidRPr="004A3C15">
              <w:rPr>
                <w:sz w:val="20"/>
                <w:szCs w:val="20"/>
              </w:rPr>
              <w:t>Teaching and Educational Standards NSW</w:t>
            </w:r>
          </w:p>
          <w:p w14:paraId="3FADC658" w14:textId="77777777" w:rsidR="007D0385" w:rsidRPr="004A3C15" w:rsidRDefault="007D0385" w:rsidP="007D0385">
            <w:pPr>
              <w:spacing w:before="60" w:after="60"/>
              <w:rPr>
                <w:b/>
                <w:sz w:val="20"/>
                <w:szCs w:val="20"/>
              </w:rPr>
            </w:pPr>
          </w:p>
        </w:tc>
        <w:tc>
          <w:tcPr>
            <w:tcW w:w="1703" w:type="dxa"/>
            <w:tcBorders>
              <w:top w:val="single" w:sz="6" w:space="0" w:color="auto"/>
              <w:bottom w:val="single" w:sz="4" w:space="0" w:color="auto"/>
            </w:tcBorders>
          </w:tcPr>
          <w:p w14:paraId="089EEE98" w14:textId="77777777" w:rsidR="007D0385" w:rsidRPr="004A3C15" w:rsidRDefault="007D0385" w:rsidP="007D0385">
            <w:pPr>
              <w:spacing w:before="60" w:after="60"/>
              <w:rPr>
                <w:sz w:val="20"/>
                <w:szCs w:val="20"/>
              </w:rPr>
            </w:pPr>
            <w:r w:rsidRPr="004A3C15">
              <w:rPr>
                <w:sz w:val="20"/>
                <w:szCs w:val="20"/>
              </w:rPr>
              <w:t>Beginners</w:t>
            </w:r>
          </w:p>
          <w:p w14:paraId="543401C7" w14:textId="77777777" w:rsidR="007D0385" w:rsidRPr="004A3C15" w:rsidRDefault="007D0385" w:rsidP="007D0385">
            <w:pPr>
              <w:spacing w:before="60" w:after="60"/>
              <w:rPr>
                <w:sz w:val="20"/>
                <w:szCs w:val="20"/>
              </w:rPr>
            </w:pPr>
          </w:p>
        </w:tc>
        <w:tc>
          <w:tcPr>
            <w:tcW w:w="1417" w:type="dxa"/>
            <w:gridSpan w:val="2"/>
            <w:tcBorders>
              <w:top w:val="single" w:sz="6" w:space="0" w:color="auto"/>
              <w:bottom w:val="single" w:sz="4" w:space="0" w:color="auto"/>
            </w:tcBorders>
            <w:shd w:val="clear" w:color="auto" w:fill="auto"/>
          </w:tcPr>
          <w:p w14:paraId="6A3510D9" w14:textId="77777777" w:rsidR="007D0385" w:rsidRPr="004A3C15" w:rsidRDefault="007D0385" w:rsidP="007D0385">
            <w:pPr>
              <w:spacing w:before="60" w:after="60"/>
              <w:rPr>
                <w:sz w:val="20"/>
                <w:szCs w:val="20"/>
              </w:rPr>
            </w:pPr>
            <w:r w:rsidRPr="004A3C15">
              <w:rPr>
                <w:sz w:val="20"/>
                <w:szCs w:val="20"/>
              </w:rPr>
              <w:t xml:space="preserve">Applies to all </w:t>
            </w:r>
            <w:r>
              <w:rPr>
                <w:sz w:val="20"/>
                <w:szCs w:val="20"/>
              </w:rPr>
              <w:t>Beginners</w:t>
            </w:r>
            <w:r w:rsidRPr="004A3C15">
              <w:rPr>
                <w:sz w:val="20"/>
                <w:szCs w:val="20"/>
              </w:rPr>
              <w:t xml:space="preserve"> </w:t>
            </w:r>
            <w:r>
              <w:rPr>
                <w:sz w:val="20"/>
                <w:szCs w:val="20"/>
              </w:rPr>
              <w:t>L</w:t>
            </w:r>
            <w:r w:rsidRPr="004A3C15">
              <w:rPr>
                <w:sz w:val="20"/>
                <w:szCs w:val="20"/>
              </w:rPr>
              <w:t xml:space="preserve">anguages </w:t>
            </w:r>
            <w:r>
              <w:rPr>
                <w:sz w:val="20"/>
                <w:szCs w:val="20"/>
              </w:rPr>
              <w:t>courses</w:t>
            </w:r>
          </w:p>
        </w:tc>
        <w:tc>
          <w:tcPr>
            <w:tcW w:w="3970" w:type="dxa"/>
            <w:tcBorders>
              <w:top w:val="single" w:sz="6" w:space="0" w:color="auto"/>
              <w:bottom w:val="single" w:sz="4" w:space="0" w:color="auto"/>
            </w:tcBorders>
          </w:tcPr>
          <w:p w14:paraId="10D441B5" w14:textId="77777777" w:rsidR="007D0385" w:rsidRPr="004A3C15" w:rsidRDefault="007D0385" w:rsidP="007D0385">
            <w:pPr>
              <w:spacing w:before="60" w:after="60"/>
              <w:rPr>
                <w:sz w:val="20"/>
                <w:szCs w:val="20"/>
              </w:rPr>
            </w:pPr>
            <w:r w:rsidRPr="004A3C15">
              <w:rPr>
                <w:sz w:val="20"/>
                <w:szCs w:val="20"/>
              </w:rPr>
              <w:t>Second language, no prior knowledge or experience (except minimal school study)</w:t>
            </w:r>
          </w:p>
        </w:tc>
        <w:tc>
          <w:tcPr>
            <w:tcW w:w="5242" w:type="dxa"/>
            <w:tcBorders>
              <w:top w:val="single" w:sz="6" w:space="0" w:color="auto"/>
              <w:bottom w:val="single" w:sz="4" w:space="0" w:color="auto"/>
            </w:tcBorders>
            <w:shd w:val="clear" w:color="auto" w:fill="auto"/>
          </w:tcPr>
          <w:p w14:paraId="39E96D4F" w14:textId="77777777" w:rsidR="007D0385" w:rsidRPr="00B628C0" w:rsidRDefault="007D0385" w:rsidP="007D0385">
            <w:pPr>
              <w:spacing w:before="60" w:after="60"/>
              <w:contextualSpacing/>
              <w:rPr>
                <w:sz w:val="20"/>
                <w:szCs w:val="20"/>
              </w:rPr>
            </w:pPr>
            <w:r>
              <w:rPr>
                <w:sz w:val="20"/>
                <w:szCs w:val="20"/>
              </w:rPr>
              <w:t xml:space="preserve">Students have had </w:t>
            </w:r>
            <w:r w:rsidRPr="00B628C0">
              <w:rPr>
                <w:sz w:val="20"/>
                <w:szCs w:val="20"/>
              </w:rPr>
              <w:t xml:space="preserve">no more than 100 hours </w:t>
            </w:r>
            <w:r>
              <w:rPr>
                <w:sz w:val="20"/>
                <w:szCs w:val="20"/>
              </w:rPr>
              <w:t xml:space="preserve">study of the language </w:t>
            </w:r>
            <w:r w:rsidRPr="00B628C0">
              <w:rPr>
                <w:sz w:val="20"/>
                <w:szCs w:val="20"/>
              </w:rPr>
              <w:t>at</w:t>
            </w:r>
            <w:r>
              <w:rPr>
                <w:sz w:val="20"/>
                <w:szCs w:val="20"/>
              </w:rPr>
              <w:t xml:space="preserve"> the</w:t>
            </w:r>
            <w:r w:rsidRPr="00B628C0">
              <w:rPr>
                <w:sz w:val="20"/>
                <w:szCs w:val="20"/>
              </w:rPr>
              <w:t xml:space="preserve"> secondary </w:t>
            </w:r>
            <w:r>
              <w:rPr>
                <w:sz w:val="20"/>
                <w:szCs w:val="20"/>
              </w:rPr>
              <w:t xml:space="preserve">level </w:t>
            </w:r>
            <w:r w:rsidRPr="00B628C0">
              <w:rPr>
                <w:sz w:val="20"/>
                <w:szCs w:val="20"/>
              </w:rPr>
              <w:t xml:space="preserve">(or </w:t>
            </w:r>
            <w:r>
              <w:rPr>
                <w:sz w:val="20"/>
                <w:szCs w:val="20"/>
              </w:rPr>
              <w:t xml:space="preserve">the </w:t>
            </w:r>
            <w:r w:rsidRPr="00B628C0">
              <w:rPr>
                <w:sz w:val="20"/>
                <w:szCs w:val="20"/>
              </w:rPr>
              <w:t>equivalent), little or no</w:t>
            </w:r>
            <w:r>
              <w:rPr>
                <w:sz w:val="20"/>
                <w:szCs w:val="20"/>
              </w:rPr>
              <w:t xml:space="preserve"> prior</w:t>
            </w:r>
            <w:r w:rsidRPr="00B628C0">
              <w:rPr>
                <w:sz w:val="20"/>
                <w:szCs w:val="20"/>
              </w:rPr>
              <w:t xml:space="preserve"> knowledge </w:t>
            </w:r>
            <w:r>
              <w:rPr>
                <w:sz w:val="20"/>
                <w:szCs w:val="20"/>
              </w:rPr>
              <w:t xml:space="preserve">or experience </w:t>
            </w:r>
            <w:r w:rsidRPr="00B628C0">
              <w:rPr>
                <w:sz w:val="20"/>
                <w:szCs w:val="20"/>
              </w:rPr>
              <w:t>of the language</w:t>
            </w:r>
            <w:r>
              <w:rPr>
                <w:sz w:val="20"/>
                <w:szCs w:val="20"/>
              </w:rPr>
              <w:t>. For</w:t>
            </w:r>
            <w:r w:rsidRPr="00B628C0">
              <w:rPr>
                <w:sz w:val="20"/>
                <w:szCs w:val="20"/>
              </w:rPr>
              <w:t xml:space="preserve"> exchange students</w:t>
            </w:r>
            <w:r>
              <w:rPr>
                <w:sz w:val="20"/>
                <w:szCs w:val="20"/>
              </w:rPr>
              <w:t>, a significant in-country experience (involving experiences such as homestay and attendance at school</w:t>
            </w:r>
            <w:proofErr w:type="gramStart"/>
            <w:r>
              <w:rPr>
                <w:sz w:val="20"/>
                <w:szCs w:val="20"/>
              </w:rPr>
              <w:t>)</w:t>
            </w:r>
            <w:r w:rsidRPr="00B628C0">
              <w:rPr>
                <w:sz w:val="20"/>
                <w:szCs w:val="20"/>
              </w:rPr>
              <w:t xml:space="preserve"> </w:t>
            </w:r>
            <w:r>
              <w:rPr>
                <w:sz w:val="20"/>
                <w:szCs w:val="20"/>
              </w:rPr>
              <w:t xml:space="preserve"> of</w:t>
            </w:r>
            <w:proofErr w:type="gramEnd"/>
            <w:r w:rsidRPr="00B628C0">
              <w:rPr>
                <w:sz w:val="20"/>
                <w:szCs w:val="20"/>
              </w:rPr>
              <w:t xml:space="preserve"> more than three months </w:t>
            </w:r>
            <w:r>
              <w:rPr>
                <w:sz w:val="20"/>
                <w:szCs w:val="20"/>
              </w:rPr>
              <w:t>renders a student ineligible.</w:t>
            </w:r>
          </w:p>
        </w:tc>
      </w:tr>
      <w:tr w:rsidR="007D0385" w:rsidRPr="004A3C15" w14:paraId="089B8A3B" w14:textId="77777777" w:rsidTr="007D0385">
        <w:trPr>
          <w:cantSplit/>
        </w:trPr>
        <w:tc>
          <w:tcPr>
            <w:tcW w:w="2235" w:type="dxa"/>
            <w:tcBorders>
              <w:top w:val="single" w:sz="4" w:space="0" w:color="auto"/>
              <w:bottom w:val="single" w:sz="4" w:space="0" w:color="auto"/>
              <w:right w:val="single" w:sz="4" w:space="0" w:color="auto"/>
            </w:tcBorders>
          </w:tcPr>
          <w:p w14:paraId="3C441876" w14:textId="77777777" w:rsidR="007D0385" w:rsidRPr="004A3C15" w:rsidRDefault="007D0385" w:rsidP="007D0385">
            <w:pPr>
              <w:widowControl w:val="0"/>
              <w:autoSpaceDE w:val="0"/>
              <w:autoSpaceDN w:val="0"/>
              <w:adjustRightInd w:val="0"/>
              <w:spacing w:before="60" w:after="60"/>
              <w:rPr>
                <w:b/>
                <w:iCs/>
                <w:sz w:val="20"/>
                <w:szCs w:val="20"/>
              </w:rPr>
            </w:pPr>
            <w:r w:rsidRPr="004A3C15">
              <w:rPr>
                <w:b/>
                <w:iCs/>
                <w:sz w:val="20"/>
                <w:szCs w:val="20"/>
              </w:rPr>
              <w:t>New South Wales</w:t>
            </w:r>
          </w:p>
          <w:p w14:paraId="1B6B4CD9" w14:textId="77777777" w:rsidR="007D0385" w:rsidRPr="004A3C15" w:rsidRDefault="007D0385" w:rsidP="007D0385">
            <w:pPr>
              <w:spacing w:before="60" w:after="60"/>
              <w:rPr>
                <w:sz w:val="20"/>
                <w:szCs w:val="20"/>
              </w:rPr>
            </w:pPr>
            <w:r w:rsidRPr="004A3C15">
              <w:rPr>
                <w:sz w:val="20"/>
                <w:szCs w:val="20"/>
              </w:rPr>
              <w:t>Board of Studies,</w:t>
            </w:r>
          </w:p>
          <w:p w14:paraId="7E6FDC79" w14:textId="77777777" w:rsidR="007D0385" w:rsidRPr="004A3C15" w:rsidRDefault="007D0385" w:rsidP="007D0385">
            <w:pPr>
              <w:spacing w:before="60" w:after="60"/>
              <w:rPr>
                <w:sz w:val="20"/>
                <w:szCs w:val="20"/>
              </w:rPr>
            </w:pPr>
            <w:r w:rsidRPr="004A3C15">
              <w:rPr>
                <w:sz w:val="20"/>
                <w:szCs w:val="20"/>
              </w:rPr>
              <w:t>Teaching and Educational Standards NSW</w:t>
            </w:r>
          </w:p>
          <w:p w14:paraId="2469FE47" w14:textId="77777777" w:rsidR="007D0385" w:rsidRPr="004A3C15" w:rsidRDefault="007D0385" w:rsidP="007D0385">
            <w:pPr>
              <w:spacing w:before="60" w:after="60"/>
              <w:rPr>
                <w:sz w:val="20"/>
                <w:szCs w:val="20"/>
              </w:rPr>
            </w:pPr>
          </w:p>
        </w:tc>
        <w:tc>
          <w:tcPr>
            <w:tcW w:w="1703" w:type="dxa"/>
            <w:tcBorders>
              <w:top w:val="single" w:sz="4" w:space="0" w:color="auto"/>
              <w:left w:val="single" w:sz="4" w:space="0" w:color="auto"/>
              <w:bottom w:val="single" w:sz="4" w:space="0" w:color="auto"/>
            </w:tcBorders>
          </w:tcPr>
          <w:p w14:paraId="114CA810" w14:textId="77777777" w:rsidR="007D0385" w:rsidRPr="004A3C15" w:rsidRDefault="007D0385" w:rsidP="007D0385">
            <w:pPr>
              <w:spacing w:before="60" w:after="60"/>
              <w:rPr>
                <w:sz w:val="20"/>
                <w:szCs w:val="20"/>
              </w:rPr>
            </w:pPr>
            <w:r w:rsidRPr="004A3C15">
              <w:rPr>
                <w:sz w:val="20"/>
                <w:szCs w:val="20"/>
              </w:rPr>
              <w:t xml:space="preserve">Continuers </w:t>
            </w:r>
          </w:p>
          <w:p w14:paraId="44D81F1E" w14:textId="77777777" w:rsidR="007D0385" w:rsidRPr="004A3C15" w:rsidRDefault="007D0385" w:rsidP="007D0385">
            <w:pPr>
              <w:spacing w:before="60" w:after="60"/>
              <w:rPr>
                <w:sz w:val="20"/>
                <w:szCs w:val="20"/>
              </w:rPr>
            </w:pPr>
            <w:r w:rsidRPr="004A3C15">
              <w:rPr>
                <w:sz w:val="20"/>
                <w:szCs w:val="20"/>
              </w:rPr>
              <w:t xml:space="preserve">(Note: A Year 12 Extension </w:t>
            </w:r>
            <w:r>
              <w:rPr>
                <w:sz w:val="20"/>
                <w:szCs w:val="20"/>
              </w:rPr>
              <w:t xml:space="preserve">course </w:t>
            </w:r>
            <w:r w:rsidRPr="004A3C15">
              <w:rPr>
                <w:sz w:val="20"/>
                <w:szCs w:val="20"/>
              </w:rPr>
              <w:t>is available in 9 languages to be studied in conjunction with the Year 12 Continuers course)</w:t>
            </w:r>
          </w:p>
        </w:tc>
        <w:tc>
          <w:tcPr>
            <w:tcW w:w="1417" w:type="dxa"/>
            <w:gridSpan w:val="2"/>
            <w:tcBorders>
              <w:top w:val="single" w:sz="4" w:space="0" w:color="auto"/>
              <w:bottom w:val="single" w:sz="4" w:space="0" w:color="auto"/>
            </w:tcBorders>
            <w:shd w:val="clear" w:color="auto" w:fill="auto"/>
          </w:tcPr>
          <w:p w14:paraId="322E894E" w14:textId="77777777" w:rsidR="007D0385" w:rsidRPr="004A3C15" w:rsidRDefault="007D0385" w:rsidP="007D0385">
            <w:pPr>
              <w:spacing w:before="60" w:after="60"/>
              <w:rPr>
                <w:sz w:val="20"/>
                <w:szCs w:val="20"/>
              </w:rPr>
            </w:pPr>
            <w:r w:rsidRPr="004A3C15">
              <w:rPr>
                <w:sz w:val="20"/>
                <w:szCs w:val="20"/>
              </w:rPr>
              <w:t>Chinese Indonesian Japanese Korean</w:t>
            </w:r>
          </w:p>
          <w:p w14:paraId="3E565326" w14:textId="77777777" w:rsidR="007D0385" w:rsidRPr="004A3C15" w:rsidRDefault="007D0385" w:rsidP="007D0385">
            <w:pPr>
              <w:spacing w:before="60" w:after="60"/>
              <w:rPr>
                <w:sz w:val="20"/>
                <w:szCs w:val="20"/>
              </w:rPr>
            </w:pPr>
          </w:p>
        </w:tc>
        <w:tc>
          <w:tcPr>
            <w:tcW w:w="3970" w:type="dxa"/>
            <w:tcBorders>
              <w:top w:val="single" w:sz="4" w:space="0" w:color="auto"/>
              <w:bottom w:val="single" w:sz="4" w:space="0" w:color="auto"/>
            </w:tcBorders>
          </w:tcPr>
          <w:p w14:paraId="10C09C2B" w14:textId="77777777" w:rsidR="007D0385" w:rsidRPr="004A3C15" w:rsidRDefault="007D0385" w:rsidP="007D0385">
            <w:pPr>
              <w:spacing w:before="60" w:after="60"/>
              <w:rPr>
                <w:sz w:val="20"/>
                <w:szCs w:val="20"/>
              </w:rPr>
            </w:pPr>
            <w:r w:rsidRPr="004A3C15">
              <w:rPr>
                <w:sz w:val="20"/>
                <w:szCs w:val="20"/>
              </w:rPr>
              <w:t xml:space="preserve">Second (or subsequent) language, </w:t>
            </w:r>
            <w:r>
              <w:rPr>
                <w:sz w:val="20"/>
                <w:szCs w:val="20"/>
              </w:rPr>
              <w:t xml:space="preserve">students typically have studied the language for </w:t>
            </w:r>
            <w:r w:rsidRPr="004A3C15">
              <w:rPr>
                <w:sz w:val="20"/>
                <w:szCs w:val="20"/>
              </w:rPr>
              <w:t xml:space="preserve">200–400 hours study </w:t>
            </w:r>
            <w:r>
              <w:rPr>
                <w:sz w:val="20"/>
                <w:szCs w:val="20"/>
              </w:rPr>
              <w:t>at the commencement of</w:t>
            </w:r>
            <w:r w:rsidRPr="004A3C15">
              <w:rPr>
                <w:sz w:val="20"/>
                <w:szCs w:val="20"/>
              </w:rPr>
              <w:t xml:space="preserve"> Stage 6</w:t>
            </w:r>
          </w:p>
        </w:tc>
        <w:tc>
          <w:tcPr>
            <w:tcW w:w="5242" w:type="dxa"/>
            <w:tcBorders>
              <w:top w:val="single" w:sz="4" w:space="0" w:color="auto"/>
              <w:bottom w:val="single" w:sz="4" w:space="0" w:color="auto"/>
            </w:tcBorders>
            <w:shd w:val="clear" w:color="auto" w:fill="auto"/>
          </w:tcPr>
          <w:p w14:paraId="4833DC69" w14:textId="77777777" w:rsidR="007D0385" w:rsidRPr="00B628C0" w:rsidRDefault="007D0385" w:rsidP="007D0385">
            <w:pPr>
              <w:spacing w:before="60" w:after="60"/>
              <w:contextualSpacing/>
              <w:rPr>
                <w:sz w:val="20"/>
                <w:szCs w:val="20"/>
                <w:u w:color="15316B"/>
              </w:rPr>
            </w:pPr>
            <w:r>
              <w:rPr>
                <w:sz w:val="20"/>
                <w:szCs w:val="20"/>
              </w:rPr>
              <w:t xml:space="preserve">Students have had </w:t>
            </w:r>
            <w:r w:rsidRPr="00B628C0">
              <w:rPr>
                <w:sz w:val="20"/>
                <w:szCs w:val="20"/>
              </w:rPr>
              <w:t>no more than one year’s formal education</w:t>
            </w:r>
            <w:r w:rsidRPr="00B628C0">
              <w:rPr>
                <w:sz w:val="20"/>
                <w:szCs w:val="20"/>
                <w:u w:color="15316B"/>
              </w:rPr>
              <w:t xml:space="preserve"> from the first year of primary education (Year 1) where the language is the medium of instruction, no more than three years’ residency in the past ten years in a country where the language is the medium of communication, language is not used for sustained communication outside the classroom with background language users</w:t>
            </w:r>
            <w:r>
              <w:rPr>
                <w:sz w:val="20"/>
                <w:szCs w:val="20"/>
                <w:u w:color="15316B"/>
              </w:rPr>
              <w:t>.</w:t>
            </w:r>
          </w:p>
        </w:tc>
      </w:tr>
      <w:tr w:rsidR="007D0385" w:rsidRPr="004A3C15" w14:paraId="3CC6B2E9" w14:textId="77777777" w:rsidTr="007D0385">
        <w:trPr>
          <w:cantSplit/>
        </w:trPr>
        <w:tc>
          <w:tcPr>
            <w:tcW w:w="2235" w:type="dxa"/>
            <w:tcBorders>
              <w:top w:val="single" w:sz="4" w:space="0" w:color="auto"/>
            </w:tcBorders>
          </w:tcPr>
          <w:p w14:paraId="5212A3FE" w14:textId="77777777" w:rsidR="007D0385" w:rsidRPr="004A3C15" w:rsidRDefault="007D0385" w:rsidP="007D0385">
            <w:pPr>
              <w:widowControl w:val="0"/>
              <w:autoSpaceDE w:val="0"/>
              <w:autoSpaceDN w:val="0"/>
              <w:adjustRightInd w:val="0"/>
              <w:spacing w:before="60" w:after="60"/>
              <w:rPr>
                <w:b/>
                <w:iCs/>
                <w:sz w:val="20"/>
                <w:szCs w:val="20"/>
              </w:rPr>
            </w:pPr>
            <w:r w:rsidRPr="004A3C15">
              <w:rPr>
                <w:b/>
                <w:iCs/>
                <w:sz w:val="20"/>
                <w:szCs w:val="20"/>
              </w:rPr>
              <w:lastRenderedPageBreak/>
              <w:t>New South Wales</w:t>
            </w:r>
          </w:p>
          <w:p w14:paraId="302A27B5" w14:textId="77777777" w:rsidR="007D0385" w:rsidRPr="004A3C15" w:rsidRDefault="007D0385" w:rsidP="007D0385">
            <w:pPr>
              <w:spacing w:before="60" w:after="60"/>
              <w:rPr>
                <w:sz w:val="20"/>
                <w:szCs w:val="20"/>
              </w:rPr>
            </w:pPr>
            <w:r w:rsidRPr="004A3C15">
              <w:rPr>
                <w:sz w:val="20"/>
                <w:szCs w:val="20"/>
              </w:rPr>
              <w:t>Board of Studies,</w:t>
            </w:r>
          </w:p>
          <w:p w14:paraId="5C421BD3" w14:textId="77777777" w:rsidR="007D0385" w:rsidRPr="004A3C15" w:rsidRDefault="007D0385" w:rsidP="007D0385">
            <w:pPr>
              <w:spacing w:before="60" w:after="60"/>
              <w:rPr>
                <w:sz w:val="20"/>
                <w:szCs w:val="20"/>
              </w:rPr>
            </w:pPr>
            <w:r w:rsidRPr="004A3C15">
              <w:rPr>
                <w:sz w:val="20"/>
                <w:szCs w:val="20"/>
              </w:rPr>
              <w:t>Teaching and Educational Standards NSW</w:t>
            </w:r>
          </w:p>
          <w:p w14:paraId="6F325C05" w14:textId="77777777" w:rsidR="007D0385" w:rsidRPr="004A3C15" w:rsidRDefault="007D0385" w:rsidP="007D0385">
            <w:pPr>
              <w:spacing w:before="60" w:after="60"/>
              <w:rPr>
                <w:sz w:val="20"/>
                <w:szCs w:val="20"/>
              </w:rPr>
            </w:pPr>
          </w:p>
        </w:tc>
        <w:tc>
          <w:tcPr>
            <w:tcW w:w="1703" w:type="dxa"/>
            <w:tcBorders>
              <w:top w:val="single" w:sz="4" w:space="0" w:color="auto"/>
            </w:tcBorders>
          </w:tcPr>
          <w:p w14:paraId="7A011B02" w14:textId="77777777" w:rsidR="007D0385" w:rsidRPr="004A3C15" w:rsidRDefault="007D0385" w:rsidP="007D0385">
            <w:pPr>
              <w:spacing w:before="60" w:after="60"/>
              <w:rPr>
                <w:sz w:val="20"/>
                <w:szCs w:val="20"/>
                <w:u w:color="15316B"/>
              </w:rPr>
            </w:pPr>
            <w:r w:rsidRPr="004A3C15">
              <w:rPr>
                <w:sz w:val="20"/>
                <w:szCs w:val="20"/>
                <w:u w:color="15316B"/>
              </w:rPr>
              <w:t>Heritage</w:t>
            </w:r>
          </w:p>
        </w:tc>
        <w:tc>
          <w:tcPr>
            <w:tcW w:w="1417" w:type="dxa"/>
            <w:gridSpan w:val="2"/>
            <w:tcBorders>
              <w:top w:val="single" w:sz="4" w:space="0" w:color="auto"/>
            </w:tcBorders>
            <w:shd w:val="clear" w:color="auto" w:fill="auto"/>
          </w:tcPr>
          <w:p w14:paraId="17760AD9" w14:textId="77777777" w:rsidR="007D0385" w:rsidRPr="004A3C15" w:rsidRDefault="007D0385" w:rsidP="007D0385">
            <w:pPr>
              <w:spacing w:before="60" w:after="60"/>
              <w:rPr>
                <w:sz w:val="20"/>
                <w:szCs w:val="20"/>
              </w:rPr>
            </w:pPr>
            <w:r w:rsidRPr="004A3C15">
              <w:rPr>
                <w:sz w:val="20"/>
                <w:szCs w:val="20"/>
              </w:rPr>
              <w:t xml:space="preserve">Applies to all Heritage </w:t>
            </w:r>
            <w:r>
              <w:rPr>
                <w:sz w:val="20"/>
                <w:szCs w:val="20"/>
              </w:rPr>
              <w:t>courses</w:t>
            </w:r>
          </w:p>
        </w:tc>
        <w:tc>
          <w:tcPr>
            <w:tcW w:w="3970" w:type="dxa"/>
            <w:tcBorders>
              <w:top w:val="single" w:sz="4" w:space="0" w:color="auto"/>
            </w:tcBorders>
          </w:tcPr>
          <w:p w14:paraId="268AE8B2" w14:textId="77777777" w:rsidR="007D0385" w:rsidRPr="004A3C15" w:rsidRDefault="007D0385" w:rsidP="007D0385">
            <w:pPr>
              <w:spacing w:before="60" w:after="60"/>
              <w:rPr>
                <w:sz w:val="20"/>
                <w:szCs w:val="20"/>
              </w:rPr>
            </w:pPr>
            <w:r>
              <w:rPr>
                <w:sz w:val="20"/>
                <w:szCs w:val="20"/>
              </w:rPr>
              <w:t>Students typically have been b</w:t>
            </w:r>
            <w:r w:rsidRPr="004A3C15">
              <w:rPr>
                <w:sz w:val="20"/>
                <w:szCs w:val="20"/>
              </w:rPr>
              <w:t>rought up in</w:t>
            </w:r>
            <w:r>
              <w:rPr>
                <w:sz w:val="20"/>
                <w:szCs w:val="20"/>
              </w:rPr>
              <w:t xml:space="preserve"> a</w:t>
            </w:r>
            <w:r w:rsidRPr="004A3C15">
              <w:rPr>
                <w:sz w:val="20"/>
                <w:szCs w:val="20"/>
              </w:rPr>
              <w:t xml:space="preserve"> home where language is used,</w:t>
            </w:r>
            <w:r>
              <w:rPr>
                <w:sz w:val="20"/>
                <w:szCs w:val="20"/>
              </w:rPr>
              <w:t xml:space="preserve"> and they have a</w:t>
            </w:r>
            <w:r w:rsidRPr="004A3C15">
              <w:rPr>
                <w:sz w:val="20"/>
                <w:szCs w:val="20"/>
              </w:rPr>
              <w:t xml:space="preserve"> connection to th</w:t>
            </w:r>
            <w:r>
              <w:rPr>
                <w:sz w:val="20"/>
                <w:szCs w:val="20"/>
              </w:rPr>
              <w:t>at</w:t>
            </w:r>
            <w:r w:rsidRPr="004A3C15">
              <w:rPr>
                <w:sz w:val="20"/>
                <w:szCs w:val="20"/>
              </w:rPr>
              <w:t xml:space="preserve"> culture</w:t>
            </w:r>
            <w:r>
              <w:rPr>
                <w:sz w:val="20"/>
                <w:szCs w:val="20"/>
              </w:rPr>
              <w:t>. These students have</w:t>
            </w:r>
            <w:r w:rsidRPr="004A3C15">
              <w:rPr>
                <w:sz w:val="20"/>
                <w:szCs w:val="20"/>
              </w:rPr>
              <w:t xml:space="preserve"> some </w:t>
            </w:r>
            <w:r>
              <w:rPr>
                <w:sz w:val="20"/>
                <w:szCs w:val="20"/>
              </w:rPr>
              <w:t xml:space="preserve">degree of </w:t>
            </w:r>
            <w:r w:rsidRPr="004A3C15">
              <w:rPr>
                <w:sz w:val="20"/>
                <w:szCs w:val="20"/>
              </w:rPr>
              <w:t>understanding and knowledge of the language</w:t>
            </w:r>
            <w:r>
              <w:rPr>
                <w:sz w:val="20"/>
                <w:szCs w:val="20"/>
              </w:rPr>
              <w:t xml:space="preserve">. </w:t>
            </w:r>
            <w:r w:rsidRPr="004A3C15">
              <w:rPr>
                <w:sz w:val="20"/>
                <w:szCs w:val="20"/>
              </w:rPr>
              <w:t xml:space="preserve"> </w:t>
            </w:r>
            <w:r>
              <w:rPr>
                <w:sz w:val="20"/>
                <w:szCs w:val="20"/>
              </w:rPr>
              <w:t xml:space="preserve">They have received </w:t>
            </w:r>
            <w:r w:rsidRPr="004A3C15">
              <w:rPr>
                <w:sz w:val="20"/>
                <w:szCs w:val="20"/>
              </w:rPr>
              <w:t xml:space="preserve">all or most of </w:t>
            </w:r>
            <w:r>
              <w:rPr>
                <w:sz w:val="20"/>
                <w:szCs w:val="20"/>
              </w:rPr>
              <w:t xml:space="preserve">their </w:t>
            </w:r>
            <w:r w:rsidRPr="004A3C15">
              <w:rPr>
                <w:sz w:val="20"/>
                <w:szCs w:val="20"/>
              </w:rPr>
              <w:t>formal education</w:t>
            </w:r>
            <w:r>
              <w:rPr>
                <w:sz w:val="20"/>
                <w:szCs w:val="20"/>
              </w:rPr>
              <w:t xml:space="preserve"> in schools</w:t>
            </w:r>
            <w:r w:rsidRPr="004A3C15">
              <w:rPr>
                <w:sz w:val="20"/>
                <w:szCs w:val="20"/>
              </w:rPr>
              <w:t xml:space="preserve"> where English</w:t>
            </w:r>
            <w:r>
              <w:rPr>
                <w:sz w:val="20"/>
                <w:szCs w:val="20"/>
              </w:rPr>
              <w:t xml:space="preserve"> (or </w:t>
            </w:r>
            <w:r w:rsidRPr="004A3C15">
              <w:rPr>
                <w:sz w:val="20"/>
                <w:szCs w:val="20"/>
              </w:rPr>
              <w:t>another language</w:t>
            </w:r>
            <w:r>
              <w:rPr>
                <w:sz w:val="20"/>
                <w:szCs w:val="20"/>
              </w:rPr>
              <w:t xml:space="preserve"> different from the language of the co</w:t>
            </w:r>
            <w:r w:rsidRPr="004A3C15">
              <w:rPr>
                <w:sz w:val="20"/>
                <w:szCs w:val="20"/>
              </w:rPr>
              <w:t xml:space="preserve"> is the medium of instruction</w:t>
            </w:r>
            <w:r>
              <w:rPr>
                <w:sz w:val="20"/>
                <w:szCs w:val="20"/>
              </w:rPr>
              <w:t>. Students may have undertaken</w:t>
            </w:r>
            <w:r w:rsidRPr="004A3C15">
              <w:rPr>
                <w:sz w:val="20"/>
                <w:szCs w:val="20"/>
              </w:rPr>
              <w:t xml:space="preserve"> some study</w:t>
            </w:r>
            <w:r>
              <w:rPr>
                <w:sz w:val="20"/>
                <w:szCs w:val="20"/>
              </w:rPr>
              <w:t xml:space="preserve"> of the language </w:t>
            </w:r>
            <w:r w:rsidRPr="004A3C15">
              <w:rPr>
                <w:sz w:val="20"/>
                <w:szCs w:val="20"/>
              </w:rPr>
              <w:t>in a community, primary and/or secondary school in Australia</w:t>
            </w:r>
            <w:r>
              <w:rPr>
                <w:sz w:val="20"/>
                <w:szCs w:val="20"/>
              </w:rPr>
              <w:t xml:space="preserve">. </w:t>
            </w:r>
            <w:r w:rsidRPr="004A3C15">
              <w:rPr>
                <w:sz w:val="20"/>
                <w:szCs w:val="20"/>
              </w:rPr>
              <w:t xml:space="preserve">, </w:t>
            </w:r>
            <w:r>
              <w:rPr>
                <w:sz w:val="20"/>
                <w:szCs w:val="20"/>
              </w:rPr>
              <w:t xml:space="preserve">Students may have undertaken had </w:t>
            </w:r>
            <w:r w:rsidRPr="004A3C15">
              <w:rPr>
                <w:sz w:val="20"/>
                <w:szCs w:val="20"/>
              </w:rPr>
              <w:t>formal education in a school where the language is the medium of instruction up to the age of ten</w:t>
            </w:r>
            <w:r>
              <w:rPr>
                <w:sz w:val="20"/>
                <w:szCs w:val="20"/>
              </w:rPr>
              <w:t>.</w:t>
            </w:r>
          </w:p>
        </w:tc>
        <w:tc>
          <w:tcPr>
            <w:tcW w:w="5242" w:type="dxa"/>
            <w:tcBorders>
              <w:top w:val="single" w:sz="4" w:space="0" w:color="auto"/>
            </w:tcBorders>
            <w:shd w:val="clear" w:color="auto" w:fill="auto"/>
          </w:tcPr>
          <w:p w14:paraId="3A0DC18B" w14:textId="77777777" w:rsidR="007D0385" w:rsidRPr="00B628C0" w:rsidRDefault="007D0385" w:rsidP="007D0385">
            <w:pPr>
              <w:spacing w:before="60" w:after="60"/>
              <w:contextualSpacing/>
              <w:rPr>
                <w:sz w:val="20"/>
                <w:szCs w:val="20"/>
              </w:rPr>
            </w:pPr>
            <w:r>
              <w:rPr>
                <w:sz w:val="20"/>
                <w:szCs w:val="20"/>
              </w:rPr>
              <w:t xml:space="preserve">Students have had </w:t>
            </w:r>
            <w:r w:rsidRPr="00B628C0">
              <w:rPr>
                <w:sz w:val="20"/>
                <w:szCs w:val="20"/>
              </w:rPr>
              <w:t>no formal education where the language is the medium of instruction beyond the year in which the student turns ten years of age (typically Year 4 or 5 of primary education)</w:t>
            </w:r>
            <w:r>
              <w:rPr>
                <w:sz w:val="20"/>
                <w:szCs w:val="20"/>
              </w:rPr>
              <w:t>.</w:t>
            </w:r>
          </w:p>
        </w:tc>
      </w:tr>
      <w:tr w:rsidR="007D0385" w:rsidRPr="004A3C15" w14:paraId="4A284B63" w14:textId="77777777" w:rsidTr="007D0385">
        <w:trPr>
          <w:cantSplit/>
        </w:trPr>
        <w:tc>
          <w:tcPr>
            <w:tcW w:w="2235" w:type="dxa"/>
          </w:tcPr>
          <w:p w14:paraId="2DCA5E13" w14:textId="77777777" w:rsidR="007D0385" w:rsidRPr="004A3C15" w:rsidRDefault="007D0385" w:rsidP="007D0385">
            <w:pPr>
              <w:widowControl w:val="0"/>
              <w:autoSpaceDE w:val="0"/>
              <w:autoSpaceDN w:val="0"/>
              <w:adjustRightInd w:val="0"/>
              <w:spacing w:before="60" w:after="60"/>
              <w:rPr>
                <w:b/>
                <w:iCs/>
                <w:sz w:val="20"/>
                <w:szCs w:val="20"/>
              </w:rPr>
            </w:pPr>
            <w:r w:rsidRPr="004A3C15">
              <w:rPr>
                <w:b/>
                <w:iCs/>
                <w:sz w:val="20"/>
                <w:szCs w:val="20"/>
              </w:rPr>
              <w:t>New South Wales</w:t>
            </w:r>
          </w:p>
          <w:p w14:paraId="4787D90A" w14:textId="77777777" w:rsidR="007D0385" w:rsidRPr="004A3C15" w:rsidRDefault="007D0385" w:rsidP="007D0385">
            <w:pPr>
              <w:spacing w:before="60" w:after="60"/>
              <w:rPr>
                <w:sz w:val="20"/>
                <w:szCs w:val="20"/>
              </w:rPr>
            </w:pPr>
            <w:r w:rsidRPr="004A3C15">
              <w:rPr>
                <w:sz w:val="20"/>
                <w:szCs w:val="20"/>
              </w:rPr>
              <w:t>Board of Studies,</w:t>
            </w:r>
          </w:p>
          <w:p w14:paraId="419E422E" w14:textId="77777777" w:rsidR="007D0385" w:rsidRPr="004A3C15" w:rsidRDefault="007D0385" w:rsidP="007D0385">
            <w:pPr>
              <w:spacing w:before="60" w:after="60"/>
              <w:rPr>
                <w:sz w:val="20"/>
                <w:szCs w:val="20"/>
              </w:rPr>
            </w:pPr>
            <w:r w:rsidRPr="004A3C15">
              <w:rPr>
                <w:sz w:val="20"/>
                <w:szCs w:val="20"/>
              </w:rPr>
              <w:t>Teaching and Educational Standards NSW</w:t>
            </w:r>
          </w:p>
          <w:p w14:paraId="6F5DA79D" w14:textId="77777777" w:rsidR="007D0385" w:rsidRPr="004A3C15" w:rsidRDefault="007D0385" w:rsidP="007D0385">
            <w:pPr>
              <w:spacing w:before="60" w:after="60"/>
              <w:rPr>
                <w:sz w:val="20"/>
                <w:szCs w:val="20"/>
              </w:rPr>
            </w:pPr>
          </w:p>
        </w:tc>
        <w:tc>
          <w:tcPr>
            <w:tcW w:w="1703" w:type="dxa"/>
            <w:tcBorders>
              <w:right w:val="single" w:sz="4" w:space="0" w:color="auto"/>
            </w:tcBorders>
          </w:tcPr>
          <w:p w14:paraId="76F4281E" w14:textId="77777777" w:rsidR="007D0385" w:rsidRPr="004A3C15" w:rsidRDefault="007D0385" w:rsidP="007D0385">
            <w:pPr>
              <w:spacing w:before="60" w:after="60"/>
              <w:rPr>
                <w:sz w:val="20"/>
                <w:szCs w:val="20"/>
                <w:u w:color="15316B"/>
              </w:rPr>
            </w:pPr>
            <w:r w:rsidRPr="004A3C15">
              <w:rPr>
                <w:sz w:val="20"/>
                <w:szCs w:val="20"/>
                <w:u w:color="15316B"/>
              </w:rPr>
              <w:t xml:space="preserve">Background </w:t>
            </w:r>
            <w:r>
              <w:rPr>
                <w:sz w:val="20"/>
                <w:szCs w:val="20"/>
                <w:u w:color="15316B"/>
              </w:rPr>
              <w:t>S</w:t>
            </w:r>
            <w:r w:rsidRPr="004A3C15">
              <w:rPr>
                <w:sz w:val="20"/>
                <w:szCs w:val="20"/>
                <w:u w:color="15316B"/>
              </w:rPr>
              <w:t>peakers</w:t>
            </w:r>
          </w:p>
          <w:p w14:paraId="0FB4114B" w14:textId="77777777" w:rsidR="007D0385" w:rsidRPr="004A3C15" w:rsidRDefault="007D0385" w:rsidP="007D0385">
            <w:pPr>
              <w:spacing w:before="60" w:after="60"/>
              <w:rPr>
                <w:sz w:val="20"/>
                <w:szCs w:val="20"/>
                <w:u w:color="15316B"/>
              </w:rPr>
            </w:pPr>
          </w:p>
        </w:tc>
        <w:tc>
          <w:tcPr>
            <w:tcW w:w="1417" w:type="dxa"/>
            <w:gridSpan w:val="2"/>
            <w:tcBorders>
              <w:left w:val="single" w:sz="4" w:space="0" w:color="auto"/>
              <w:right w:val="single" w:sz="4" w:space="0" w:color="auto"/>
            </w:tcBorders>
          </w:tcPr>
          <w:p w14:paraId="0A08309B" w14:textId="77777777" w:rsidR="007D0385" w:rsidRPr="004A3C15" w:rsidRDefault="007D0385" w:rsidP="007D0385">
            <w:pPr>
              <w:spacing w:before="60" w:after="60"/>
              <w:rPr>
                <w:sz w:val="20"/>
                <w:szCs w:val="20"/>
              </w:rPr>
            </w:pPr>
            <w:r>
              <w:rPr>
                <w:sz w:val="20"/>
                <w:szCs w:val="20"/>
              </w:rPr>
              <w:t>Applies to all Background Speaker courses</w:t>
            </w:r>
          </w:p>
        </w:tc>
        <w:tc>
          <w:tcPr>
            <w:tcW w:w="3970" w:type="dxa"/>
            <w:tcBorders>
              <w:left w:val="single" w:sz="4" w:space="0" w:color="auto"/>
              <w:right w:val="single" w:sz="4" w:space="0" w:color="auto"/>
            </w:tcBorders>
          </w:tcPr>
          <w:p w14:paraId="773D7349" w14:textId="77777777" w:rsidR="007D0385" w:rsidRPr="004A3C15" w:rsidRDefault="007D0385" w:rsidP="007D0385">
            <w:pPr>
              <w:spacing w:before="60" w:after="60"/>
              <w:rPr>
                <w:sz w:val="20"/>
                <w:szCs w:val="20"/>
              </w:rPr>
            </w:pPr>
            <w:r w:rsidRPr="004A3C15">
              <w:rPr>
                <w:sz w:val="20"/>
                <w:szCs w:val="20"/>
              </w:rPr>
              <w:t>Students have a cultural and linguistic background in the language</w:t>
            </w:r>
          </w:p>
        </w:tc>
        <w:tc>
          <w:tcPr>
            <w:tcW w:w="5242" w:type="dxa"/>
            <w:tcBorders>
              <w:left w:val="single" w:sz="4" w:space="0" w:color="auto"/>
            </w:tcBorders>
          </w:tcPr>
          <w:p w14:paraId="0B7CB494" w14:textId="77777777" w:rsidR="007D0385" w:rsidRPr="004A3C15" w:rsidRDefault="007D0385" w:rsidP="007D0385">
            <w:pPr>
              <w:spacing w:before="60" w:after="60"/>
              <w:rPr>
                <w:sz w:val="20"/>
                <w:szCs w:val="20"/>
              </w:rPr>
            </w:pPr>
            <w:r w:rsidRPr="004A3C15">
              <w:rPr>
                <w:sz w:val="20"/>
                <w:szCs w:val="20"/>
              </w:rPr>
              <w:t>No criteria</w:t>
            </w:r>
          </w:p>
        </w:tc>
      </w:tr>
      <w:tr w:rsidR="007D0385" w:rsidRPr="004A3C15" w14:paraId="74A1612F" w14:textId="77777777" w:rsidTr="007D0385">
        <w:trPr>
          <w:cantSplit/>
        </w:trPr>
        <w:tc>
          <w:tcPr>
            <w:tcW w:w="2235" w:type="dxa"/>
          </w:tcPr>
          <w:p w14:paraId="06E0E298" w14:textId="77777777" w:rsidR="007D0385" w:rsidRPr="004A3C15" w:rsidRDefault="007D0385" w:rsidP="007D0385">
            <w:pPr>
              <w:widowControl w:val="0"/>
              <w:autoSpaceDE w:val="0"/>
              <w:autoSpaceDN w:val="0"/>
              <w:adjustRightInd w:val="0"/>
              <w:spacing w:before="60" w:after="60"/>
              <w:ind w:right="-4366"/>
              <w:rPr>
                <w:iCs/>
                <w:sz w:val="20"/>
                <w:szCs w:val="20"/>
              </w:rPr>
            </w:pPr>
            <w:r w:rsidRPr="004A3C15">
              <w:rPr>
                <w:b/>
                <w:iCs/>
                <w:sz w:val="20"/>
                <w:szCs w:val="20"/>
              </w:rPr>
              <w:t>Northern Territory</w:t>
            </w:r>
          </w:p>
          <w:p w14:paraId="7C619B96" w14:textId="77777777" w:rsidR="007D0385" w:rsidRPr="00A8360F" w:rsidRDefault="007D0385" w:rsidP="007D0385">
            <w:pPr>
              <w:spacing w:before="60" w:after="60"/>
              <w:rPr>
                <w:color w:val="FF0000"/>
                <w:sz w:val="20"/>
                <w:szCs w:val="20"/>
              </w:rPr>
            </w:pPr>
            <w:r w:rsidRPr="004A3C15">
              <w:rPr>
                <w:sz w:val="20"/>
                <w:szCs w:val="20"/>
              </w:rPr>
              <w:t>Northern Territory Board of Studies</w:t>
            </w:r>
            <w:r>
              <w:rPr>
                <w:sz w:val="20"/>
                <w:szCs w:val="20"/>
              </w:rPr>
              <w:t xml:space="preserve"> </w:t>
            </w:r>
          </w:p>
        </w:tc>
        <w:tc>
          <w:tcPr>
            <w:tcW w:w="1703" w:type="dxa"/>
            <w:tcBorders>
              <w:right w:val="single" w:sz="4" w:space="0" w:color="auto"/>
            </w:tcBorders>
          </w:tcPr>
          <w:p w14:paraId="479AB670" w14:textId="77777777" w:rsidR="007D0385" w:rsidRPr="004A3C15" w:rsidRDefault="007D0385" w:rsidP="007D0385">
            <w:pPr>
              <w:spacing w:before="60" w:after="60"/>
              <w:rPr>
                <w:sz w:val="20"/>
                <w:szCs w:val="20"/>
              </w:rPr>
            </w:pPr>
            <w:r w:rsidRPr="004A3C15">
              <w:rPr>
                <w:sz w:val="20"/>
                <w:szCs w:val="20"/>
              </w:rPr>
              <w:t xml:space="preserve">Refer to </w:t>
            </w:r>
            <w:proofErr w:type="spellStart"/>
            <w:r w:rsidRPr="004A3C15">
              <w:rPr>
                <w:sz w:val="20"/>
                <w:szCs w:val="20"/>
              </w:rPr>
              <w:t>SACE</w:t>
            </w:r>
            <w:proofErr w:type="spellEnd"/>
            <w:r w:rsidRPr="004A3C15">
              <w:rPr>
                <w:sz w:val="20"/>
                <w:szCs w:val="20"/>
              </w:rPr>
              <w:t xml:space="preserve"> Board requirements.</w:t>
            </w:r>
          </w:p>
        </w:tc>
        <w:tc>
          <w:tcPr>
            <w:tcW w:w="1410" w:type="dxa"/>
            <w:tcBorders>
              <w:left w:val="single" w:sz="4" w:space="0" w:color="auto"/>
              <w:right w:val="single" w:sz="4" w:space="0" w:color="auto"/>
            </w:tcBorders>
          </w:tcPr>
          <w:p w14:paraId="1555C493" w14:textId="77777777" w:rsidR="007D0385" w:rsidRPr="004A3C15" w:rsidRDefault="007D0385" w:rsidP="007D0385">
            <w:pPr>
              <w:spacing w:before="60" w:after="60"/>
              <w:rPr>
                <w:sz w:val="20"/>
                <w:szCs w:val="20"/>
              </w:rPr>
            </w:pPr>
          </w:p>
        </w:tc>
        <w:tc>
          <w:tcPr>
            <w:tcW w:w="3977" w:type="dxa"/>
            <w:gridSpan w:val="2"/>
            <w:tcBorders>
              <w:left w:val="single" w:sz="4" w:space="0" w:color="auto"/>
              <w:right w:val="single" w:sz="4" w:space="0" w:color="auto"/>
            </w:tcBorders>
          </w:tcPr>
          <w:p w14:paraId="166305BC" w14:textId="77777777" w:rsidR="007D0385" w:rsidRPr="004A3C15" w:rsidRDefault="007D0385" w:rsidP="007D0385">
            <w:pPr>
              <w:spacing w:before="60" w:after="60"/>
              <w:rPr>
                <w:sz w:val="20"/>
                <w:szCs w:val="20"/>
              </w:rPr>
            </w:pPr>
          </w:p>
        </w:tc>
        <w:tc>
          <w:tcPr>
            <w:tcW w:w="5242" w:type="dxa"/>
            <w:tcBorders>
              <w:left w:val="single" w:sz="4" w:space="0" w:color="auto"/>
            </w:tcBorders>
          </w:tcPr>
          <w:p w14:paraId="6FDFB7F7" w14:textId="77777777" w:rsidR="007D0385" w:rsidRPr="004A3C15" w:rsidRDefault="007D0385" w:rsidP="007D0385">
            <w:pPr>
              <w:spacing w:before="60" w:after="60"/>
              <w:rPr>
                <w:sz w:val="20"/>
                <w:szCs w:val="20"/>
              </w:rPr>
            </w:pPr>
          </w:p>
        </w:tc>
      </w:tr>
      <w:tr w:rsidR="007D0385" w:rsidRPr="004A3C15" w14:paraId="3D03A5A9" w14:textId="77777777" w:rsidTr="007D0385">
        <w:trPr>
          <w:cantSplit/>
        </w:trPr>
        <w:tc>
          <w:tcPr>
            <w:tcW w:w="2235" w:type="dxa"/>
            <w:tcBorders>
              <w:top w:val="single" w:sz="6" w:space="0" w:color="auto"/>
              <w:bottom w:val="single" w:sz="4" w:space="0" w:color="auto"/>
            </w:tcBorders>
          </w:tcPr>
          <w:p w14:paraId="6E1A3BD6" w14:textId="77777777" w:rsidR="007D0385" w:rsidRPr="004A3C15" w:rsidRDefault="007D0385" w:rsidP="007D0385">
            <w:pPr>
              <w:widowControl w:val="0"/>
              <w:autoSpaceDE w:val="0"/>
              <w:autoSpaceDN w:val="0"/>
              <w:adjustRightInd w:val="0"/>
              <w:spacing w:before="60" w:after="60"/>
              <w:ind w:right="-4366"/>
              <w:rPr>
                <w:sz w:val="20"/>
                <w:szCs w:val="20"/>
              </w:rPr>
            </w:pPr>
            <w:r w:rsidRPr="004A3C15">
              <w:rPr>
                <w:b/>
                <w:iCs/>
                <w:sz w:val="20"/>
                <w:szCs w:val="20"/>
              </w:rPr>
              <w:lastRenderedPageBreak/>
              <w:t>Queensland</w:t>
            </w:r>
          </w:p>
          <w:p w14:paraId="7F767301" w14:textId="77777777" w:rsidR="007D0385" w:rsidRPr="004A3C15" w:rsidRDefault="007D0385" w:rsidP="007D0385">
            <w:pPr>
              <w:spacing w:before="60" w:after="60"/>
              <w:rPr>
                <w:sz w:val="20"/>
                <w:szCs w:val="20"/>
              </w:rPr>
            </w:pPr>
            <w:r w:rsidRPr="004A3C15">
              <w:rPr>
                <w:sz w:val="20"/>
                <w:szCs w:val="20"/>
              </w:rPr>
              <w:t>Queensland Curriculum and Assessment Authority</w:t>
            </w:r>
          </w:p>
        </w:tc>
        <w:tc>
          <w:tcPr>
            <w:tcW w:w="1703" w:type="dxa"/>
            <w:tcBorders>
              <w:top w:val="single" w:sz="6" w:space="0" w:color="auto"/>
              <w:bottom w:val="single" w:sz="4" w:space="0" w:color="auto"/>
            </w:tcBorders>
          </w:tcPr>
          <w:p w14:paraId="7E26EDB6" w14:textId="77777777" w:rsidR="007D0385" w:rsidRPr="004A3C15" w:rsidRDefault="007D0385" w:rsidP="007D0385">
            <w:pPr>
              <w:spacing w:before="60" w:after="60"/>
              <w:rPr>
                <w:sz w:val="20"/>
                <w:szCs w:val="20"/>
              </w:rPr>
            </w:pPr>
            <w:r>
              <w:rPr>
                <w:sz w:val="20"/>
                <w:szCs w:val="20"/>
              </w:rPr>
              <w:t>Continuers</w:t>
            </w:r>
          </w:p>
        </w:tc>
        <w:tc>
          <w:tcPr>
            <w:tcW w:w="1417" w:type="dxa"/>
            <w:gridSpan w:val="2"/>
            <w:tcBorders>
              <w:top w:val="single" w:sz="6" w:space="0" w:color="auto"/>
              <w:bottom w:val="single" w:sz="4" w:space="0" w:color="auto"/>
            </w:tcBorders>
          </w:tcPr>
          <w:p w14:paraId="367A652A" w14:textId="77777777" w:rsidR="007D0385" w:rsidRPr="004A3C15" w:rsidRDefault="007D0385" w:rsidP="007D0385">
            <w:pPr>
              <w:spacing w:after="0"/>
              <w:rPr>
                <w:color w:val="211E1E"/>
                <w:sz w:val="20"/>
                <w:szCs w:val="20"/>
              </w:rPr>
            </w:pPr>
            <w:r w:rsidRPr="004A3C15">
              <w:rPr>
                <w:color w:val="211E1E"/>
                <w:sz w:val="20"/>
                <w:szCs w:val="20"/>
              </w:rPr>
              <w:t>Indonesian</w:t>
            </w:r>
          </w:p>
          <w:p w14:paraId="1087D474" w14:textId="77777777" w:rsidR="007D0385" w:rsidRDefault="007D0385" w:rsidP="007D0385">
            <w:pPr>
              <w:spacing w:after="0"/>
              <w:rPr>
                <w:sz w:val="20"/>
                <w:szCs w:val="20"/>
              </w:rPr>
            </w:pPr>
            <w:r w:rsidRPr="004A3C15">
              <w:rPr>
                <w:sz w:val="20"/>
                <w:szCs w:val="20"/>
              </w:rPr>
              <w:t>Chinese</w:t>
            </w:r>
          </w:p>
          <w:p w14:paraId="45EE1199" w14:textId="77777777" w:rsidR="007D0385" w:rsidRPr="004A3C15" w:rsidRDefault="007D0385" w:rsidP="007D0385">
            <w:pPr>
              <w:spacing w:after="0"/>
              <w:rPr>
                <w:color w:val="211E1E"/>
                <w:sz w:val="20"/>
                <w:szCs w:val="20"/>
              </w:rPr>
            </w:pPr>
            <w:r w:rsidRPr="004A3C15">
              <w:rPr>
                <w:color w:val="211E1E"/>
                <w:sz w:val="20"/>
                <w:szCs w:val="20"/>
              </w:rPr>
              <w:t>French</w:t>
            </w:r>
          </w:p>
          <w:p w14:paraId="592601E8" w14:textId="77777777" w:rsidR="007D0385" w:rsidRPr="004A3C15" w:rsidRDefault="007D0385" w:rsidP="007D0385">
            <w:pPr>
              <w:spacing w:after="0"/>
              <w:rPr>
                <w:color w:val="211E1E"/>
                <w:sz w:val="20"/>
                <w:szCs w:val="20"/>
              </w:rPr>
            </w:pPr>
            <w:r w:rsidRPr="004A3C15">
              <w:rPr>
                <w:color w:val="211E1E"/>
                <w:sz w:val="20"/>
                <w:szCs w:val="20"/>
              </w:rPr>
              <w:t>Italian</w:t>
            </w:r>
          </w:p>
          <w:p w14:paraId="22240DA1" w14:textId="77777777" w:rsidR="007D0385" w:rsidRDefault="007D0385" w:rsidP="007D0385">
            <w:pPr>
              <w:spacing w:after="0"/>
              <w:rPr>
                <w:color w:val="211E1E"/>
                <w:sz w:val="20"/>
                <w:szCs w:val="20"/>
              </w:rPr>
            </w:pPr>
            <w:r w:rsidRPr="004A3C15">
              <w:rPr>
                <w:color w:val="211E1E"/>
                <w:sz w:val="20"/>
                <w:szCs w:val="20"/>
              </w:rPr>
              <w:t>German</w:t>
            </w:r>
          </w:p>
          <w:p w14:paraId="5C2BA5FD" w14:textId="77777777" w:rsidR="007D0385" w:rsidRPr="004A3C15" w:rsidRDefault="007D0385" w:rsidP="007D0385">
            <w:pPr>
              <w:spacing w:after="0"/>
              <w:rPr>
                <w:color w:val="211E1E"/>
                <w:sz w:val="20"/>
                <w:szCs w:val="20"/>
              </w:rPr>
            </w:pPr>
            <w:r w:rsidRPr="004A3C15">
              <w:rPr>
                <w:color w:val="211E1E"/>
                <w:sz w:val="20"/>
                <w:szCs w:val="20"/>
              </w:rPr>
              <w:t>Japanese</w:t>
            </w:r>
          </w:p>
          <w:p w14:paraId="118BC636" w14:textId="77777777" w:rsidR="007D0385" w:rsidRPr="004A3C15" w:rsidRDefault="007D0385" w:rsidP="007D0385">
            <w:pPr>
              <w:spacing w:after="0"/>
              <w:rPr>
                <w:color w:val="211E1E"/>
                <w:sz w:val="20"/>
                <w:szCs w:val="20"/>
              </w:rPr>
            </w:pPr>
            <w:r w:rsidRPr="004A3C15">
              <w:rPr>
                <w:color w:val="211E1E"/>
                <w:sz w:val="20"/>
                <w:szCs w:val="20"/>
              </w:rPr>
              <w:t>Spanish</w:t>
            </w:r>
          </w:p>
          <w:p w14:paraId="3A3FBD4A" w14:textId="77777777" w:rsidR="007D0385" w:rsidRPr="004A3C15" w:rsidRDefault="007D0385" w:rsidP="007D0385">
            <w:pPr>
              <w:spacing w:after="0"/>
              <w:rPr>
                <w:color w:val="211E1E"/>
                <w:sz w:val="20"/>
                <w:szCs w:val="20"/>
              </w:rPr>
            </w:pPr>
            <w:r w:rsidRPr="004A3C15">
              <w:rPr>
                <w:color w:val="211E1E"/>
                <w:sz w:val="20"/>
                <w:szCs w:val="20"/>
              </w:rPr>
              <w:t>Modern-Greek</w:t>
            </w:r>
          </w:p>
          <w:p w14:paraId="3A4D9826" w14:textId="77777777" w:rsidR="007D0385" w:rsidRDefault="007D0385" w:rsidP="007D0385">
            <w:pPr>
              <w:spacing w:after="0"/>
              <w:rPr>
                <w:color w:val="211E1E"/>
                <w:sz w:val="20"/>
                <w:szCs w:val="20"/>
              </w:rPr>
            </w:pPr>
            <w:r w:rsidRPr="004A3C15">
              <w:rPr>
                <w:color w:val="211E1E"/>
                <w:sz w:val="20"/>
                <w:szCs w:val="20"/>
              </w:rPr>
              <w:t>Arabic</w:t>
            </w:r>
          </w:p>
          <w:p w14:paraId="4DD2C298" w14:textId="77777777" w:rsidR="007D0385" w:rsidRDefault="007D0385" w:rsidP="007D0385">
            <w:pPr>
              <w:spacing w:after="0"/>
              <w:rPr>
                <w:color w:val="211E1E"/>
                <w:sz w:val="20"/>
                <w:szCs w:val="20"/>
              </w:rPr>
            </w:pPr>
            <w:r w:rsidRPr="00280E43">
              <w:rPr>
                <w:color w:val="211E1E"/>
                <w:sz w:val="20"/>
                <w:szCs w:val="20"/>
              </w:rPr>
              <w:t>Vietnamese</w:t>
            </w:r>
          </w:p>
          <w:p w14:paraId="2980246D" w14:textId="77777777" w:rsidR="007D0385" w:rsidRDefault="007D0385" w:rsidP="007D0385">
            <w:pPr>
              <w:spacing w:after="0"/>
              <w:rPr>
                <w:color w:val="211E1E"/>
                <w:sz w:val="20"/>
                <w:szCs w:val="20"/>
              </w:rPr>
            </w:pPr>
            <w:r>
              <w:rPr>
                <w:color w:val="211E1E"/>
                <w:sz w:val="20"/>
                <w:szCs w:val="20"/>
              </w:rPr>
              <w:t>Korean</w:t>
            </w:r>
          </w:p>
          <w:p w14:paraId="34022FF5" w14:textId="77777777" w:rsidR="007D0385" w:rsidRDefault="007D0385" w:rsidP="007D0385">
            <w:pPr>
              <w:spacing w:after="0"/>
              <w:rPr>
                <w:color w:val="211E1E"/>
                <w:sz w:val="20"/>
                <w:szCs w:val="20"/>
              </w:rPr>
            </w:pPr>
            <w:r>
              <w:rPr>
                <w:color w:val="211E1E"/>
                <w:sz w:val="20"/>
                <w:szCs w:val="20"/>
              </w:rPr>
              <w:t>Polish</w:t>
            </w:r>
          </w:p>
          <w:p w14:paraId="52F692FC" w14:textId="77777777" w:rsidR="007D0385" w:rsidRDefault="007D0385" w:rsidP="007D0385">
            <w:pPr>
              <w:spacing w:after="0"/>
              <w:rPr>
                <w:color w:val="211E1E"/>
                <w:sz w:val="20"/>
                <w:szCs w:val="20"/>
              </w:rPr>
            </w:pPr>
            <w:r>
              <w:rPr>
                <w:color w:val="211E1E"/>
                <w:sz w:val="20"/>
                <w:szCs w:val="20"/>
              </w:rPr>
              <w:t>Punjabi</w:t>
            </w:r>
          </w:p>
          <w:p w14:paraId="5871A43D" w14:textId="77777777" w:rsidR="007D0385" w:rsidRPr="004A3C15" w:rsidRDefault="007D0385" w:rsidP="007D0385">
            <w:pPr>
              <w:spacing w:after="0"/>
              <w:rPr>
                <w:sz w:val="20"/>
                <w:szCs w:val="20"/>
              </w:rPr>
            </w:pPr>
            <w:r>
              <w:rPr>
                <w:color w:val="211E1E"/>
                <w:sz w:val="20"/>
                <w:szCs w:val="20"/>
              </w:rPr>
              <w:t>Russian</w:t>
            </w:r>
          </w:p>
          <w:p w14:paraId="1AB69812" w14:textId="77777777" w:rsidR="007D0385" w:rsidRDefault="007D0385" w:rsidP="007D0385">
            <w:pPr>
              <w:spacing w:after="0"/>
              <w:rPr>
                <w:sz w:val="20"/>
                <w:szCs w:val="20"/>
              </w:rPr>
            </w:pPr>
            <w:r w:rsidRPr="00DC32C1">
              <w:rPr>
                <w:sz w:val="20"/>
                <w:szCs w:val="20"/>
              </w:rPr>
              <w:t>Aboriginal and Torres Strait Islander Languages Trial</w:t>
            </w:r>
          </w:p>
          <w:p w14:paraId="69F4B132" w14:textId="77777777" w:rsidR="007D0385" w:rsidRPr="00A3146F" w:rsidRDefault="007D0385" w:rsidP="007D0385">
            <w:pPr>
              <w:spacing w:after="0"/>
              <w:rPr>
                <w:color w:val="211E1E"/>
                <w:sz w:val="20"/>
                <w:szCs w:val="20"/>
              </w:rPr>
            </w:pPr>
            <w:r>
              <w:rPr>
                <w:sz w:val="20"/>
                <w:szCs w:val="20"/>
              </w:rPr>
              <w:t>(currently not offered by any school in Queensland)</w:t>
            </w:r>
          </w:p>
        </w:tc>
        <w:tc>
          <w:tcPr>
            <w:tcW w:w="3970" w:type="dxa"/>
            <w:tcBorders>
              <w:bottom w:val="single" w:sz="4" w:space="0" w:color="auto"/>
            </w:tcBorders>
          </w:tcPr>
          <w:p w14:paraId="6B3EB004" w14:textId="77777777" w:rsidR="007D0385" w:rsidRPr="004A3C15" w:rsidRDefault="007D0385" w:rsidP="007D0385">
            <w:pPr>
              <w:spacing w:before="60" w:after="60"/>
              <w:rPr>
                <w:sz w:val="20"/>
                <w:szCs w:val="20"/>
              </w:rPr>
            </w:pPr>
            <w:r>
              <w:rPr>
                <w:sz w:val="20"/>
                <w:szCs w:val="20"/>
              </w:rPr>
              <w:t xml:space="preserve">Students who wish to study an </w:t>
            </w:r>
            <w:r w:rsidRPr="004A3C15">
              <w:rPr>
                <w:sz w:val="20"/>
                <w:szCs w:val="20"/>
              </w:rPr>
              <w:t>additional language and who studied the language at junior secondary in Australia or in a similar environment</w:t>
            </w:r>
            <w:r>
              <w:rPr>
                <w:sz w:val="20"/>
                <w:szCs w:val="20"/>
              </w:rPr>
              <w:t>.</w:t>
            </w:r>
          </w:p>
        </w:tc>
        <w:tc>
          <w:tcPr>
            <w:tcW w:w="5242" w:type="dxa"/>
            <w:tcBorders>
              <w:bottom w:val="single" w:sz="4" w:space="0" w:color="auto"/>
            </w:tcBorders>
          </w:tcPr>
          <w:p w14:paraId="5EF37606" w14:textId="77777777" w:rsidR="007D0385" w:rsidRPr="004A3C15" w:rsidRDefault="007D0385" w:rsidP="007D0385">
            <w:pPr>
              <w:spacing w:before="60" w:after="60"/>
              <w:contextualSpacing/>
              <w:rPr>
                <w:sz w:val="20"/>
                <w:szCs w:val="20"/>
              </w:rPr>
            </w:pPr>
            <w:r>
              <w:rPr>
                <w:sz w:val="20"/>
                <w:szCs w:val="20"/>
              </w:rPr>
              <w:t>S</w:t>
            </w:r>
            <w:r w:rsidRPr="004A3C15">
              <w:rPr>
                <w:sz w:val="20"/>
                <w:szCs w:val="20"/>
              </w:rPr>
              <w:t>tudy throughout Years 8, 9 and 10, other students with less formal language learning experience may meet the requirements of the syllabus successfully</w:t>
            </w:r>
          </w:p>
        </w:tc>
      </w:tr>
      <w:tr w:rsidR="007D0385" w:rsidRPr="004A3C15" w14:paraId="1D6A09AA" w14:textId="77777777" w:rsidTr="007D0385">
        <w:trPr>
          <w:cantSplit/>
          <w:trHeight w:val="1380"/>
        </w:trPr>
        <w:tc>
          <w:tcPr>
            <w:tcW w:w="2235" w:type="dxa"/>
            <w:tcBorders>
              <w:top w:val="single" w:sz="4" w:space="0" w:color="auto"/>
            </w:tcBorders>
          </w:tcPr>
          <w:p w14:paraId="4FF72A4C" w14:textId="77777777" w:rsidR="007D0385" w:rsidRPr="004A3C15" w:rsidRDefault="007D0385" w:rsidP="007D0385">
            <w:pPr>
              <w:widowControl w:val="0"/>
              <w:autoSpaceDE w:val="0"/>
              <w:autoSpaceDN w:val="0"/>
              <w:adjustRightInd w:val="0"/>
              <w:spacing w:before="60" w:after="60"/>
              <w:ind w:right="-4366"/>
              <w:rPr>
                <w:sz w:val="20"/>
                <w:szCs w:val="20"/>
              </w:rPr>
            </w:pPr>
            <w:r w:rsidRPr="004A3C15">
              <w:rPr>
                <w:b/>
                <w:iCs/>
                <w:sz w:val="20"/>
                <w:szCs w:val="20"/>
              </w:rPr>
              <w:lastRenderedPageBreak/>
              <w:t>Queensland</w:t>
            </w:r>
          </w:p>
          <w:p w14:paraId="581E80A5" w14:textId="77777777" w:rsidR="007D0385" w:rsidRPr="004A3C15" w:rsidRDefault="007D0385" w:rsidP="007D0385">
            <w:pPr>
              <w:spacing w:before="60" w:after="60"/>
              <w:rPr>
                <w:iCs/>
                <w:sz w:val="20"/>
                <w:szCs w:val="20"/>
              </w:rPr>
            </w:pPr>
            <w:r w:rsidRPr="004A3C15">
              <w:rPr>
                <w:sz w:val="20"/>
                <w:szCs w:val="20"/>
              </w:rPr>
              <w:t>Queensland Curriculum and Assessment Authority</w:t>
            </w:r>
          </w:p>
        </w:tc>
        <w:tc>
          <w:tcPr>
            <w:tcW w:w="1703" w:type="dxa"/>
            <w:tcBorders>
              <w:top w:val="single" w:sz="4" w:space="0" w:color="auto"/>
            </w:tcBorders>
          </w:tcPr>
          <w:p w14:paraId="253A2E62" w14:textId="77777777" w:rsidR="007D0385" w:rsidRDefault="007D0385" w:rsidP="007D0385">
            <w:pPr>
              <w:spacing w:before="60" w:after="60"/>
              <w:rPr>
                <w:sz w:val="20"/>
                <w:szCs w:val="20"/>
              </w:rPr>
            </w:pPr>
            <w:r>
              <w:rPr>
                <w:sz w:val="20"/>
                <w:szCs w:val="20"/>
              </w:rPr>
              <w:t>Beginners/current users of a language in a community</w:t>
            </w:r>
          </w:p>
          <w:p w14:paraId="4412236B" w14:textId="77777777" w:rsidR="007D0385" w:rsidRPr="003858E8" w:rsidRDefault="007D0385" w:rsidP="00F666F6">
            <w:pPr>
              <w:numPr>
                <w:ilvl w:val="0"/>
                <w:numId w:val="23"/>
              </w:numPr>
              <w:spacing w:before="60" w:after="60"/>
              <w:ind w:left="318" w:hanging="142"/>
              <w:rPr>
                <w:sz w:val="20"/>
                <w:szCs w:val="20"/>
              </w:rPr>
            </w:pPr>
            <w:r w:rsidRPr="003858E8">
              <w:rPr>
                <w:sz w:val="20"/>
                <w:szCs w:val="20"/>
              </w:rPr>
              <w:t>Maintaining language</w:t>
            </w:r>
          </w:p>
          <w:p w14:paraId="06E59418" w14:textId="77777777" w:rsidR="007D0385" w:rsidRDefault="007D0385" w:rsidP="00F666F6">
            <w:pPr>
              <w:numPr>
                <w:ilvl w:val="0"/>
                <w:numId w:val="23"/>
              </w:numPr>
              <w:spacing w:before="60" w:after="60"/>
              <w:ind w:left="318" w:hanging="142"/>
              <w:rPr>
                <w:sz w:val="20"/>
                <w:szCs w:val="20"/>
              </w:rPr>
            </w:pPr>
            <w:r>
              <w:rPr>
                <w:sz w:val="20"/>
                <w:szCs w:val="20"/>
              </w:rPr>
              <w:t>R</w:t>
            </w:r>
            <w:r w:rsidRPr="003858E8">
              <w:rPr>
                <w:sz w:val="20"/>
                <w:szCs w:val="20"/>
              </w:rPr>
              <w:t>evitalising language</w:t>
            </w:r>
          </w:p>
        </w:tc>
        <w:tc>
          <w:tcPr>
            <w:tcW w:w="1417" w:type="dxa"/>
            <w:gridSpan w:val="2"/>
            <w:tcBorders>
              <w:top w:val="single" w:sz="4" w:space="0" w:color="auto"/>
            </w:tcBorders>
          </w:tcPr>
          <w:p w14:paraId="306F167D" w14:textId="77777777" w:rsidR="007D0385" w:rsidRPr="004A3C15" w:rsidRDefault="007D0385" w:rsidP="007D0385">
            <w:pPr>
              <w:spacing w:after="0"/>
              <w:rPr>
                <w:color w:val="211E1E"/>
                <w:sz w:val="20"/>
                <w:szCs w:val="20"/>
              </w:rPr>
            </w:pPr>
            <w:r w:rsidRPr="004A3C15">
              <w:rPr>
                <w:color w:val="211E1E"/>
                <w:sz w:val="20"/>
                <w:szCs w:val="20"/>
              </w:rPr>
              <w:t>Indonesian</w:t>
            </w:r>
          </w:p>
          <w:p w14:paraId="30BE94F9" w14:textId="77777777" w:rsidR="007D0385" w:rsidRDefault="007D0385" w:rsidP="007D0385">
            <w:pPr>
              <w:spacing w:after="0"/>
              <w:rPr>
                <w:sz w:val="20"/>
                <w:szCs w:val="20"/>
              </w:rPr>
            </w:pPr>
            <w:r w:rsidRPr="004A3C15">
              <w:rPr>
                <w:sz w:val="20"/>
                <w:szCs w:val="20"/>
              </w:rPr>
              <w:t>Chinese</w:t>
            </w:r>
          </w:p>
          <w:p w14:paraId="1A65ECF3" w14:textId="77777777" w:rsidR="007D0385" w:rsidRPr="004A3C15" w:rsidRDefault="007D0385" w:rsidP="007D0385">
            <w:pPr>
              <w:spacing w:after="0"/>
              <w:rPr>
                <w:color w:val="211E1E"/>
                <w:sz w:val="20"/>
                <w:szCs w:val="20"/>
              </w:rPr>
            </w:pPr>
            <w:r w:rsidRPr="004A3C15">
              <w:rPr>
                <w:color w:val="211E1E"/>
                <w:sz w:val="20"/>
                <w:szCs w:val="20"/>
              </w:rPr>
              <w:t>French</w:t>
            </w:r>
          </w:p>
          <w:p w14:paraId="533FED9C" w14:textId="77777777" w:rsidR="007D0385" w:rsidRPr="004A3C15" w:rsidRDefault="007D0385" w:rsidP="007D0385">
            <w:pPr>
              <w:spacing w:after="0"/>
              <w:rPr>
                <w:color w:val="211E1E"/>
                <w:sz w:val="20"/>
                <w:szCs w:val="20"/>
              </w:rPr>
            </w:pPr>
            <w:r w:rsidRPr="004A3C15">
              <w:rPr>
                <w:color w:val="211E1E"/>
                <w:sz w:val="20"/>
                <w:szCs w:val="20"/>
              </w:rPr>
              <w:t>Italian</w:t>
            </w:r>
          </w:p>
          <w:p w14:paraId="568B5083" w14:textId="77777777" w:rsidR="007D0385" w:rsidRDefault="007D0385" w:rsidP="007D0385">
            <w:pPr>
              <w:spacing w:after="0"/>
              <w:rPr>
                <w:color w:val="211E1E"/>
                <w:sz w:val="20"/>
                <w:szCs w:val="20"/>
              </w:rPr>
            </w:pPr>
            <w:r w:rsidRPr="004A3C15">
              <w:rPr>
                <w:color w:val="211E1E"/>
                <w:sz w:val="20"/>
                <w:szCs w:val="20"/>
              </w:rPr>
              <w:t>German</w:t>
            </w:r>
          </w:p>
          <w:p w14:paraId="399C9F6F" w14:textId="77777777" w:rsidR="007D0385" w:rsidRPr="004A3C15" w:rsidRDefault="007D0385" w:rsidP="007D0385">
            <w:pPr>
              <w:spacing w:after="0"/>
              <w:rPr>
                <w:color w:val="211E1E"/>
                <w:sz w:val="20"/>
                <w:szCs w:val="20"/>
              </w:rPr>
            </w:pPr>
            <w:r w:rsidRPr="004A3C15">
              <w:rPr>
                <w:color w:val="211E1E"/>
                <w:sz w:val="20"/>
                <w:szCs w:val="20"/>
              </w:rPr>
              <w:t>Japanese</w:t>
            </w:r>
          </w:p>
          <w:p w14:paraId="489D4A1A" w14:textId="77777777" w:rsidR="007D0385" w:rsidRPr="004A3C15" w:rsidRDefault="007D0385" w:rsidP="007D0385">
            <w:pPr>
              <w:spacing w:after="0"/>
              <w:rPr>
                <w:color w:val="211E1E"/>
                <w:sz w:val="20"/>
                <w:szCs w:val="20"/>
              </w:rPr>
            </w:pPr>
            <w:r w:rsidRPr="004A3C15">
              <w:rPr>
                <w:color w:val="211E1E"/>
                <w:sz w:val="20"/>
                <w:szCs w:val="20"/>
              </w:rPr>
              <w:t>Spanish</w:t>
            </w:r>
          </w:p>
          <w:p w14:paraId="5530AD0C" w14:textId="77777777" w:rsidR="007D0385" w:rsidRPr="004A3C15" w:rsidRDefault="007D0385" w:rsidP="007D0385">
            <w:pPr>
              <w:spacing w:after="0"/>
              <w:rPr>
                <w:color w:val="211E1E"/>
                <w:sz w:val="20"/>
                <w:szCs w:val="20"/>
              </w:rPr>
            </w:pPr>
            <w:r w:rsidRPr="004A3C15">
              <w:rPr>
                <w:color w:val="211E1E"/>
                <w:sz w:val="20"/>
                <w:szCs w:val="20"/>
              </w:rPr>
              <w:t>Modern-Greek</w:t>
            </w:r>
          </w:p>
          <w:p w14:paraId="476B8AE3" w14:textId="77777777" w:rsidR="007D0385" w:rsidRDefault="007D0385" w:rsidP="007D0385">
            <w:pPr>
              <w:spacing w:after="0"/>
              <w:rPr>
                <w:color w:val="211E1E"/>
                <w:sz w:val="20"/>
                <w:szCs w:val="20"/>
              </w:rPr>
            </w:pPr>
            <w:r w:rsidRPr="004A3C15">
              <w:rPr>
                <w:color w:val="211E1E"/>
                <w:sz w:val="20"/>
                <w:szCs w:val="20"/>
              </w:rPr>
              <w:t>Arabic</w:t>
            </w:r>
          </w:p>
          <w:p w14:paraId="03BC0507" w14:textId="77777777" w:rsidR="007D0385" w:rsidRDefault="007D0385" w:rsidP="007D0385">
            <w:pPr>
              <w:spacing w:after="0"/>
              <w:rPr>
                <w:color w:val="211E1E"/>
                <w:sz w:val="20"/>
                <w:szCs w:val="20"/>
              </w:rPr>
            </w:pPr>
            <w:r w:rsidRPr="00280E43">
              <w:rPr>
                <w:color w:val="211E1E"/>
                <w:sz w:val="20"/>
                <w:szCs w:val="20"/>
              </w:rPr>
              <w:t>Vietnamese</w:t>
            </w:r>
          </w:p>
          <w:p w14:paraId="5F1999DC" w14:textId="77777777" w:rsidR="007D0385" w:rsidRDefault="007D0385" w:rsidP="007D0385">
            <w:pPr>
              <w:spacing w:after="0"/>
              <w:rPr>
                <w:color w:val="211E1E"/>
                <w:sz w:val="20"/>
                <w:szCs w:val="20"/>
              </w:rPr>
            </w:pPr>
            <w:r>
              <w:rPr>
                <w:color w:val="211E1E"/>
                <w:sz w:val="20"/>
                <w:szCs w:val="20"/>
              </w:rPr>
              <w:t>Korean</w:t>
            </w:r>
          </w:p>
          <w:p w14:paraId="74306F3A" w14:textId="77777777" w:rsidR="007D0385" w:rsidRDefault="007D0385" w:rsidP="007D0385">
            <w:pPr>
              <w:spacing w:after="0"/>
              <w:rPr>
                <w:color w:val="211E1E"/>
                <w:sz w:val="20"/>
                <w:szCs w:val="20"/>
              </w:rPr>
            </w:pPr>
            <w:r>
              <w:rPr>
                <w:color w:val="211E1E"/>
                <w:sz w:val="20"/>
                <w:szCs w:val="20"/>
              </w:rPr>
              <w:t>Polish</w:t>
            </w:r>
          </w:p>
          <w:p w14:paraId="0127E9E7" w14:textId="77777777" w:rsidR="007D0385" w:rsidRDefault="007D0385" w:rsidP="007D0385">
            <w:pPr>
              <w:spacing w:after="0"/>
              <w:rPr>
                <w:color w:val="211E1E"/>
                <w:sz w:val="20"/>
                <w:szCs w:val="20"/>
              </w:rPr>
            </w:pPr>
            <w:r>
              <w:rPr>
                <w:color w:val="211E1E"/>
                <w:sz w:val="20"/>
                <w:szCs w:val="20"/>
              </w:rPr>
              <w:t>Punjabi</w:t>
            </w:r>
          </w:p>
          <w:p w14:paraId="7344F0B2" w14:textId="77777777" w:rsidR="007D0385" w:rsidRPr="004A3C15" w:rsidRDefault="007D0385" w:rsidP="007D0385">
            <w:pPr>
              <w:spacing w:after="0"/>
              <w:rPr>
                <w:sz w:val="20"/>
                <w:szCs w:val="20"/>
              </w:rPr>
            </w:pPr>
            <w:r>
              <w:rPr>
                <w:color w:val="211E1E"/>
                <w:sz w:val="20"/>
                <w:szCs w:val="20"/>
              </w:rPr>
              <w:t>Russian</w:t>
            </w:r>
          </w:p>
          <w:p w14:paraId="36D2DC32" w14:textId="77777777" w:rsidR="007D0385" w:rsidRDefault="007D0385" w:rsidP="007D0385">
            <w:pPr>
              <w:spacing w:after="0"/>
              <w:rPr>
                <w:sz w:val="20"/>
                <w:szCs w:val="20"/>
              </w:rPr>
            </w:pPr>
            <w:r w:rsidRPr="00DC32C1">
              <w:rPr>
                <w:sz w:val="20"/>
                <w:szCs w:val="20"/>
              </w:rPr>
              <w:t>Aboriginal and Torres Strait Islander Languages Trial</w:t>
            </w:r>
          </w:p>
          <w:p w14:paraId="52562F06" w14:textId="77777777" w:rsidR="007D0385" w:rsidRPr="004A3C15" w:rsidRDefault="007D0385" w:rsidP="007D0385">
            <w:pPr>
              <w:spacing w:after="0"/>
              <w:rPr>
                <w:sz w:val="20"/>
                <w:szCs w:val="20"/>
              </w:rPr>
            </w:pPr>
            <w:r>
              <w:rPr>
                <w:sz w:val="20"/>
                <w:szCs w:val="20"/>
              </w:rPr>
              <w:t>(currently not offered by any school in Queensland)</w:t>
            </w:r>
          </w:p>
        </w:tc>
        <w:tc>
          <w:tcPr>
            <w:tcW w:w="3970" w:type="dxa"/>
            <w:tcBorders>
              <w:top w:val="single" w:sz="4" w:space="0" w:color="auto"/>
            </w:tcBorders>
          </w:tcPr>
          <w:p w14:paraId="4F56D03F" w14:textId="77777777" w:rsidR="007D0385" w:rsidRPr="00DC32C1" w:rsidRDefault="007D0385" w:rsidP="007D0385">
            <w:pPr>
              <w:spacing w:before="60" w:after="60"/>
              <w:rPr>
                <w:sz w:val="20"/>
                <w:szCs w:val="20"/>
              </w:rPr>
            </w:pPr>
            <w:r w:rsidRPr="00DC32C1">
              <w:rPr>
                <w:sz w:val="20"/>
                <w:szCs w:val="20"/>
              </w:rPr>
              <w:t>The Aboriginal and Torres Strait Islander Languages syllabus has been designed for all Queensland students — Indigenous and non-Indigenous — in the senior phase of learning who wish to gain knowledge and skill in Indigenous languages. Prior knowledge of any aspect of the language targeted for study is welcomed but not expected.</w:t>
            </w:r>
          </w:p>
          <w:p w14:paraId="507FDD46" w14:textId="77777777" w:rsidR="007D0385" w:rsidRPr="00DC32C1" w:rsidRDefault="007D0385" w:rsidP="007D0385">
            <w:pPr>
              <w:spacing w:before="60" w:after="60"/>
              <w:rPr>
                <w:sz w:val="20"/>
                <w:szCs w:val="20"/>
              </w:rPr>
            </w:pPr>
            <w:r w:rsidRPr="00DC32C1">
              <w:rPr>
                <w:sz w:val="20"/>
                <w:szCs w:val="20"/>
              </w:rPr>
              <w:t>Indigenous students include all Aboriginal students and Torres Strait Islander students.</w:t>
            </w:r>
          </w:p>
          <w:p w14:paraId="54589ED8" w14:textId="77777777" w:rsidR="007D0385" w:rsidRPr="00DC32C1" w:rsidRDefault="007D0385" w:rsidP="007D0385">
            <w:pPr>
              <w:spacing w:before="60" w:after="60"/>
              <w:rPr>
                <w:sz w:val="20"/>
                <w:szCs w:val="20"/>
              </w:rPr>
            </w:pPr>
            <w:r w:rsidRPr="00DC32C1">
              <w:rPr>
                <w:sz w:val="20"/>
                <w:szCs w:val="20"/>
              </w:rPr>
              <w:t>Non-Indigenous students include all students who do not identify as an Aboriginal person or Torres Strait Islander person from Australia.</w:t>
            </w:r>
          </w:p>
          <w:p w14:paraId="66D2AB32" w14:textId="77777777" w:rsidR="007D0385" w:rsidRPr="00DC32C1" w:rsidRDefault="007D0385" w:rsidP="007D0385">
            <w:pPr>
              <w:spacing w:before="60" w:after="60"/>
              <w:rPr>
                <w:sz w:val="20"/>
                <w:szCs w:val="20"/>
              </w:rPr>
            </w:pPr>
            <w:r w:rsidRPr="00DC32C1">
              <w:rPr>
                <w:sz w:val="20"/>
                <w:szCs w:val="20"/>
              </w:rPr>
              <w:t>Note that throughout this document:</w:t>
            </w:r>
          </w:p>
          <w:p w14:paraId="3AFE7821" w14:textId="77777777" w:rsidR="007D0385" w:rsidRPr="00DC32C1" w:rsidRDefault="007D0385" w:rsidP="00F666F6">
            <w:pPr>
              <w:pStyle w:val="ListParagraph"/>
              <w:keepNext w:val="0"/>
              <w:keepLines w:val="0"/>
              <w:numPr>
                <w:ilvl w:val="0"/>
                <w:numId w:val="25"/>
              </w:numPr>
              <w:spacing w:before="60" w:after="60" w:line="240" w:lineRule="auto"/>
              <w:ind w:left="317" w:hanging="284"/>
              <w:rPr>
                <w:sz w:val="20"/>
                <w:szCs w:val="20"/>
              </w:rPr>
            </w:pPr>
            <w:r w:rsidRPr="00DC32C1">
              <w:rPr>
                <w:sz w:val="20"/>
                <w:szCs w:val="20"/>
              </w:rPr>
              <w:t>the term ―</w:t>
            </w:r>
            <w:r>
              <w:rPr>
                <w:sz w:val="20"/>
                <w:szCs w:val="20"/>
              </w:rPr>
              <w:t xml:space="preserve"> </w:t>
            </w:r>
            <w:proofErr w:type="spellStart"/>
            <w:r w:rsidRPr="00DC32C1">
              <w:rPr>
                <w:sz w:val="20"/>
                <w:szCs w:val="20"/>
              </w:rPr>
              <w:t>Indigenous‖is</w:t>
            </w:r>
            <w:proofErr w:type="spellEnd"/>
            <w:r w:rsidRPr="00DC32C1">
              <w:rPr>
                <w:sz w:val="20"/>
                <w:szCs w:val="20"/>
              </w:rPr>
              <w:t xml:space="preserve"> intended to include Australian Aboriginal people and Torres Strait Islander people</w:t>
            </w:r>
          </w:p>
          <w:p w14:paraId="4F535118" w14:textId="77777777" w:rsidR="007D0385" w:rsidRPr="00DC32C1" w:rsidRDefault="007D0385" w:rsidP="007D0385">
            <w:pPr>
              <w:numPr>
                <w:ilvl w:val="0"/>
                <w:numId w:val="6"/>
              </w:numPr>
              <w:spacing w:before="60" w:after="60"/>
              <w:ind w:left="317" w:hanging="283"/>
              <w:rPr>
                <w:sz w:val="20"/>
                <w:szCs w:val="20"/>
              </w:rPr>
            </w:pPr>
            <w:proofErr w:type="gramStart"/>
            <w:r w:rsidRPr="00DC32C1">
              <w:rPr>
                <w:sz w:val="20"/>
                <w:szCs w:val="20"/>
              </w:rPr>
              <w:t>the</w:t>
            </w:r>
            <w:proofErr w:type="gramEnd"/>
            <w:r w:rsidRPr="00DC32C1">
              <w:rPr>
                <w:sz w:val="20"/>
                <w:szCs w:val="20"/>
              </w:rPr>
              <w:t xml:space="preserve"> term ―</w:t>
            </w:r>
            <w:r>
              <w:rPr>
                <w:sz w:val="20"/>
                <w:szCs w:val="20"/>
              </w:rPr>
              <w:t xml:space="preserve"> </w:t>
            </w:r>
            <w:r w:rsidRPr="00DC32C1">
              <w:rPr>
                <w:sz w:val="20"/>
                <w:szCs w:val="20"/>
              </w:rPr>
              <w:t>Australian languages‖ refers to Aboriginal languages and Torres Strait Islander languages.</w:t>
            </w:r>
          </w:p>
        </w:tc>
        <w:tc>
          <w:tcPr>
            <w:tcW w:w="5242" w:type="dxa"/>
            <w:tcBorders>
              <w:top w:val="single" w:sz="4" w:space="0" w:color="auto"/>
            </w:tcBorders>
          </w:tcPr>
          <w:p w14:paraId="4A5AEE05" w14:textId="77777777" w:rsidR="007D0385" w:rsidRPr="004A3C15" w:rsidRDefault="007D0385" w:rsidP="007D0385">
            <w:pPr>
              <w:spacing w:before="60" w:after="60"/>
              <w:rPr>
                <w:sz w:val="20"/>
                <w:szCs w:val="20"/>
              </w:rPr>
            </w:pPr>
          </w:p>
        </w:tc>
      </w:tr>
      <w:tr w:rsidR="007D0385" w:rsidRPr="004A3C15" w14:paraId="3AB122E6" w14:textId="77777777" w:rsidTr="007D0385">
        <w:trPr>
          <w:cantSplit/>
          <w:trHeight w:val="2815"/>
        </w:trPr>
        <w:tc>
          <w:tcPr>
            <w:tcW w:w="2235" w:type="dxa"/>
            <w:tcBorders>
              <w:top w:val="single" w:sz="4" w:space="0" w:color="auto"/>
              <w:bottom w:val="single" w:sz="4" w:space="0" w:color="auto"/>
            </w:tcBorders>
          </w:tcPr>
          <w:p w14:paraId="08017C0E" w14:textId="77777777" w:rsidR="007D0385" w:rsidRPr="000559B3" w:rsidRDefault="007D0385" w:rsidP="007D0385">
            <w:pPr>
              <w:widowControl w:val="0"/>
              <w:autoSpaceDE w:val="0"/>
              <w:autoSpaceDN w:val="0"/>
              <w:adjustRightInd w:val="0"/>
              <w:spacing w:before="60" w:after="60"/>
              <w:ind w:right="-4366"/>
              <w:rPr>
                <w:b/>
                <w:iCs/>
                <w:sz w:val="20"/>
                <w:szCs w:val="20"/>
              </w:rPr>
            </w:pPr>
            <w:r w:rsidRPr="000559B3">
              <w:rPr>
                <w:b/>
                <w:iCs/>
                <w:sz w:val="20"/>
                <w:szCs w:val="20"/>
              </w:rPr>
              <w:lastRenderedPageBreak/>
              <w:t>South Australia</w:t>
            </w:r>
          </w:p>
          <w:p w14:paraId="3C00C887" w14:textId="77777777" w:rsidR="007D0385" w:rsidRPr="000559B3" w:rsidRDefault="007D0385" w:rsidP="007D0385">
            <w:pPr>
              <w:widowControl w:val="0"/>
              <w:autoSpaceDE w:val="0"/>
              <w:autoSpaceDN w:val="0"/>
              <w:adjustRightInd w:val="0"/>
              <w:spacing w:before="60" w:after="60"/>
              <w:ind w:right="-4366"/>
              <w:rPr>
                <w:iCs/>
                <w:sz w:val="20"/>
                <w:szCs w:val="20"/>
              </w:rPr>
            </w:pPr>
            <w:proofErr w:type="spellStart"/>
            <w:r w:rsidRPr="000559B3">
              <w:rPr>
                <w:iCs/>
                <w:sz w:val="20"/>
                <w:szCs w:val="20"/>
              </w:rPr>
              <w:t>SACE</w:t>
            </w:r>
            <w:proofErr w:type="spellEnd"/>
            <w:r w:rsidRPr="000559B3">
              <w:rPr>
                <w:iCs/>
                <w:sz w:val="20"/>
                <w:szCs w:val="20"/>
              </w:rPr>
              <w:t xml:space="preserve"> Board SA</w:t>
            </w:r>
          </w:p>
        </w:tc>
        <w:tc>
          <w:tcPr>
            <w:tcW w:w="1703" w:type="dxa"/>
            <w:tcBorders>
              <w:bottom w:val="single" w:sz="4" w:space="0" w:color="auto"/>
            </w:tcBorders>
          </w:tcPr>
          <w:p w14:paraId="0519B9AA" w14:textId="77777777" w:rsidR="007D0385" w:rsidRPr="004A3C15" w:rsidRDefault="007D0385" w:rsidP="007D0385">
            <w:pPr>
              <w:spacing w:before="60" w:after="60"/>
              <w:rPr>
                <w:sz w:val="20"/>
                <w:szCs w:val="20"/>
              </w:rPr>
            </w:pPr>
            <w:r w:rsidRPr="004A3C15">
              <w:rPr>
                <w:sz w:val="20"/>
                <w:szCs w:val="20"/>
              </w:rPr>
              <w:t>Beginners</w:t>
            </w:r>
          </w:p>
        </w:tc>
        <w:tc>
          <w:tcPr>
            <w:tcW w:w="1417" w:type="dxa"/>
            <w:gridSpan w:val="2"/>
            <w:tcBorders>
              <w:bottom w:val="single" w:sz="4" w:space="0" w:color="auto"/>
            </w:tcBorders>
          </w:tcPr>
          <w:p w14:paraId="46F46156" w14:textId="77777777" w:rsidR="007D0385" w:rsidRPr="004A3C15" w:rsidRDefault="007D0385" w:rsidP="007D0385">
            <w:pPr>
              <w:spacing w:before="60" w:after="60"/>
              <w:rPr>
                <w:color w:val="211E1E"/>
                <w:sz w:val="20"/>
                <w:szCs w:val="20"/>
              </w:rPr>
            </w:pPr>
            <w:r w:rsidRPr="004A3C15">
              <w:rPr>
                <w:color w:val="211E1E"/>
                <w:sz w:val="20"/>
                <w:szCs w:val="20"/>
              </w:rPr>
              <w:t>French</w:t>
            </w:r>
          </w:p>
          <w:p w14:paraId="2846EB06" w14:textId="77777777" w:rsidR="007D0385" w:rsidRPr="004A3C15" w:rsidRDefault="007D0385" w:rsidP="007D0385">
            <w:pPr>
              <w:spacing w:before="60" w:after="60"/>
              <w:rPr>
                <w:color w:val="211E1E"/>
                <w:sz w:val="20"/>
                <w:szCs w:val="20"/>
              </w:rPr>
            </w:pPr>
            <w:r w:rsidRPr="004A3C15">
              <w:rPr>
                <w:color w:val="211E1E"/>
                <w:sz w:val="20"/>
                <w:szCs w:val="20"/>
              </w:rPr>
              <w:t>Italian</w:t>
            </w:r>
          </w:p>
          <w:p w14:paraId="43B3034C" w14:textId="77777777" w:rsidR="007D0385" w:rsidRPr="004A3C15" w:rsidRDefault="007D0385" w:rsidP="007D0385">
            <w:pPr>
              <w:spacing w:before="60" w:after="60"/>
              <w:rPr>
                <w:color w:val="211E1E"/>
                <w:sz w:val="20"/>
                <w:szCs w:val="20"/>
              </w:rPr>
            </w:pPr>
            <w:r w:rsidRPr="004A3C15">
              <w:rPr>
                <w:color w:val="211E1E"/>
                <w:sz w:val="20"/>
                <w:szCs w:val="20"/>
              </w:rPr>
              <w:t>Chinese</w:t>
            </w:r>
          </w:p>
          <w:p w14:paraId="45924457" w14:textId="77777777" w:rsidR="007D0385" w:rsidRPr="004A3C15" w:rsidRDefault="007D0385" w:rsidP="007D0385">
            <w:pPr>
              <w:spacing w:before="60" w:after="60"/>
              <w:rPr>
                <w:color w:val="211E1E"/>
                <w:sz w:val="20"/>
                <w:szCs w:val="20"/>
              </w:rPr>
            </w:pPr>
            <w:r w:rsidRPr="004A3C15">
              <w:rPr>
                <w:color w:val="211E1E"/>
                <w:sz w:val="20"/>
                <w:szCs w:val="20"/>
              </w:rPr>
              <w:t>German</w:t>
            </w:r>
          </w:p>
          <w:p w14:paraId="17548D42" w14:textId="77777777" w:rsidR="007D0385" w:rsidRPr="004A3C15" w:rsidRDefault="007D0385" w:rsidP="007D0385">
            <w:pPr>
              <w:spacing w:before="60" w:after="60"/>
              <w:rPr>
                <w:color w:val="211E1E"/>
                <w:sz w:val="20"/>
                <w:szCs w:val="20"/>
              </w:rPr>
            </w:pPr>
            <w:r w:rsidRPr="004A3C15">
              <w:rPr>
                <w:color w:val="211E1E"/>
                <w:sz w:val="20"/>
                <w:szCs w:val="20"/>
              </w:rPr>
              <w:t>Indonesian</w:t>
            </w:r>
          </w:p>
          <w:p w14:paraId="21BBD3AD" w14:textId="77777777" w:rsidR="007D0385" w:rsidRPr="004A3C15" w:rsidRDefault="007D0385" w:rsidP="007D0385">
            <w:pPr>
              <w:spacing w:before="60" w:after="60"/>
              <w:rPr>
                <w:color w:val="211E1E"/>
                <w:sz w:val="20"/>
                <w:szCs w:val="20"/>
              </w:rPr>
            </w:pPr>
            <w:r w:rsidRPr="004A3C15">
              <w:rPr>
                <w:color w:val="211E1E"/>
                <w:sz w:val="20"/>
                <w:szCs w:val="20"/>
              </w:rPr>
              <w:t>Japanese</w:t>
            </w:r>
          </w:p>
          <w:p w14:paraId="3DB45E40" w14:textId="77777777" w:rsidR="007D0385" w:rsidRPr="004A3C15" w:rsidRDefault="007D0385" w:rsidP="007D0385">
            <w:pPr>
              <w:spacing w:before="60" w:after="60"/>
              <w:rPr>
                <w:color w:val="211E1E"/>
                <w:sz w:val="20"/>
                <w:szCs w:val="20"/>
              </w:rPr>
            </w:pPr>
            <w:r w:rsidRPr="004A3C15">
              <w:rPr>
                <w:color w:val="211E1E"/>
                <w:sz w:val="20"/>
                <w:szCs w:val="20"/>
              </w:rPr>
              <w:t>Spanish</w:t>
            </w:r>
          </w:p>
          <w:p w14:paraId="4B90A540" w14:textId="77777777" w:rsidR="007D0385" w:rsidRPr="004A3C15" w:rsidRDefault="007D0385" w:rsidP="007D0385">
            <w:pPr>
              <w:spacing w:before="60" w:after="60"/>
              <w:rPr>
                <w:color w:val="211E1E"/>
                <w:sz w:val="20"/>
                <w:szCs w:val="20"/>
              </w:rPr>
            </w:pPr>
            <w:r w:rsidRPr="004A3C15">
              <w:rPr>
                <w:color w:val="211E1E"/>
                <w:sz w:val="20"/>
                <w:szCs w:val="20"/>
              </w:rPr>
              <w:t>Modern-Greek</w:t>
            </w:r>
          </w:p>
          <w:p w14:paraId="07206697" w14:textId="77777777" w:rsidR="007D0385" w:rsidRPr="004A3C15" w:rsidRDefault="007D0385" w:rsidP="007D0385">
            <w:pPr>
              <w:spacing w:before="60" w:after="60"/>
              <w:rPr>
                <w:color w:val="211E1E"/>
                <w:sz w:val="20"/>
                <w:szCs w:val="20"/>
              </w:rPr>
            </w:pPr>
            <w:r w:rsidRPr="004A3C15">
              <w:rPr>
                <w:color w:val="211E1E"/>
                <w:sz w:val="20"/>
                <w:szCs w:val="20"/>
              </w:rPr>
              <w:t>Arabic</w:t>
            </w:r>
          </w:p>
        </w:tc>
        <w:tc>
          <w:tcPr>
            <w:tcW w:w="3970" w:type="dxa"/>
            <w:tcBorders>
              <w:bottom w:val="single" w:sz="4" w:space="0" w:color="auto"/>
            </w:tcBorders>
          </w:tcPr>
          <w:p w14:paraId="010C5646" w14:textId="77777777" w:rsidR="007D0385" w:rsidRPr="004A3C15" w:rsidRDefault="007D0385" w:rsidP="007D0385">
            <w:pPr>
              <w:spacing w:before="60" w:after="60"/>
              <w:rPr>
                <w:sz w:val="20"/>
                <w:szCs w:val="20"/>
              </w:rPr>
            </w:pPr>
            <w:r w:rsidRPr="004A3C15">
              <w:rPr>
                <w:sz w:val="20"/>
                <w:szCs w:val="20"/>
              </w:rPr>
              <w:t>Second language, no prior knowledge or experience (except minimal school study)</w:t>
            </w:r>
          </w:p>
        </w:tc>
        <w:tc>
          <w:tcPr>
            <w:tcW w:w="5242" w:type="dxa"/>
            <w:tcBorders>
              <w:bottom w:val="single" w:sz="4" w:space="0" w:color="auto"/>
            </w:tcBorders>
          </w:tcPr>
          <w:p w14:paraId="51565D5F" w14:textId="77777777" w:rsidR="007D0385" w:rsidRPr="00BE32F1" w:rsidRDefault="007D0385" w:rsidP="007D0385">
            <w:pPr>
              <w:spacing w:before="60" w:after="60"/>
              <w:rPr>
                <w:color w:val="211E1E"/>
                <w:sz w:val="20"/>
                <w:szCs w:val="20"/>
              </w:rPr>
            </w:pPr>
            <w:r>
              <w:rPr>
                <w:color w:val="211E1E"/>
                <w:sz w:val="20"/>
                <w:szCs w:val="20"/>
              </w:rPr>
              <w:t>N</w:t>
            </w:r>
            <w:r w:rsidRPr="00BE32F1">
              <w:rPr>
                <w:color w:val="211E1E"/>
                <w:sz w:val="20"/>
                <w:szCs w:val="20"/>
              </w:rPr>
              <w:t>o prior knowledge or experience</w:t>
            </w:r>
            <w:r>
              <w:rPr>
                <w:color w:val="211E1E"/>
                <w:sz w:val="20"/>
                <w:szCs w:val="20"/>
              </w:rPr>
              <w:t>.</w:t>
            </w:r>
          </w:p>
          <w:p w14:paraId="7948EA37" w14:textId="77777777" w:rsidR="007D0385" w:rsidRPr="00BE32F1" w:rsidRDefault="007D0385" w:rsidP="007D0385">
            <w:pPr>
              <w:spacing w:before="60" w:after="60"/>
              <w:rPr>
                <w:color w:val="211E1E"/>
                <w:sz w:val="20"/>
                <w:szCs w:val="20"/>
              </w:rPr>
            </w:pPr>
            <w:r>
              <w:rPr>
                <w:color w:val="211E1E"/>
                <w:sz w:val="20"/>
                <w:szCs w:val="20"/>
              </w:rPr>
              <w:t>T</w:t>
            </w:r>
            <w:r w:rsidRPr="00BE32F1">
              <w:rPr>
                <w:color w:val="211E1E"/>
                <w:sz w:val="20"/>
                <w:szCs w:val="20"/>
              </w:rPr>
              <w:t xml:space="preserve">aken into consideration are: prior formal learning, in-country experience and family or community </w:t>
            </w:r>
            <w:r>
              <w:rPr>
                <w:color w:val="211E1E"/>
                <w:sz w:val="20"/>
                <w:szCs w:val="20"/>
              </w:rPr>
              <w:t>linguistic</w:t>
            </w:r>
            <w:r w:rsidRPr="00BE32F1">
              <w:rPr>
                <w:color w:val="211E1E"/>
                <w:sz w:val="20"/>
                <w:szCs w:val="20"/>
              </w:rPr>
              <w:t xml:space="preserve"> experience</w:t>
            </w:r>
          </w:p>
          <w:p w14:paraId="7D4E2A13" w14:textId="77777777" w:rsidR="007D0385" w:rsidRPr="00A3146F" w:rsidRDefault="007D0385" w:rsidP="007D0385">
            <w:pPr>
              <w:spacing w:before="60" w:after="60"/>
              <w:rPr>
                <w:i/>
                <w:iCs/>
                <w:color w:val="211E1E"/>
                <w:sz w:val="20"/>
                <w:szCs w:val="20"/>
              </w:rPr>
            </w:pPr>
            <w:r w:rsidRPr="000559B3">
              <w:rPr>
                <w:i/>
                <w:iCs/>
                <w:color w:val="211E1E"/>
                <w:sz w:val="20"/>
                <w:szCs w:val="20"/>
              </w:rPr>
              <w:t>The Board recognises that some prior knowledge or experience of the language would not necessarily place a student at an advantage over a student with no prior knowledge or experience of the language. Such knowledge or experience may be very limited and/or very distant in time.</w:t>
            </w:r>
          </w:p>
        </w:tc>
      </w:tr>
      <w:tr w:rsidR="007D0385" w:rsidRPr="004A3C15" w14:paraId="16C4EA11" w14:textId="77777777" w:rsidTr="007D0385">
        <w:trPr>
          <w:cantSplit/>
          <w:trHeight w:val="671"/>
        </w:trPr>
        <w:tc>
          <w:tcPr>
            <w:tcW w:w="2235" w:type="dxa"/>
            <w:tcBorders>
              <w:top w:val="single" w:sz="4" w:space="0" w:color="auto"/>
            </w:tcBorders>
          </w:tcPr>
          <w:p w14:paraId="38949F1B" w14:textId="77777777" w:rsidR="007D0385" w:rsidRPr="000559B3" w:rsidRDefault="007D0385" w:rsidP="007D0385">
            <w:pPr>
              <w:widowControl w:val="0"/>
              <w:autoSpaceDE w:val="0"/>
              <w:autoSpaceDN w:val="0"/>
              <w:adjustRightInd w:val="0"/>
              <w:spacing w:before="60" w:after="60"/>
              <w:ind w:right="-4366"/>
              <w:rPr>
                <w:b/>
                <w:iCs/>
                <w:sz w:val="20"/>
                <w:szCs w:val="20"/>
              </w:rPr>
            </w:pPr>
            <w:r w:rsidRPr="000559B3">
              <w:rPr>
                <w:b/>
                <w:iCs/>
                <w:sz w:val="20"/>
                <w:szCs w:val="20"/>
              </w:rPr>
              <w:t>South Australia</w:t>
            </w:r>
          </w:p>
          <w:p w14:paraId="38A8A893" w14:textId="77777777" w:rsidR="007D0385" w:rsidRPr="004A3C15" w:rsidRDefault="007D0385" w:rsidP="007D0385">
            <w:pPr>
              <w:widowControl w:val="0"/>
              <w:autoSpaceDE w:val="0"/>
              <w:autoSpaceDN w:val="0"/>
              <w:adjustRightInd w:val="0"/>
              <w:spacing w:before="60" w:after="60"/>
              <w:rPr>
                <w:sz w:val="20"/>
                <w:szCs w:val="20"/>
              </w:rPr>
            </w:pPr>
            <w:proofErr w:type="spellStart"/>
            <w:r w:rsidRPr="000559B3">
              <w:rPr>
                <w:iCs/>
                <w:sz w:val="20"/>
                <w:szCs w:val="20"/>
              </w:rPr>
              <w:t>SACE</w:t>
            </w:r>
            <w:proofErr w:type="spellEnd"/>
            <w:r w:rsidRPr="000559B3">
              <w:rPr>
                <w:iCs/>
                <w:sz w:val="20"/>
                <w:szCs w:val="20"/>
              </w:rPr>
              <w:t xml:space="preserve"> Board SA</w:t>
            </w:r>
          </w:p>
        </w:tc>
        <w:tc>
          <w:tcPr>
            <w:tcW w:w="1703" w:type="dxa"/>
            <w:tcBorders>
              <w:top w:val="single" w:sz="4" w:space="0" w:color="auto"/>
              <w:bottom w:val="single" w:sz="6" w:space="0" w:color="auto"/>
            </w:tcBorders>
          </w:tcPr>
          <w:p w14:paraId="3957DA1B" w14:textId="77777777" w:rsidR="007D0385" w:rsidRPr="004A3C15" w:rsidRDefault="007D0385" w:rsidP="007D0385">
            <w:pPr>
              <w:spacing w:before="60" w:after="60"/>
              <w:rPr>
                <w:sz w:val="20"/>
                <w:szCs w:val="20"/>
              </w:rPr>
            </w:pPr>
            <w:r w:rsidRPr="004A3C15">
              <w:rPr>
                <w:sz w:val="20"/>
                <w:szCs w:val="20"/>
              </w:rPr>
              <w:t>Continuers</w:t>
            </w:r>
          </w:p>
        </w:tc>
        <w:tc>
          <w:tcPr>
            <w:tcW w:w="1417" w:type="dxa"/>
            <w:gridSpan w:val="2"/>
            <w:tcBorders>
              <w:top w:val="single" w:sz="4" w:space="0" w:color="auto"/>
              <w:bottom w:val="single" w:sz="6" w:space="0" w:color="auto"/>
            </w:tcBorders>
          </w:tcPr>
          <w:p w14:paraId="7A571B51" w14:textId="77777777" w:rsidR="007D0385" w:rsidRPr="004A3C15" w:rsidRDefault="007D0385" w:rsidP="007D0385">
            <w:pPr>
              <w:spacing w:before="60" w:after="60"/>
              <w:rPr>
                <w:sz w:val="20"/>
                <w:szCs w:val="20"/>
              </w:rPr>
            </w:pPr>
            <w:r w:rsidRPr="004A3C15">
              <w:rPr>
                <w:color w:val="211E1E"/>
                <w:sz w:val="20"/>
                <w:szCs w:val="20"/>
              </w:rPr>
              <w:t>Chinese, Japanese and Vietnamese</w:t>
            </w:r>
          </w:p>
        </w:tc>
        <w:tc>
          <w:tcPr>
            <w:tcW w:w="3970" w:type="dxa"/>
            <w:tcBorders>
              <w:top w:val="single" w:sz="4" w:space="0" w:color="auto"/>
              <w:bottom w:val="single" w:sz="6" w:space="0" w:color="auto"/>
            </w:tcBorders>
          </w:tcPr>
          <w:p w14:paraId="7ABFE6A3" w14:textId="77777777" w:rsidR="007D0385" w:rsidRPr="004A3C15" w:rsidRDefault="007D0385" w:rsidP="007D0385">
            <w:pPr>
              <w:spacing w:before="60" w:after="60"/>
              <w:rPr>
                <w:sz w:val="20"/>
                <w:szCs w:val="20"/>
              </w:rPr>
            </w:pPr>
            <w:r w:rsidRPr="004A3C15">
              <w:rPr>
                <w:sz w:val="20"/>
                <w:szCs w:val="20"/>
              </w:rPr>
              <w:t xml:space="preserve">Second language, </w:t>
            </w:r>
            <w:r w:rsidRPr="004A3C15">
              <w:rPr>
                <w:color w:val="211E1E"/>
                <w:sz w:val="20"/>
                <w:szCs w:val="20"/>
              </w:rPr>
              <w:t>study for 300 to 400 hours by end Stage 1, and 400 to 500 hours by end Stage 2</w:t>
            </w:r>
          </w:p>
        </w:tc>
        <w:tc>
          <w:tcPr>
            <w:tcW w:w="5242" w:type="dxa"/>
            <w:tcBorders>
              <w:top w:val="single" w:sz="4" w:space="0" w:color="auto"/>
              <w:bottom w:val="single" w:sz="6" w:space="0" w:color="auto"/>
            </w:tcBorders>
          </w:tcPr>
          <w:p w14:paraId="2EFFF0EE" w14:textId="77777777" w:rsidR="007D0385" w:rsidRDefault="007D0385" w:rsidP="007D0385">
            <w:pPr>
              <w:spacing w:before="60" w:after="60"/>
              <w:contextualSpacing/>
              <w:rPr>
                <w:color w:val="211E1E"/>
                <w:sz w:val="20"/>
                <w:szCs w:val="20"/>
              </w:rPr>
            </w:pPr>
            <w:r>
              <w:rPr>
                <w:color w:val="211E1E"/>
                <w:sz w:val="20"/>
                <w:szCs w:val="20"/>
              </w:rPr>
              <w:t>S</w:t>
            </w:r>
            <w:r w:rsidRPr="00BE32F1">
              <w:rPr>
                <w:color w:val="211E1E"/>
                <w:sz w:val="20"/>
                <w:szCs w:val="20"/>
              </w:rPr>
              <w:t>tudent’s country of birth, country of residence, linguistic and cultural background, no more than one year of education from the age of five years (pre-school, primary, secondary) in a country where the language is a major language of communication or a medium of instruction. For Chinese special circumstances may apply for the one year of education in China, Hong Kong, Macau or Taiwan;</w:t>
            </w:r>
            <w:r>
              <w:rPr>
                <w:color w:val="211E1E"/>
                <w:sz w:val="20"/>
                <w:szCs w:val="20"/>
              </w:rPr>
              <w:t xml:space="preserve"> students who have had more than one year’s education in</w:t>
            </w:r>
            <w:r w:rsidRPr="00BE32F1">
              <w:rPr>
                <w:color w:val="211E1E"/>
                <w:sz w:val="20"/>
                <w:szCs w:val="20"/>
              </w:rPr>
              <w:t xml:space="preserve"> Brunei, Malaysia, or Singapore will be considered on a case-by-case basis </w:t>
            </w:r>
          </w:p>
          <w:p w14:paraId="2BCA9BBA" w14:textId="77777777" w:rsidR="007D0385" w:rsidRPr="00BE32F1" w:rsidRDefault="007D0385" w:rsidP="007D0385">
            <w:pPr>
              <w:spacing w:before="60" w:after="60"/>
              <w:contextualSpacing/>
              <w:rPr>
                <w:color w:val="211E1E"/>
                <w:sz w:val="20"/>
                <w:szCs w:val="20"/>
              </w:rPr>
            </w:pPr>
          </w:p>
        </w:tc>
      </w:tr>
      <w:tr w:rsidR="007D0385" w:rsidRPr="004A3C15" w14:paraId="1ADA4B68" w14:textId="77777777" w:rsidTr="007D0385">
        <w:trPr>
          <w:cantSplit/>
        </w:trPr>
        <w:tc>
          <w:tcPr>
            <w:tcW w:w="2235" w:type="dxa"/>
          </w:tcPr>
          <w:p w14:paraId="1B544A32" w14:textId="77777777" w:rsidR="007D0385" w:rsidRPr="004A3C15" w:rsidRDefault="007D0385" w:rsidP="007D0385">
            <w:pPr>
              <w:spacing w:before="60" w:after="60"/>
              <w:rPr>
                <w:rFonts w:eastAsia="Times New Roman"/>
                <w:sz w:val="20"/>
                <w:lang w:eastAsia="en-AU"/>
              </w:rPr>
            </w:pPr>
            <w:r w:rsidRPr="004A3C15">
              <w:rPr>
                <w:rFonts w:eastAsia="Times New Roman"/>
                <w:b/>
                <w:iCs/>
                <w:sz w:val="20"/>
                <w:lang w:eastAsia="en-AU"/>
              </w:rPr>
              <w:t>Tasmania</w:t>
            </w:r>
            <w:r w:rsidRPr="004A3C15">
              <w:rPr>
                <w:rFonts w:eastAsia="Times New Roman"/>
                <w:sz w:val="20"/>
                <w:lang w:eastAsia="en-AU"/>
              </w:rPr>
              <w:t xml:space="preserve"> </w:t>
            </w:r>
          </w:p>
          <w:p w14:paraId="0BAF269A" w14:textId="77777777" w:rsidR="007D0385" w:rsidRDefault="007D0385" w:rsidP="007D0385">
            <w:pPr>
              <w:spacing w:before="60" w:after="60"/>
              <w:rPr>
                <w:rFonts w:eastAsia="Times New Roman"/>
                <w:sz w:val="20"/>
                <w:lang w:eastAsia="en-AU"/>
              </w:rPr>
            </w:pPr>
            <w:r w:rsidRPr="004A3C15">
              <w:rPr>
                <w:rFonts w:eastAsia="Times New Roman"/>
                <w:sz w:val="20"/>
                <w:lang w:eastAsia="en-AU"/>
              </w:rPr>
              <w:t>Tasmanian Qualifications Authority</w:t>
            </w:r>
          </w:p>
          <w:p w14:paraId="59688B87" w14:textId="77777777" w:rsidR="007D0385" w:rsidRPr="004A3C15" w:rsidRDefault="007D0385" w:rsidP="007D0385">
            <w:pPr>
              <w:spacing w:before="60" w:after="60"/>
              <w:rPr>
                <w:rFonts w:eastAsia="Times New Roman"/>
                <w:sz w:val="20"/>
                <w:lang w:eastAsia="en-AU"/>
              </w:rPr>
            </w:pPr>
            <w:r w:rsidRPr="007751F7">
              <w:rPr>
                <w:rFonts w:eastAsia="Times New Roman"/>
                <w:sz w:val="20"/>
                <w:lang w:eastAsia="en-AU"/>
              </w:rPr>
              <w:t>Office of Tasmanian Assessment, Standards &amp; Certification (</w:t>
            </w:r>
            <w:proofErr w:type="spellStart"/>
            <w:r w:rsidRPr="007751F7">
              <w:rPr>
                <w:rFonts w:eastAsia="Times New Roman"/>
                <w:sz w:val="20"/>
                <w:lang w:eastAsia="en-AU"/>
              </w:rPr>
              <w:t>TASC</w:t>
            </w:r>
            <w:proofErr w:type="spellEnd"/>
            <w:r w:rsidRPr="007751F7">
              <w:rPr>
                <w:rFonts w:eastAsia="Times New Roman"/>
                <w:sz w:val="20"/>
                <w:lang w:eastAsia="en-AU"/>
              </w:rPr>
              <w:t>)</w:t>
            </w:r>
          </w:p>
        </w:tc>
        <w:tc>
          <w:tcPr>
            <w:tcW w:w="1703" w:type="dxa"/>
            <w:tcBorders>
              <w:top w:val="single" w:sz="6" w:space="0" w:color="auto"/>
            </w:tcBorders>
          </w:tcPr>
          <w:p w14:paraId="1ABDB2FB" w14:textId="77777777" w:rsidR="007D0385" w:rsidRPr="004A3C15" w:rsidRDefault="007D0385" w:rsidP="007D0385">
            <w:pPr>
              <w:spacing w:before="60" w:after="60"/>
              <w:rPr>
                <w:sz w:val="20"/>
                <w:szCs w:val="20"/>
              </w:rPr>
            </w:pPr>
            <w:r w:rsidRPr="004A3C15">
              <w:rPr>
                <w:sz w:val="20"/>
                <w:szCs w:val="20"/>
              </w:rPr>
              <w:t>Level 3</w:t>
            </w:r>
          </w:p>
        </w:tc>
        <w:tc>
          <w:tcPr>
            <w:tcW w:w="1417" w:type="dxa"/>
            <w:gridSpan w:val="2"/>
            <w:tcBorders>
              <w:top w:val="single" w:sz="6" w:space="0" w:color="auto"/>
            </w:tcBorders>
          </w:tcPr>
          <w:p w14:paraId="7A88011A" w14:textId="77777777" w:rsidR="007D0385" w:rsidRPr="004A3C15" w:rsidRDefault="007D0385" w:rsidP="007D0385">
            <w:pPr>
              <w:spacing w:before="60" w:after="60"/>
              <w:rPr>
                <w:sz w:val="20"/>
                <w:szCs w:val="20"/>
              </w:rPr>
            </w:pPr>
            <w:r w:rsidRPr="004A3C15">
              <w:rPr>
                <w:bCs/>
                <w:sz w:val="20"/>
                <w:szCs w:val="20"/>
              </w:rPr>
              <w:t>Chinese, , French, German, Italian, Japanese</w:t>
            </w:r>
          </w:p>
        </w:tc>
        <w:tc>
          <w:tcPr>
            <w:tcW w:w="3970" w:type="dxa"/>
            <w:tcBorders>
              <w:top w:val="single" w:sz="6" w:space="0" w:color="auto"/>
            </w:tcBorders>
          </w:tcPr>
          <w:p w14:paraId="4E9F2BF2" w14:textId="77777777" w:rsidR="007D0385" w:rsidRPr="004A3C15" w:rsidRDefault="007D0385" w:rsidP="007D0385">
            <w:pPr>
              <w:spacing w:before="60" w:after="60"/>
              <w:rPr>
                <w:sz w:val="20"/>
                <w:szCs w:val="20"/>
              </w:rPr>
            </w:pPr>
            <w:r w:rsidRPr="004A3C15">
              <w:rPr>
                <w:sz w:val="20"/>
                <w:szCs w:val="20"/>
              </w:rPr>
              <w:t xml:space="preserve">Language study at school to Level 2 </w:t>
            </w:r>
            <w:r>
              <w:rPr>
                <w:sz w:val="20"/>
                <w:szCs w:val="20"/>
              </w:rPr>
              <w:t>is usually expected</w:t>
            </w:r>
          </w:p>
        </w:tc>
        <w:tc>
          <w:tcPr>
            <w:tcW w:w="5242" w:type="dxa"/>
            <w:tcBorders>
              <w:top w:val="single" w:sz="6" w:space="0" w:color="auto"/>
            </w:tcBorders>
          </w:tcPr>
          <w:p w14:paraId="4B65B329" w14:textId="77777777" w:rsidR="007D0385" w:rsidRPr="004A3C15" w:rsidRDefault="007D0385" w:rsidP="007D0385">
            <w:pPr>
              <w:spacing w:before="60" w:after="60"/>
              <w:contextualSpacing/>
              <w:rPr>
                <w:bCs/>
                <w:sz w:val="20"/>
              </w:rPr>
            </w:pPr>
            <w:r>
              <w:rPr>
                <w:bCs/>
                <w:sz w:val="20"/>
              </w:rPr>
              <w:t>C</w:t>
            </w:r>
            <w:r w:rsidRPr="004A3C15">
              <w:rPr>
                <w:bCs/>
                <w:sz w:val="20"/>
              </w:rPr>
              <w:t xml:space="preserve">ompletion of Level 2 </w:t>
            </w:r>
            <w:r>
              <w:rPr>
                <w:bCs/>
                <w:sz w:val="20"/>
              </w:rPr>
              <w:t>is usually expected</w:t>
            </w:r>
          </w:p>
          <w:p w14:paraId="17971A57" w14:textId="77777777" w:rsidR="007D0385" w:rsidRPr="004A3C15" w:rsidRDefault="007D0385" w:rsidP="007D0385">
            <w:pPr>
              <w:spacing w:before="60" w:after="60"/>
              <w:contextualSpacing/>
              <w:rPr>
                <w:sz w:val="20"/>
                <w:szCs w:val="20"/>
              </w:rPr>
            </w:pPr>
            <w:r w:rsidRPr="007751F7">
              <w:rPr>
                <w:bCs/>
                <w:sz w:val="20"/>
                <w:szCs w:val="20"/>
              </w:rPr>
              <w:t>Not eligible if: there is evidence that the student’s first language is Chinese; there is evidence that the student has been resident in China and/or Hong Kong for no more than five calendar years immediately prior to January 1 of the year in which the course is to be taken; there is evidence that Chinese has been the major language of communication and/or instruction for a total period of not more than 5 years prior to January 1 of the year in which the subject is to be taken</w:t>
            </w:r>
          </w:p>
        </w:tc>
      </w:tr>
      <w:tr w:rsidR="007D0385" w:rsidRPr="004A3C15" w14:paraId="4EC0B87D" w14:textId="77777777" w:rsidTr="007D0385">
        <w:trPr>
          <w:cantSplit/>
        </w:trPr>
        <w:tc>
          <w:tcPr>
            <w:tcW w:w="2235" w:type="dxa"/>
          </w:tcPr>
          <w:p w14:paraId="438B996A" w14:textId="77777777" w:rsidR="007D0385" w:rsidRPr="004A3C15" w:rsidRDefault="007D0385" w:rsidP="007D0385">
            <w:pPr>
              <w:spacing w:before="60" w:after="60"/>
              <w:rPr>
                <w:rFonts w:eastAsia="Times New Roman"/>
                <w:sz w:val="20"/>
                <w:lang w:eastAsia="en-AU"/>
              </w:rPr>
            </w:pPr>
            <w:r w:rsidRPr="004A3C15">
              <w:rPr>
                <w:rFonts w:eastAsia="Times New Roman"/>
                <w:b/>
                <w:iCs/>
                <w:sz w:val="20"/>
                <w:lang w:eastAsia="en-AU"/>
              </w:rPr>
              <w:lastRenderedPageBreak/>
              <w:t>Tasmania</w:t>
            </w:r>
            <w:r w:rsidRPr="004A3C15">
              <w:rPr>
                <w:rFonts w:eastAsia="Times New Roman"/>
                <w:sz w:val="20"/>
                <w:lang w:eastAsia="en-AU"/>
              </w:rPr>
              <w:t xml:space="preserve"> </w:t>
            </w:r>
          </w:p>
          <w:p w14:paraId="5D896008" w14:textId="77777777" w:rsidR="007D0385" w:rsidRDefault="007D0385" w:rsidP="007D0385">
            <w:pPr>
              <w:spacing w:before="60" w:after="60"/>
              <w:rPr>
                <w:rFonts w:eastAsia="Times New Roman"/>
                <w:sz w:val="20"/>
                <w:lang w:eastAsia="en-AU"/>
              </w:rPr>
            </w:pPr>
            <w:r w:rsidRPr="004A3C15">
              <w:rPr>
                <w:rFonts w:eastAsia="Times New Roman"/>
                <w:sz w:val="20"/>
                <w:lang w:eastAsia="en-AU"/>
              </w:rPr>
              <w:t>Tasmanian Qualifications Authority</w:t>
            </w:r>
          </w:p>
          <w:p w14:paraId="7A35FBA7" w14:textId="77777777" w:rsidR="007D0385" w:rsidRPr="00A3146F" w:rsidRDefault="007D0385" w:rsidP="007D0385">
            <w:pPr>
              <w:spacing w:before="60" w:after="60"/>
              <w:rPr>
                <w:rFonts w:eastAsia="Times New Roman"/>
                <w:sz w:val="20"/>
                <w:lang w:eastAsia="en-AU"/>
              </w:rPr>
            </w:pPr>
            <w:r w:rsidRPr="007751F7">
              <w:rPr>
                <w:rFonts w:eastAsia="Times New Roman"/>
                <w:sz w:val="20"/>
                <w:lang w:eastAsia="en-AU"/>
              </w:rPr>
              <w:t>Office of Tasmanian Assessment, Standards &amp; Certification (</w:t>
            </w:r>
            <w:proofErr w:type="spellStart"/>
            <w:r w:rsidRPr="007751F7">
              <w:rPr>
                <w:rFonts w:eastAsia="Times New Roman"/>
                <w:sz w:val="20"/>
                <w:lang w:eastAsia="en-AU"/>
              </w:rPr>
              <w:t>TASC</w:t>
            </w:r>
            <w:proofErr w:type="spellEnd"/>
            <w:r w:rsidRPr="007751F7">
              <w:rPr>
                <w:rFonts w:eastAsia="Times New Roman"/>
                <w:sz w:val="20"/>
                <w:lang w:eastAsia="en-AU"/>
              </w:rPr>
              <w:t>)</w:t>
            </w:r>
          </w:p>
        </w:tc>
        <w:tc>
          <w:tcPr>
            <w:tcW w:w="1703" w:type="dxa"/>
          </w:tcPr>
          <w:p w14:paraId="04043354" w14:textId="77777777" w:rsidR="007D0385" w:rsidRPr="004A3C15" w:rsidRDefault="007D0385" w:rsidP="007D0385">
            <w:pPr>
              <w:spacing w:before="60" w:after="60"/>
              <w:rPr>
                <w:sz w:val="20"/>
                <w:szCs w:val="20"/>
              </w:rPr>
            </w:pPr>
            <w:r>
              <w:rPr>
                <w:sz w:val="20"/>
                <w:szCs w:val="20"/>
              </w:rPr>
              <w:t xml:space="preserve">Level 2 </w:t>
            </w:r>
          </w:p>
        </w:tc>
        <w:tc>
          <w:tcPr>
            <w:tcW w:w="1417" w:type="dxa"/>
            <w:gridSpan w:val="2"/>
          </w:tcPr>
          <w:p w14:paraId="3031C228" w14:textId="77777777" w:rsidR="007D0385" w:rsidRPr="004A3C15" w:rsidRDefault="007D0385" w:rsidP="007D0385">
            <w:pPr>
              <w:spacing w:before="60" w:after="60"/>
              <w:rPr>
                <w:bCs/>
                <w:sz w:val="20"/>
                <w:szCs w:val="20"/>
              </w:rPr>
            </w:pPr>
            <w:r>
              <w:rPr>
                <w:bCs/>
                <w:sz w:val="20"/>
                <w:szCs w:val="20"/>
              </w:rPr>
              <w:t>Chinese -Foundation, French - Foundation, German -Foundation, Italian - Foundation, Japanese -Foundation</w:t>
            </w:r>
          </w:p>
        </w:tc>
        <w:tc>
          <w:tcPr>
            <w:tcW w:w="3970" w:type="dxa"/>
          </w:tcPr>
          <w:p w14:paraId="7FF24B8C" w14:textId="77777777" w:rsidR="007D0385" w:rsidRPr="004A3C15" w:rsidRDefault="007D0385" w:rsidP="007D0385">
            <w:pPr>
              <w:spacing w:before="60" w:after="60"/>
              <w:rPr>
                <w:sz w:val="20"/>
                <w:szCs w:val="20"/>
              </w:rPr>
            </w:pPr>
            <w:r>
              <w:rPr>
                <w:sz w:val="20"/>
                <w:szCs w:val="20"/>
              </w:rPr>
              <w:t xml:space="preserve">Designed for beginners with no experience of the language and </w:t>
            </w:r>
            <w:r w:rsidRPr="008351A6">
              <w:rPr>
                <w:sz w:val="20"/>
                <w:szCs w:val="20"/>
              </w:rPr>
              <w:t>is also suitable for learners who have had some prior exposure </w:t>
            </w:r>
          </w:p>
        </w:tc>
        <w:tc>
          <w:tcPr>
            <w:tcW w:w="5242" w:type="dxa"/>
          </w:tcPr>
          <w:p w14:paraId="0D4943F5" w14:textId="77777777" w:rsidR="007D0385" w:rsidRDefault="007D0385" w:rsidP="007D0385">
            <w:pPr>
              <w:spacing w:before="60" w:after="60"/>
              <w:contextualSpacing/>
              <w:rPr>
                <w:bCs/>
                <w:sz w:val="20"/>
              </w:rPr>
            </w:pPr>
            <w:r>
              <w:rPr>
                <w:bCs/>
                <w:sz w:val="20"/>
              </w:rPr>
              <w:t>No criteria</w:t>
            </w:r>
          </w:p>
        </w:tc>
      </w:tr>
      <w:tr w:rsidR="007D0385" w:rsidRPr="004A3C15" w14:paraId="0C9BF2BA" w14:textId="77777777" w:rsidTr="007D0385">
        <w:trPr>
          <w:cantSplit/>
        </w:trPr>
        <w:tc>
          <w:tcPr>
            <w:tcW w:w="2235" w:type="dxa"/>
            <w:tcBorders>
              <w:bottom w:val="single" w:sz="4" w:space="0" w:color="auto"/>
            </w:tcBorders>
          </w:tcPr>
          <w:p w14:paraId="52726CE0" w14:textId="77777777" w:rsidR="007D0385" w:rsidRPr="004A3C15" w:rsidRDefault="007D0385" w:rsidP="007D0385">
            <w:pPr>
              <w:widowControl w:val="0"/>
              <w:autoSpaceDE w:val="0"/>
              <w:autoSpaceDN w:val="0"/>
              <w:adjustRightInd w:val="0"/>
              <w:spacing w:before="60" w:after="60"/>
              <w:rPr>
                <w:iCs/>
                <w:sz w:val="20"/>
                <w:szCs w:val="20"/>
              </w:rPr>
            </w:pPr>
            <w:r w:rsidRPr="004A3C15">
              <w:rPr>
                <w:b/>
                <w:iCs/>
                <w:sz w:val="20"/>
                <w:szCs w:val="20"/>
              </w:rPr>
              <w:t>Victoria</w:t>
            </w:r>
          </w:p>
          <w:p w14:paraId="0AC7A292" w14:textId="77777777" w:rsidR="007D0385" w:rsidRPr="004A3C15" w:rsidRDefault="007D0385" w:rsidP="007D0385">
            <w:pPr>
              <w:widowControl w:val="0"/>
              <w:autoSpaceDE w:val="0"/>
              <w:autoSpaceDN w:val="0"/>
              <w:adjustRightInd w:val="0"/>
              <w:spacing w:before="60" w:after="60"/>
              <w:rPr>
                <w:sz w:val="20"/>
                <w:szCs w:val="20"/>
              </w:rPr>
            </w:pPr>
            <w:r w:rsidRPr="004A3C15">
              <w:rPr>
                <w:sz w:val="20"/>
                <w:szCs w:val="20"/>
              </w:rPr>
              <w:t>Victorian Curriculum and Assessment Authority</w:t>
            </w:r>
          </w:p>
        </w:tc>
        <w:tc>
          <w:tcPr>
            <w:tcW w:w="1703" w:type="dxa"/>
            <w:tcBorders>
              <w:bottom w:val="single" w:sz="4" w:space="0" w:color="auto"/>
            </w:tcBorders>
          </w:tcPr>
          <w:p w14:paraId="27B482AC" w14:textId="77777777" w:rsidR="007D0385" w:rsidRPr="004A3C15" w:rsidRDefault="007D0385" w:rsidP="007D0385">
            <w:pPr>
              <w:spacing w:before="60" w:after="60"/>
              <w:rPr>
                <w:bCs/>
                <w:sz w:val="20"/>
                <w:szCs w:val="20"/>
              </w:rPr>
            </w:pPr>
            <w:r w:rsidRPr="004A3C15">
              <w:rPr>
                <w:bCs/>
                <w:sz w:val="20"/>
                <w:szCs w:val="20"/>
              </w:rPr>
              <w:t>Chinese Second Language</w:t>
            </w:r>
          </w:p>
        </w:tc>
        <w:tc>
          <w:tcPr>
            <w:tcW w:w="1417" w:type="dxa"/>
            <w:gridSpan w:val="2"/>
            <w:tcBorders>
              <w:bottom w:val="single" w:sz="4" w:space="0" w:color="auto"/>
            </w:tcBorders>
          </w:tcPr>
          <w:p w14:paraId="5305CCD6" w14:textId="77777777" w:rsidR="007D0385" w:rsidRPr="004A3C15" w:rsidRDefault="007D0385" w:rsidP="007D0385">
            <w:pPr>
              <w:spacing w:before="60" w:after="60"/>
              <w:rPr>
                <w:sz w:val="20"/>
                <w:szCs w:val="20"/>
              </w:rPr>
            </w:pPr>
          </w:p>
        </w:tc>
        <w:tc>
          <w:tcPr>
            <w:tcW w:w="3970" w:type="dxa"/>
            <w:tcBorders>
              <w:bottom w:val="single" w:sz="4" w:space="0" w:color="auto"/>
            </w:tcBorders>
          </w:tcPr>
          <w:p w14:paraId="20900B1B" w14:textId="77777777" w:rsidR="007D0385" w:rsidRPr="004A3C15" w:rsidRDefault="007D0385" w:rsidP="007D0385">
            <w:pPr>
              <w:spacing w:before="60" w:after="60"/>
              <w:rPr>
                <w:sz w:val="20"/>
                <w:szCs w:val="20"/>
              </w:rPr>
            </w:pPr>
          </w:p>
        </w:tc>
        <w:tc>
          <w:tcPr>
            <w:tcW w:w="5242" w:type="dxa"/>
            <w:tcBorders>
              <w:bottom w:val="single" w:sz="4" w:space="0" w:color="auto"/>
            </w:tcBorders>
          </w:tcPr>
          <w:p w14:paraId="5106CAB9" w14:textId="77777777" w:rsidR="007D0385" w:rsidRPr="004A3C15" w:rsidRDefault="007D0385" w:rsidP="007D0385">
            <w:pPr>
              <w:spacing w:before="60" w:after="60"/>
              <w:contextualSpacing/>
              <w:rPr>
                <w:sz w:val="20"/>
                <w:szCs w:val="20"/>
              </w:rPr>
            </w:pPr>
            <w:r>
              <w:rPr>
                <w:sz w:val="20"/>
                <w:szCs w:val="20"/>
              </w:rPr>
              <w:t>N</w:t>
            </w:r>
            <w:r w:rsidRPr="004A3C15">
              <w:rPr>
                <w:sz w:val="20"/>
                <w:szCs w:val="20"/>
              </w:rPr>
              <w:t xml:space="preserve">ot eligible if one year or more education in a school where Chinese is the medium of instruction, or three years or more residence in any of the </w:t>
            </w:r>
            <w:proofErr w:type="spellStart"/>
            <w:r w:rsidRPr="004A3C15">
              <w:rPr>
                <w:sz w:val="20"/>
                <w:szCs w:val="20"/>
              </w:rPr>
              <w:t>VCAA</w:t>
            </w:r>
            <w:proofErr w:type="spellEnd"/>
            <w:r w:rsidRPr="004A3C15">
              <w:rPr>
                <w:sz w:val="20"/>
                <w:szCs w:val="20"/>
              </w:rPr>
              <w:t xml:space="preserve"> nominated countries or regions (China, Taiwan, Hong Kong or Macau)</w:t>
            </w:r>
          </w:p>
        </w:tc>
      </w:tr>
      <w:tr w:rsidR="007D0385" w:rsidRPr="004A3C15" w14:paraId="24CE2D3E" w14:textId="77777777" w:rsidTr="007D0385">
        <w:trPr>
          <w:cantSplit/>
          <w:trHeight w:val="1377"/>
        </w:trPr>
        <w:tc>
          <w:tcPr>
            <w:tcW w:w="2235" w:type="dxa"/>
            <w:tcBorders>
              <w:top w:val="single" w:sz="4" w:space="0" w:color="auto"/>
              <w:bottom w:val="single" w:sz="4" w:space="0" w:color="auto"/>
            </w:tcBorders>
          </w:tcPr>
          <w:p w14:paraId="55BB830A" w14:textId="77777777" w:rsidR="007D0385" w:rsidRPr="004A3C15" w:rsidRDefault="007D0385" w:rsidP="007D0385">
            <w:pPr>
              <w:widowControl w:val="0"/>
              <w:autoSpaceDE w:val="0"/>
              <w:autoSpaceDN w:val="0"/>
              <w:adjustRightInd w:val="0"/>
              <w:spacing w:before="60" w:after="60"/>
              <w:rPr>
                <w:iCs/>
                <w:sz w:val="20"/>
                <w:szCs w:val="20"/>
              </w:rPr>
            </w:pPr>
            <w:r w:rsidRPr="004A3C15">
              <w:rPr>
                <w:b/>
                <w:iCs/>
                <w:sz w:val="20"/>
                <w:szCs w:val="20"/>
              </w:rPr>
              <w:t>Victoria</w:t>
            </w:r>
          </w:p>
          <w:p w14:paraId="159EFCB0" w14:textId="77777777" w:rsidR="007D0385" w:rsidRPr="004A3C15" w:rsidRDefault="007D0385" w:rsidP="007D0385">
            <w:pPr>
              <w:widowControl w:val="0"/>
              <w:autoSpaceDE w:val="0"/>
              <w:autoSpaceDN w:val="0"/>
              <w:adjustRightInd w:val="0"/>
              <w:spacing w:before="60" w:after="60"/>
              <w:rPr>
                <w:b/>
                <w:iCs/>
                <w:sz w:val="20"/>
                <w:szCs w:val="20"/>
              </w:rPr>
            </w:pPr>
            <w:r w:rsidRPr="004A3C15">
              <w:rPr>
                <w:sz w:val="20"/>
                <w:szCs w:val="20"/>
              </w:rPr>
              <w:t>Victorian Curriculum and Assessment Authority</w:t>
            </w:r>
          </w:p>
        </w:tc>
        <w:tc>
          <w:tcPr>
            <w:tcW w:w="1703" w:type="dxa"/>
            <w:tcBorders>
              <w:top w:val="single" w:sz="4" w:space="0" w:color="auto"/>
              <w:bottom w:val="single" w:sz="4" w:space="0" w:color="auto"/>
            </w:tcBorders>
          </w:tcPr>
          <w:p w14:paraId="0F50AE8D" w14:textId="77777777" w:rsidR="007D0385" w:rsidRPr="004A3C15" w:rsidRDefault="007D0385" w:rsidP="007D0385">
            <w:pPr>
              <w:spacing w:before="60" w:after="60"/>
              <w:rPr>
                <w:sz w:val="20"/>
                <w:szCs w:val="20"/>
              </w:rPr>
            </w:pPr>
            <w:r w:rsidRPr="004A3C15">
              <w:rPr>
                <w:bCs/>
                <w:sz w:val="20"/>
                <w:szCs w:val="20"/>
              </w:rPr>
              <w:t>Chinese Second Language Advanced</w:t>
            </w:r>
          </w:p>
          <w:p w14:paraId="25451D0F" w14:textId="77777777" w:rsidR="007D0385" w:rsidRPr="004A3C15" w:rsidRDefault="007D0385" w:rsidP="007D0385">
            <w:pPr>
              <w:spacing w:before="60" w:after="60"/>
              <w:rPr>
                <w:bCs/>
                <w:sz w:val="20"/>
                <w:szCs w:val="20"/>
              </w:rPr>
            </w:pPr>
          </w:p>
        </w:tc>
        <w:tc>
          <w:tcPr>
            <w:tcW w:w="1417" w:type="dxa"/>
            <w:gridSpan w:val="2"/>
            <w:tcBorders>
              <w:top w:val="single" w:sz="4" w:space="0" w:color="auto"/>
              <w:bottom w:val="single" w:sz="4" w:space="0" w:color="auto"/>
            </w:tcBorders>
          </w:tcPr>
          <w:p w14:paraId="67788703" w14:textId="77777777" w:rsidR="007D0385" w:rsidRPr="004A3C15" w:rsidRDefault="007D0385" w:rsidP="007D0385">
            <w:pPr>
              <w:spacing w:before="60" w:after="60"/>
              <w:rPr>
                <w:sz w:val="20"/>
                <w:szCs w:val="20"/>
              </w:rPr>
            </w:pPr>
          </w:p>
        </w:tc>
        <w:tc>
          <w:tcPr>
            <w:tcW w:w="3970" w:type="dxa"/>
            <w:tcBorders>
              <w:top w:val="single" w:sz="4" w:space="0" w:color="auto"/>
              <w:bottom w:val="single" w:sz="4" w:space="0" w:color="auto"/>
            </w:tcBorders>
          </w:tcPr>
          <w:p w14:paraId="15E071A2" w14:textId="77777777" w:rsidR="007D0385" w:rsidRPr="004A3C15" w:rsidRDefault="007D0385" w:rsidP="007D0385">
            <w:pPr>
              <w:spacing w:before="60" w:after="60"/>
              <w:rPr>
                <w:sz w:val="20"/>
                <w:szCs w:val="20"/>
              </w:rPr>
            </w:pPr>
          </w:p>
        </w:tc>
        <w:tc>
          <w:tcPr>
            <w:tcW w:w="5242" w:type="dxa"/>
            <w:tcBorders>
              <w:top w:val="single" w:sz="4" w:space="0" w:color="auto"/>
              <w:bottom w:val="single" w:sz="4" w:space="0" w:color="auto"/>
            </w:tcBorders>
          </w:tcPr>
          <w:p w14:paraId="5E740AC6" w14:textId="77777777" w:rsidR="007D0385" w:rsidRPr="004A3C15" w:rsidRDefault="007D0385" w:rsidP="007D0385">
            <w:pPr>
              <w:spacing w:before="60" w:after="60"/>
              <w:contextualSpacing/>
              <w:rPr>
                <w:sz w:val="20"/>
                <w:szCs w:val="20"/>
              </w:rPr>
            </w:pPr>
            <w:r>
              <w:rPr>
                <w:sz w:val="20"/>
                <w:szCs w:val="20"/>
              </w:rPr>
              <w:t>E</w:t>
            </w:r>
            <w:r w:rsidRPr="004A3C15">
              <w:rPr>
                <w:sz w:val="20"/>
                <w:szCs w:val="20"/>
              </w:rPr>
              <w:t>ligible if no more than seven years in a school where Chinese is the medium of instruction or highest level of education in a school where Chinese is the medium of instruction is no greater than Year 7 in a Victorian school</w:t>
            </w:r>
          </w:p>
        </w:tc>
      </w:tr>
      <w:tr w:rsidR="007D0385" w:rsidRPr="004A3C15" w14:paraId="54178AF4" w14:textId="77777777" w:rsidTr="007D0385">
        <w:trPr>
          <w:cantSplit/>
        </w:trPr>
        <w:tc>
          <w:tcPr>
            <w:tcW w:w="2235" w:type="dxa"/>
            <w:tcBorders>
              <w:top w:val="single" w:sz="4" w:space="0" w:color="auto"/>
            </w:tcBorders>
          </w:tcPr>
          <w:p w14:paraId="14AA58CD" w14:textId="77777777" w:rsidR="007D0385" w:rsidRPr="004A3C15" w:rsidRDefault="007D0385" w:rsidP="007D0385">
            <w:pPr>
              <w:widowControl w:val="0"/>
              <w:autoSpaceDE w:val="0"/>
              <w:autoSpaceDN w:val="0"/>
              <w:adjustRightInd w:val="0"/>
              <w:spacing w:before="60" w:after="60"/>
              <w:rPr>
                <w:iCs/>
                <w:sz w:val="20"/>
                <w:szCs w:val="20"/>
              </w:rPr>
            </w:pPr>
            <w:r w:rsidRPr="004A3C15">
              <w:rPr>
                <w:b/>
                <w:iCs/>
                <w:sz w:val="20"/>
                <w:szCs w:val="20"/>
              </w:rPr>
              <w:t>Victoria</w:t>
            </w:r>
          </w:p>
          <w:p w14:paraId="661D6991" w14:textId="77777777" w:rsidR="007D0385" w:rsidRPr="004A3C15" w:rsidRDefault="007D0385" w:rsidP="007D0385">
            <w:pPr>
              <w:widowControl w:val="0"/>
              <w:autoSpaceDE w:val="0"/>
              <w:autoSpaceDN w:val="0"/>
              <w:adjustRightInd w:val="0"/>
              <w:spacing w:before="60" w:after="60"/>
              <w:rPr>
                <w:sz w:val="20"/>
                <w:szCs w:val="20"/>
              </w:rPr>
            </w:pPr>
            <w:r w:rsidRPr="004A3C15">
              <w:rPr>
                <w:sz w:val="20"/>
                <w:szCs w:val="20"/>
              </w:rPr>
              <w:t>Victorian Curriculum and Assessment Authority</w:t>
            </w:r>
          </w:p>
        </w:tc>
        <w:tc>
          <w:tcPr>
            <w:tcW w:w="1703" w:type="dxa"/>
            <w:tcBorders>
              <w:top w:val="single" w:sz="4" w:space="0" w:color="auto"/>
              <w:bottom w:val="single" w:sz="4" w:space="0" w:color="auto"/>
            </w:tcBorders>
          </w:tcPr>
          <w:p w14:paraId="1167C941" w14:textId="77777777" w:rsidR="007D0385" w:rsidRPr="004A3C15" w:rsidRDefault="007D0385" w:rsidP="007D0385">
            <w:pPr>
              <w:spacing w:before="60" w:after="60"/>
              <w:rPr>
                <w:sz w:val="20"/>
                <w:szCs w:val="20"/>
              </w:rPr>
            </w:pPr>
            <w:r w:rsidRPr="004A3C15">
              <w:rPr>
                <w:sz w:val="20"/>
                <w:szCs w:val="20"/>
              </w:rPr>
              <w:t>Indonesian/Japanese/Korean Second Language</w:t>
            </w:r>
          </w:p>
        </w:tc>
        <w:tc>
          <w:tcPr>
            <w:tcW w:w="1417" w:type="dxa"/>
            <w:gridSpan w:val="2"/>
            <w:tcBorders>
              <w:top w:val="single" w:sz="4" w:space="0" w:color="auto"/>
              <w:bottom w:val="single" w:sz="4" w:space="0" w:color="auto"/>
            </w:tcBorders>
          </w:tcPr>
          <w:p w14:paraId="55A07377" w14:textId="77777777" w:rsidR="007D0385" w:rsidRPr="004A3C15" w:rsidRDefault="007D0385" w:rsidP="007D0385">
            <w:pPr>
              <w:spacing w:before="60" w:after="60"/>
              <w:rPr>
                <w:sz w:val="20"/>
                <w:szCs w:val="20"/>
              </w:rPr>
            </w:pPr>
          </w:p>
        </w:tc>
        <w:tc>
          <w:tcPr>
            <w:tcW w:w="3970" w:type="dxa"/>
            <w:tcBorders>
              <w:top w:val="single" w:sz="4" w:space="0" w:color="auto"/>
              <w:bottom w:val="single" w:sz="4" w:space="0" w:color="auto"/>
            </w:tcBorders>
          </w:tcPr>
          <w:p w14:paraId="077A868F" w14:textId="77777777" w:rsidR="007D0385" w:rsidRPr="004A3C15" w:rsidRDefault="007D0385" w:rsidP="007D0385">
            <w:pPr>
              <w:spacing w:before="60" w:after="60"/>
              <w:rPr>
                <w:sz w:val="20"/>
                <w:szCs w:val="20"/>
              </w:rPr>
            </w:pPr>
          </w:p>
        </w:tc>
        <w:tc>
          <w:tcPr>
            <w:tcW w:w="5242" w:type="dxa"/>
            <w:tcBorders>
              <w:top w:val="single" w:sz="4" w:space="0" w:color="auto"/>
              <w:bottom w:val="single" w:sz="4" w:space="0" w:color="auto"/>
            </w:tcBorders>
          </w:tcPr>
          <w:p w14:paraId="0288C5C3" w14:textId="77777777" w:rsidR="007D0385" w:rsidRPr="004A3C15" w:rsidRDefault="007D0385" w:rsidP="007D0385">
            <w:pPr>
              <w:spacing w:before="60" w:after="60"/>
              <w:contextualSpacing/>
              <w:rPr>
                <w:sz w:val="20"/>
                <w:szCs w:val="20"/>
              </w:rPr>
            </w:pPr>
            <w:r>
              <w:rPr>
                <w:sz w:val="20"/>
                <w:szCs w:val="20"/>
              </w:rPr>
              <w:t>N</w:t>
            </w:r>
            <w:r w:rsidRPr="004A3C15">
              <w:rPr>
                <w:sz w:val="20"/>
                <w:szCs w:val="20"/>
              </w:rPr>
              <w:t>o more than seven years of instruction in a school where [the language</w:t>
            </w:r>
            <w:r w:rsidRPr="0009004C">
              <w:rPr>
                <w:sz w:val="20"/>
                <w:szCs w:val="20"/>
              </w:rPr>
              <w:t>: Indonesian or Malay/Japanese/Korean</w:t>
            </w:r>
            <w:r w:rsidRPr="004A3C15">
              <w:rPr>
                <w:sz w:val="20"/>
                <w:szCs w:val="20"/>
              </w:rPr>
              <w:t>] is the medium of instruction</w:t>
            </w:r>
          </w:p>
        </w:tc>
      </w:tr>
      <w:tr w:rsidR="007D0385" w:rsidRPr="004A3C15" w14:paraId="45A4B606" w14:textId="77777777" w:rsidTr="007D0385">
        <w:trPr>
          <w:cantSplit/>
        </w:trPr>
        <w:tc>
          <w:tcPr>
            <w:tcW w:w="2235" w:type="dxa"/>
          </w:tcPr>
          <w:p w14:paraId="263A8691" w14:textId="77777777" w:rsidR="007D0385" w:rsidRPr="004A3C15" w:rsidRDefault="007D0385" w:rsidP="007D0385">
            <w:pPr>
              <w:widowControl w:val="0"/>
              <w:autoSpaceDE w:val="0"/>
              <w:autoSpaceDN w:val="0"/>
              <w:adjustRightInd w:val="0"/>
              <w:spacing w:before="60" w:after="60"/>
              <w:rPr>
                <w:iCs/>
                <w:sz w:val="20"/>
                <w:szCs w:val="20"/>
              </w:rPr>
            </w:pPr>
            <w:r w:rsidRPr="004A3C15">
              <w:rPr>
                <w:b/>
                <w:iCs/>
                <w:sz w:val="20"/>
                <w:szCs w:val="20"/>
              </w:rPr>
              <w:lastRenderedPageBreak/>
              <w:t>Western Australia</w:t>
            </w:r>
          </w:p>
          <w:p w14:paraId="2E491D94" w14:textId="77777777" w:rsidR="007D0385" w:rsidRPr="004A3C15" w:rsidRDefault="007D0385" w:rsidP="007D0385">
            <w:pPr>
              <w:widowControl w:val="0"/>
              <w:autoSpaceDE w:val="0"/>
              <w:autoSpaceDN w:val="0"/>
              <w:adjustRightInd w:val="0"/>
              <w:spacing w:before="60" w:after="60"/>
              <w:rPr>
                <w:sz w:val="20"/>
                <w:szCs w:val="20"/>
              </w:rPr>
            </w:pPr>
            <w:r w:rsidRPr="004A3C15">
              <w:rPr>
                <w:sz w:val="20"/>
                <w:szCs w:val="20"/>
              </w:rPr>
              <w:t>School Curriculum and Standards Authority</w:t>
            </w:r>
            <w:r w:rsidRPr="004A3C15">
              <w:rPr>
                <w:iCs/>
                <w:sz w:val="20"/>
                <w:szCs w:val="20"/>
              </w:rPr>
              <w:t xml:space="preserve"> </w:t>
            </w:r>
          </w:p>
        </w:tc>
        <w:tc>
          <w:tcPr>
            <w:tcW w:w="1703" w:type="dxa"/>
            <w:tcBorders>
              <w:top w:val="single" w:sz="4" w:space="0" w:color="auto"/>
            </w:tcBorders>
          </w:tcPr>
          <w:p w14:paraId="46007362" w14:textId="77777777" w:rsidR="007D0385" w:rsidRPr="004A3C15" w:rsidRDefault="007D0385" w:rsidP="007D0385">
            <w:pPr>
              <w:spacing w:before="60" w:after="60"/>
              <w:rPr>
                <w:sz w:val="20"/>
                <w:szCs w:val="20"/>
              </w:rPr>
            </w:pPr>
            <w:r>
              <w:rPr>
                <w:sz w:val="20"/>
                <w:szCs w:val="20"/>
              </w:rPr>
              <w:t xml:space="preserve">Year 12 2015 </w:t>
            </w:r>
            <w:r w:rsidRPr="004A3C15">
              <w:rPr>
                <w:sz w:val="20"/>
                <w:szCs w:val="20"/>
              </w:rPr>
              <w:t>Second Language</w:t>
            </w:r>
          </w:p>
        </w:tc>
        <w:tc>
          <w:tcPr>
            <w:tcW w:w="1417" w:type="dxa"/>
            <w:gridSpan w:val="2"/>
            <w:tcBorders>
              <w:top w:val="single" w:sz="4" w:space="0" w:color="auto"/>
            </w:tcBorders>
          </w:tcPr>
          <w:p w14:paraId="1A574E6C" w14:textId="77777777" w:rsidR="007D0385" w:rsidRPr="004A3C15" w:rsidRDefault="007D0385" w:rsidP="007D0385">
            <w:pPr>
              <w:spacing w:before="60" w:after="60"/>
              <w:rPr>
                <w:sz w:val="20"/>
                <w:szCs w:val="20"/>
              </w:rPr>
            </w:pPr>
            <w:r w:rsidRPr="004A3C15">
              <w:rPr>
                <w:sz w:val="20"/>
                <w:szCs w:val="20"/>
              </w:rPr>
              <w:t>Chinese</w:t>
            </w:r>
            <w:r>
              <w:rPr>
                <w:sz w:val="20"/>
                <w:szCs w:val="20"/>
              </w:rPr>
              <w:t xml:space="preserve"> Indonesian Japanese</w:t>
            </w:r>
          </w:p>
        </w:tc>
        <w:tc>
          <w:tcPr>
            <w:tcW w:w="3970" w:type="dxa"/>
            <w:tcBorders>
              <w:top w:val="single" w:sz="4" w:space="0" w:color="auto"/>
            </w:tcBorders>
          </w:tcPr>
          <w:p w14:paraId="22683437" w14:textId="77777777" w:rsidR="007D0385" w:rsidRPr="004A3C15" w:rsidRDefault="007D0385" w:rsidP="007D0385">
            <w:pPr>
              <w:spacing w:before="60" w:after="60"/>
              <w:rPr>
                <w:sz w:val="20"/>
                <w:szCs w:val="20"/>
              </w:rPr>
            </w:pPr>
            <w:r w:rsidRPr="004A3C15">
              <w:rPr>
                <w:color w:val="000000"/>
                <w:sz w:val="20"/>
                <w:szCs w:val="20"/>
              </w:rPr>
              <w:t>Second (or subsequent) language</w:t>
            </w:r>
          </w:p>
        </w:tc>
        <w:tc>
          <w:tcPr>
            <w:tcW w:w="5242" w:type="dxa"/>
            <w:tcBorders>
              <w:top w:val="single" w:sz="4" w:space="0" w:color="auto"/>
            </w:tcBorders>
          </w:tcPr>
          <w:p w14:paraId="12A7F78D" w14:textId="77777777" w:rsidR="007D0385" w:rsidRDefault="007D0385" w:rsidP="007D0385">
            <w:pPr>
              <w:spacing w:before="60" w:after="60"/>
              <w:contextualSpacing/>
              <w:rPr>
                <w:rFonts w:eastAsia="SimSun"/>
                <w:sz w:val="20"/>
                <w:szCs w:val="20"/>
                <w:lang w:eastAsia="zh-CN"/>
              </w:rPr>
            </w:pPr>
            <w:r w:rsidRPr="00E66791">
              <w:rPr>
                <w:sz w:val="20"/>
                <w:szCs w:val="20"/>
              </w:rPr>
              <w:t xml:space="preserve">No formal criteria – however second language learner is described as having </w:t>
            </w:r>
            <w:r w:rsidRPr="004A3C15">
              <w:rPr>
                <w:sz w:val="20"/>
                <w:szCs w:val="20"/>
              </w:rPr>
              <w:t xml:space="preserve">no exposure or interaction in the language </w:t>
            </w:r>
            <w:r w:rsidRPr="004A3C15">
              <w:rPr>
                <w:rFonts w:eastAsia="SimSun"/>
                <w:sz w:val="20"/>
                <w:szCs w:val="20"/>
                <w:lang w:eastAsia="zh-CN"/>
              </w:rPr>
              <w:t xml:space="preserve">outside the language classroom, </w:t>
            </w:r>
            <w:r w:rsidRPr="004A3C15">
              <w:rPr>
                <w:sz w:val="20"/>
                <w:szCs w:val="20"/>
              </w:rPr>
              <w:t xml:space="preserve">knowledge gained through classroom teaching in an Australian school or similar environment, where English </w:t>
            </w:r>
            <w:r w:rsidRPr="004A3C15">
              <w:rPr>
                <w:rFonts w:eastAsia="SimSun"/>
                <w:sz w:val="20"/>
                <w:szCs w:val="20"/>
                <w:lang w:eastAsia="zh-CN"/>
              </w:rPr>
              <w:t>is the language of school instruction</w:t>
            </w:r>
            <w:r w:rsidRPr="004A3C15">
              <w:rPr>
                <w:sz w:val="20"/>
                <w:szCs w:val="20"/>
              </w:rPr>
              <w:t xml:space="preserve">, not born/lived in a country where Chinese is spoken (although some </w:t>
            </w:r>
            <w:r w:rsidRPr="004A3C15">
              <w:rPr>
                <w:rFonts w:eastAsia="SimSun"/>
                <w:sz w:val="20"/>
                <w:szCs w:val="20"/>
                <w:lang w:eastAsia="zh-CN"/>
              </w:rPr>
              <w:t>stays of up to 12 months)</w:t>
            </w:r>
            <w:r>
              <w:rPr>
                <w:rFonts w:eastAsia="SimSun"/>
                <w:sz w:val="20"/>
                <w:szCs w:val="20"/>
                <w:lang w:eastAsia="zh-CN"/>
              </w:rPr>
              <w:t xml:space="preserve">. </w:t>
            </w:r>
          </w:p>
          <w:p w14:paraId="50D0A055" w14:textId="77777777" w:rsidR="007D0385" w:rsidRPr="00E66791" w:rsidRDefault="007D0385" w:rsidP="007D0385">
            <w:pPr>
              <w:spacing w:before="60" w:after="60"/>
              <w:contextualSpacing/>
              <w:rPr>
                <w:sz w:val="20"/>
                <w:szCs w:val="20"/>
              </w:rPr>
            </w:pPr>
            <w:r w:rsidRPr="00E66791">
              <w:rPr>
                <w:sz w:val="20"/>
                <w:szCs w:val="20"/>
              </w:rPr>
              <w:t>The determination for eligibility is made on the basis of:</w:t>
            </w:r>
          </w:p>
          <w:p w14:paraId="6EA3BAFC" w14:textId="6D9E889B" w:rsidR="007D0385" w:rsidRPr="007D0385" w:rsidRDefault="007D0385" w:rsidP="00F666F6">
            <w:pPr>
              <w:pStyle w:val="ListParagraph"/>
              <w:numPr>
                <w:ilvl w:val="0"/>
                <w:numId w:val="25"/>
              </w:numPr>
              <w:spacing w:before="60" w:after="60"/>
              <w:rPr>
                <w:sz w:val="20"/>
                <w:szCs w:val="20"/>
              </w:rPr>
            </w:pPr>
            <w:r w:rsidRPr="007D0385">
              <w:rPr>
                <w:sz w:val="20"/>
                <w:szCs w:val="20"/>
              </w:rPr>
              <w:t>the principal’s recommendation</w:t>
            </w:r>
          </w:p>
          <w:p w14:paraId="1A495B26" w14:textId="43F2E03D" w:rsidR="007D0385" w:rsidRPr="007D0385" w:rsidRDefault="007D0385" w:rsidP="00F666F6">
            <w:pPr>
              <w:pStyle w:val="ListParagraph"/>
              <w:numPr>
                <w:ilvl w:val="0"/>
                <w:numId w:val="25"/>
              </w:numPr>
              <w:spacing w:before="60" w:after="60"/>
              <w:rPr>
                <w:sz w:val="20"/>
                <w:szCs w:val="20"/>
              </w:rPr>
            </w:pPr>
            <w:r w:rsidRPr="007D0385">
              <w:rPr>
                <w:sz w:val="20"/>
                <w:szCs w:val="20"/>
              </w:rPr>
              <w:t xml:space="preserve">country or place of residence from birth </w:t>
            </w:r>
          </w:p>
          <w:p w14:paraId="0B3A6F30" w14:textId="18732406" w:rsidR="007D0385" w:rsidRPr="007D0385" w:rsidRDefault="007D0385" w:rsidP="00F666F6">
            <w:pPr>
              <w:pStyle w:val="ListParagraph"/>
              <w:numPr>
                <w:ilvl w:val="0"/>
                <w:numId w:val="25"/>
              </w:numPr>
              <w:spacing w:before="60" w:after="60"/>
              <w:rPr>
                <w:sz w:val="20"/>
                <w:szCs w:val="20"/>
              </w:rPr>
            </w:pPr>
            <w:r w:rsidRPr="007D0385">
              <w:rPr>
                <w:sz w:val="20"/>
                <w:szCs w:val="20"/>
              </w:rPr>
              <w:t>language of formal schooling</w:t>
            </w:r>
          </w:p>
          <w:p w14:paraId="5BC8489F" w14:textId="32159C80" w:rsidR="007D0385" w:rsidRPr="007D0385" w:rsidRDefault="007D0385" w:rsidP="00F666F6">
            <w:pPr>
              <w:pStyle w:val="ListParagraph"/>
              <w:numPr>
                <w:ilvl w:val="0"/>
                <w:numId w:val="25"/>
              </w:numPr>
              <w:spacing w:before="60" w:after="60"/>
              <w:rPr>
                <w:sz w:val="20"/>
                <w:szCs w:val="20"/>
              </w:rPr>
            </w:pPr>
            <w:r w:rsidRPr="007D0385">
              <w:rPr>
                <w:sz w:val="20"/>
                <w:szCs w:val="20"/>
              </w:rPr>
              <w:t xml:space="preserve">attendance at community language schools </w:t>
            </w:r>
          </w:p>
          <w:p w14:paraId="2D96E0D7" w14:textId="67EDF57A" w:rsidR="007D0385" w:rsidRPr="007D0385" w:rsidRDefault="007D0385" w:rsidP="00F666F6">
            <w:pPr>
              <w:pStyle w:val="ListParagraph"/>
              <w:numPr>
                <w:ilvl w:val="0"/>
                <w:numId w:val="25"/>
              </w:numPr>
              <w:spacing w:before="60" w:after="60"/>
              <w:rPr>
                <w:sz w:val="20"/>
                <w:szCs w:val="20"/>
              </w:rPr>
            </w:pPr>
            <w:r w:rsidRPr="007D0385">
              <w:rPr>
                <w:sz w:val="20"/>
                <w:szCs w:val="20"/>
              </w:rPr>
              <w:t>the student’s linguistic background</w:t>
            </w:r>
          </w:p>
          <w:p w14:paraId="103C7339" w14:textId="568F1795" w:rsidR="007D0385" w:rsidRPr="007D0385" w:rsidRDefault="007D0385" w:rsidP="00F666F6">
            <w:pPr>
              <w:pStyle w:val="ListParagraph"/>
              <w:numPr>
                <w:ilvl w:val="0"/>
                <w:numId w:val="25"/>
              </w:numPr>
              <w:spacing w:before="60" w:after="60"/>
              <w:rPr>
                <w:sz w:val="20"/>
                <w:szCs w:val="20"/>
              </w:rPr>
            </w:pPr>
            <w:proofErr w:type="gramStart"/>
            <w:r w:rsidRPr="007D0385">
              <w:rPr>
                <w:sz w:val="20"/>
                <w:szCs w:val="20"/>
              </w:rPr>
              <w:t>consideration</w:t>
            </w:r>
            <w:proofErr w:type="gramEnd"/>
            <w:r w:rsidRPr="007D0385">
              <w:rPr>
                <w:sz w:val="20"/>
                <w:szCs w:val="20"/>
              </w:rPr>
              <w:t xml:space="preserve"> of other relevant documentation.</w:t>
            </w:r>
          </w:p>
          <w:p w14:paraId="7A1D0062" w14:textId="77777777" w:rsidR="007D0385" w:rsidRPr="004A3C15" w:rsidRDefault="007D0385" w:rsidP="007D0385">
            <w:pPr>
              <w:spacing w:before="60" w:after="60"/>
              <w:contextualSpacing/>
              <w:rPr>
                <w:sz w:val="20"/>
                <w:szCs w:val="20"/>
              </w:rPr>
            </w:pPr>
            <w:r w:rsidRPr="00E66791">
              <w:rPr>
                <w:sz w:val="20"/>
                <w:szCs w:val="20"/>
              </w:rPr>
              <w:t>An on</w:t>
            </w:r>
            <w:r>
              <w:rPr>
                <w:sz w:val="20"/>
                <w:szCs w:val="20"/>
              </w:rPr>
              <w:t>-</w:t>
            </w:r>
            <w:r w:rsidRPr="00E66791">
              <w:rPr>
                <w:sz w:val="20"/>
                <w:szCs w:val="20"/>
              </w:rPr>
              <w:t>balance judgement is made on the basis of all information provided.</w:t>
            </w:r>
          </w:p>
        </w:tc>
      </w:tr>
      <w:tr w:rsidR="007D0385" w:rsidRPr="004A3C15" w14:paraId="125911E3" w14:textId="77777777" w:rsidTr="007D0385">
        <w:trPr>
          <w:cantSplit/>
        </w:trPr>
        <w:tc>
          <w:tcPr>
            <w:tcW w:w="2235" w:type="dxa"/>
            <w:tcBorders>
              <w:bottom w:val="single" w:sz="4" w:space="0" w:color="auto"/>
            </w:tcBorders>
          </w:tcPr>
          <w:p w14:paraId="5AE7D8C6" w14:textId="77777777" w:rsidR="007D0385" w:rsidRPr="004A3C15" w:rsidRDefault="007D0385" w:rsidP="007D0385">
            <w:pPr>
              <w:widowControl w:val="0"/>
              <w:autoSpaceDE w:val="0"/>
              <w:autoSpaceDN w:val="0"/>
              <w:adjustRightInd w:val="0"/>
              <w:spacing w:before="60" w:after="60"/>
              <w:rPr>
                <w:iCs/>
                <w:sz w:val="20"/>
                <w:szCs w:val="20"/>
              </w:rPr>
            </w:pPr>
            <w:r w:rsidRPr="004A3C15">
              <w:rPr>
                <w:b/>
                <w:iCs/>
                <w:sz w:val="20"/>
                <w:szCs w:val="20"/>
              </w:rPr>
              <w:t>Western Australia</w:t>
            </w:r>
          </w:p>
          <w:p w14:paraId="0B74008B" w14:textId="77777777" w:rsidR="007D0385" w:rsidRPr="004A3C15" w:rsidRDefault="007D0385" w:rsidP="007D0385">
            <w:pPr>
              <w:widowControl w:val="0"/>
              <w:autoSpaceDE w:val="0"/>
              <w:autoSpaceDN w:val="0"/>
              <w:adjustRightInd w:val="0"/>
              <w:spacing w:before="60" w:after="60"/>
              <w:rPr>
                <w:b/>
                <w:iCs/>
                <w:sz w:val="20"/>
                <w:szCs w:val="20"/>
              </w:rPr>
            </w:pPr>
            <w:r w:rsidRPr="004A3C15">
              <w:rPr>
                <w:sz w:val="20"/>
                <w:szCs w:val="20"/>
              </w:rPr>
              <w:t>School Curriculum and Standards Authority</w:t>
            </w:r>
          </w:p>
        </w:tc>
        <w:tc>
          <w:tcPr>
            <w:tcW w:w="1703" w:type="dxa"/>
          </w:tcPr>
          <w:p w14:paraId="7C459B73" w14:textId="77777777" w:rsidR="007D0385" w:rsidRPr="00EC3D37" w:rsidRDefault="007D0385" w:rsidP="007D0385">
            <w:pPr>
              <w:spacing w:before="60" w:after="60"/>
              <w:rPr>
                <w:rFonts w:ascii="Calibri" w:hAnsi="Calibri"/>
                <w:b/>
                <w:sz w:val="20"/>
                <w:szCs w:val="20"/>
              </w:rPr>
            </w:pPr>
            <w:r w:rsidRPr="00EC3D37">
              <w:rPr>
                <w:rFonts w:ascii="Calibri" w:hAnsi="Calibri"/>
                <w:b/>
                <w:sz w:val="20"/>
                <w:szCs w:val="20"/>
              </w:rPr>
              <w:t>Year 11 (from 2015)</w:t>
            </w:r>
          </w:p>
          <w:p w14:paraId="15698B82" w14:textId="77777777" w:rsidR="007D0385" w:rsidRPr="00EC3D37" w:rsidRDefault="007D0385" w:rsidP="007D0385">
            <w:pPr>
              <w:spacing w:before="60" w:after="60"/>
              <w:rPr>
                <w:rFonts w:ascii="Calibri" w:hAnsi="Calibri"/>
                <w:sz w:val="20"/>
                <w:szCs w:val="20"/>
              </w:rPr>
            </w:pPr>
            <w:r w:rsidRPr="00EC3D37">
              <w:rPr>
                <w:rFonts w:ascii="Calibri" w:hAnsi="Calibri"/>
                <w:sz w:val="20"/>
                <w:szCs w:val="20"/>
              </w:rPr>
              <w:t xml:space="preserve">Background Language </w:t>
            </w:r>
            <w:proofErr w:type="spellStart"/>
            <w:r w:rsidRPr="00EC3D37">
              <w:rPr>
                <w:rFonts w:ascii="Calibri" w:hAnsi="Calibri"/>
                <w:sz w:val="20"/>
                <w:szCs w:val="20"/>
              </w:rPr>
              <w:t>ATAR</w:t>
            </w:r>
            <w:proofErr w:type="spellEnd"/>
          </w:p>
        </w:tc>
        <w:tc>
          <w:tcPr>
            <w:tcW w:w="1417" w:type="dxa"/>
            <w:gridSpan w:val="2"/>
          </w:tcPr>
          <w:p w14:paraId="0D19AFF4" w14:textId="77777777" w:rsidR="007D0385" w:rsidRPr="00EC3D37" w:rsidRDefault="007D0385" w:rsidP="007D0385">
            <w:pPr>
              <w:rPr>
                <w:rFonts w:ascii="Calibri" w:hAnsi="Calibri"/>
                <w:sz w:val="20"/>
                <w:szCs w:val="20"/>
              </w:rPr>
            </w:pPr>
            <w:r w:rsidRPr="00EC3D37">
              <w:rPr>
                <w:rFonts w:ascii="Calibri" w:hAnsi="Calibri"/>
                <w:sz w:val="20"/>
                <w:szCs w:val="20"/>
              </w:rPr>
              <w:t>Chinese, French, German, Indonesian</w:t>
            </w:r>
          </w:p>
          <w:p w14:paraId="2D7FE02F" w14:textId="77777777" w:rsidR="007D0385" w:rsidRPr="00EC3D37" w:rsidRDefault="007D0385" w:rsidP="007D0385">
            <w:pPr>
              <w:spacing w:before="60" w:after="60"/>
              <w:rPr>
                <w:rFonts w:ascii="Calibri" w:hAnsi="Calibri"/>
                <w:sz w:val="20"/>
                <w:szCs w:val="20"/>
              </w:rPr>
            </w:pPr>
            <w:r w:rsidRPr="00EC3D37">
              <w:rPr>
                <w:rFonts w:ascii="Calibri" w:hAnsi="Calibri"/>
                <w:sz w:val="20"/>
                <w:szCs w:val="20"/>
              </w:rPr>
              <w:t>Italian, Japanese</w:t>
            </w:r>
          </w:p>
        </w:tc>
        <w:tc>
          <w:tcPr>
            <w:tcW w:w="3970" w:type="dxa"/>
          </w:tcPr>
          <w:p w14:paraId="1DC83BED" w14:textId="77777777" w:rsidR="007D0385" w:rsidRPr="00EC3D37" w:rsidRDefault="007D0385" w:rsidP="007D0385">
            <w:pPr>
              <w:spacing w:before="60" w:after="60"/>
              <w:rPr>
                <w:rFonts w:ascii="Calibri" w:hAnsi="Calibri"/>
                <w:color w:val="000000"/>
                <w:sz w:val="20"/>
                <w:szCs w:val="20"/>
              </w:rPr>
            </w:pPr>
            <w:r w:rsidRPr="00EC3D37">
              <w:rPr>
                <w:rFonts w:ascii="Calibri" w:hAnsi="Calibri"/>
                <w:color w:val="000000"/>
                <w:sz w:val="20"/>
                <w:szCs w:val="20"/>
              </w:rPr>
              <w:t>Learners who:</w:t>
            </w:r>
          </w:p>
          <w:p w14:paraId="25AFA633" w14:textId="77777777" w:rsidR="007D0385" w:rsidRPr="00EC3D37" w:rsidRDefault="007D0385" w:rsidP="00F666F6">
            <w:pPr>
              <w:pStyle w:val="ListParagraph"/>
              <w:keepNext w:val="0"/>
              <w:keepLines w:val="0"/>
              <w:numPr>
                <w:ilvl w:val="0"/>
                <w:numId w:val="24"/>
              </w:numPr>
              <w:spacing w:before="60" w:after="60"/>
              <w:ind w:left="317" w:hanging="284"/>
              <w:rPr>
                <w:rFonts w:ascii="Calibri" w:hAnsi="Calibri"/>
                <w:color w:val="000000"/>
                <w:sz w:val="20"/>
                <w:szCs w:val="20"/>
              </w:rPr>
            </w:pPr>
            <w:r w:rsidRPr="00EC3D37">
              <w:rPr>
                <w:rFonts w:ascii="Calibri" w:hAnsi="Calibri"/>
                <w:color w:val="000000"/>
                <w:sz w:val="20"/>
                <w:szCs w:val="20"/>
              </w:rPr>
              <w:t xml:space="preserve">use the language outside classroom </w:t>
            </w:r>
          </w:p>
          <w:p w14:paraId="5E87C7B8" w14:textId="77777777" w:rsidR="007D0385" w:rsidRPr="00EC3D37" w:rsidRDefault="007D0385" w:rsidP="00F666F6">
            <w:pPr>
              <w:pStyle w:val="ListParagraph"/>
              <w:keepNext w:val="0"/>
              <w:keepLines w:val="0"/>
              <w:numPr>
                <w:ilvl w:val="0"/>
                <w:numId w:val="24"/>
              </w:numPr>
              <w:spacing w:before="60" w:after="60"/>
              <w:ind w:left="317" w:hanging="284"/>
              <w:rPr>
                <w:rFonts w:ascii="Calibri" w:hAnsi="Calibri"/>
                <w:color w:val="000000"/>
                <w:sz w:val="20"/>
                <w:szCs w:val="20"/>
              </w:rPr>
            </w:pPr>
            <w:r w:rsidRPr="00EC3D37">
              <w:rPr>
                <w:rFonts w:ascii="Calibri" w:hAnsi="Calibri"/>
                <w:color w:val="000000"/>
                <w:sz w:val="20"/>
                <w:szCs w:val="20"/>
              </w:rPr>
              <w:t>have had time in-country</w:t>
            </w:r>
          </w:p>
          <w:p w14:paraId="1A05CBD7" w14:textId="77777777" w:rsidR="007D0385" w:rsidRPr="00EC3D37" w:rsidRDefault="007D0385" w:rsidP="007D0385">
            <w:pPr>
              <w:spacing w:before="60" w:after="60"/>
              <w:rPr>
                <w:rFonts w:ascii="Calibri" w:hAnsi="Calibri"/>
                <w:color w:val="000000"/>
                <w:sz w:val="20"/>
                <w:szCs w:val="20"/>
              </w:rPr>
            </w:pPr>
            <w:r w:rsidRPr="00EC3D37">
              <w:rPr>
                <w:rFonts w:ascii="Calibri" w:hAnsi="Calibri"/>
                <w:color w:val="000000"/>
                <w:sz w:val="20"/>
                <w:szCs w:val="20"/>
              </w:rPr>
              <w:t xml:space="preserve">have been in a school where the language is a means of instruction </w:t>
            </w:r>
          </w:p>
        </w:tc>
        <w:tc>
          <w:tcPr>
            <w:tcW w:w="5242" w:type="dxa"/>
          </w:tcPr>
          <w:p w14:paraId="6B69C374" w14:textId="77777777" w:rsidR="007D0385" w:rsidRPr="003858E8" w:rsidRDefault="007D0385" w:rsidP="007D0385">
            <w:pPr>
              <w:contextualSpacing/>
              <w:rPr>
                <w:rFonts w:ascii="Calibri" w:hAnsi="Calibri"/>
                <w:sz w:val="20"/>
                <w:szCs w:val="20"/>
              </w:rPr>
            </w:pPr>
            <w:r w:rsidRPr="003858E8">
              <w:rPr>
                <w:rFonts w:ascii="Calibri" w:hAnsi="Calibri"/>
                <w:sz w:val="20"/>
                <w:szCs w:val="20"/>
              </w:rPr>
              <w:t xml:space="preserve">For background language defined as: </w:t>
            </w:r>
          </w:p>
          <w:p w14:paraId="537C3CDD" w14:textId="77777777" w:rsidR="007D0385" w:rsidRPr="00EC3D37" w:rsidRDefault="007D0385" w:rsidP="007D0385">
            <w:pPr>
              <w:contextualSpacing/>
              <w:rPr>
                <w:rFonts w:ascii="Calibri" w:hAnsi="Calibri"/>
                <w:sz w:val="20"/>
                <w:szCs w:val="20"/>
              </w:rPr>
            </w:pPr>
            <w:r w:rsidRPr="00EC3D37">
              <w:rPr>
                <w:rFonts w:ascii="Calibri" w:hAnsi="Calibri"/>
                <w:sz w:val="20"/>
                <w:szCs w:val="20"/>
              </w:rPr>
              <w:t xml:space="preserve">1. </w:t>
            </w:r>
            <w:r>
              <w:rPr>
                <w:rFonts w:ascii="Calibri" w:hAnsi="Calibri"/>
                <w:sz w:val="20"/>
                <w:szCs w:val="20"/>
              </w:rPr>
              <w:t>l</w:t>
            </w:r>
            <w:r w:rsidRPr="00EC3D37">
              <w:rPr>
                <w:rFonts w:ascii="Calibri" w:hAnsi="Calibri"/>
                <w:sz w:val="20"/>
                <w:szCs w:val="20"/>
              </w:rPr>
              <w:t xml:space="preserve">ess than five (5) years in total of formal education (from </w:t>
            </w:r>
          </w:p>
          <w:p w14:paraId="6037D090" w14:textId="77777777" w:rsidR="007D0385" w:rsidRPr="00EC3D37" w:rsidRDefault="007D0385" w:rsidP="007D0385">
            <w:pPr>
              <w:spacing w:after="120"/>
              <w:contextualSpacing/>
              <w:rPr>
                <w:rFonts w:ascii="Calibri" w:hAnsi="Calibri"/>
                <w:sz w:val="20"/>
                <w:szCs w:val="20"/>
              </w:rPr>
            </w:pPr>
            <w:proofErr w:type="gramStart"/>
            <w:r w:rsidRPr="00EC3D37">
              <w:rPr>
                <w:rFonts w:ascii="Calibri" w:hAnsi="Calibri"/>
                <w:sz w:val="20"/>
                <w:szCs w:val="20"/>
              </w:rPr>
              <w:t>pre-primary</w:t>
            </w:r>
            <w:proofErr w:type="gramEnd"/>
            <w:r w:rsidRPr="00EC3D37">
              <w:rPr>
                <w:rFonts w:ascii="Calibri" w:hAnsi="Calibri"/>
                <w:sz w:val="20"/>
                <w:szCs w:val="20"/>
              </w:rPr>
              <w:t>) in schools where the language is the language of instruction, including education in community and ethnic schools.</w:t>
            </w:r>
          </w:p>
          <w:p w14:paraId="5848FBD4" w14:textId="77777777" w:rsidR="007D0385" w:rsidRPr="00EC3D37" w:rsidRDefault="007D0385" w:rsidP="007D0385">
            <w:pPr>
              <w:spacing w:before="60"/>
              <w:contextualSpacing/>
              <w:rPr>
                <w:rFonts w:ascii="Calibri" w:hAnsi="Calibri"/>
                <w:sz w:val="20"/>
                <w:szCs w:val="20"/>
              </w:rPr>
            </w:pPr>
            <w:r w:rsidRPr="00EC3D37">
              <w:rPr>
                <w:rFonts w:ascii="Calibri" w:hAnsi="Calibri"/>
                <w:sz w:val="20"/>
                <w:szCs w:val="20"/>
              </w:rPr>
              <w:t xml:space="preserve">2. </w:t>
            </w:r>
            <w:r>
              <w:rPr>
                <w:rFonts w:ascii="Calibri" w:hAnsi="Calibri"/>
                <w:sz w:val="20"/>
                <w:szCs w:val="20"/>
              </w:rPr>
              <w:t>l</w:t>
            </w:r>
            <w:r w:rsidRPr="00EC3D37">
              <w:rPr>
                <w:rFonts w:ascii="Calibri" w:hAnsi="Calibri"/>
                <w:sz w:val="20"/>
                <w:szCs w:val="20"/>
              </w:rPr>
              <w:t>ess than five (5) years in total of residency and time spent in a country where the language is a medium of communication</w:t>
            </w:r>
          </w:p>
          <w:p w14:paraId="02F1D3DA" w14:textId="77777777" w:rsidR="007D0385" w:rsidRPr="00EC3D37" w:rsidRDefault="007D0385" w:rsidP="007D0385">
            <w:pPr>
              <w:spacing w:before="60" w:after="60"/>
              <w:contextualSpacing/>
              <w:rPr>
                <w:rFonts w:ascii="Calibri" w:hAnsi="Calibri"/>
                <w:sz w:val="20"/>
                <w:szCs w:val="20"/>
              </w:rPr>
            </w:pPr>
            <w:r w:rsidRPr="00EC3D37">
              <w:rPr>
                <w:rFonts w:ascii="Calibri" w:hAnsi="Calibri"/>
                <w:sz w:val="20"/>
                <w:szCs w:val="20"/>
              </w:rPr>
              <w:t xml:space="preserve">3. </w:t>
            </w:r>
            <w:proofErr w:type="gramStart"/>
            <w:r>
              <w:rPr>
                <w:rFonts w:ascii="Calibri" w:hAnsi="Calibri"/>
                <w:sz w:val="20"/>
                <w:szCs w:val="20"/>
              </w:rPr>
              <w:t>u</w:t>
            </w:r>
            <w:r w:rsidRPr="00EC3D37">
              <w:rPr>
                <w:rFonts w:ascii="Calibri" w:hAnsi="Calibri"/>
                <w:sz w:val="20"/>
                <w:szCs w:val="20"/>
              </w:rPr>
              <w:t>se</w:t>
            </w:r>
            <w:proofErr w:type="gramEnd"/>
            <w:r w:rsidRPr="00EC3D37">
              <w:rPr>
                <w:rFonts w:ascii="Calibri" w:hAnsi="Calibri"/>
                <w:sz w:val="20"/>
                <w:szCs w:val="20"/>
              </w:rPr>
              <w:t xml:space="preserve"> of the language for sustained communication outside the classroom with a person or persons who have a background in the language is permitted.</w:t>
            </w:r>
          </w:p>
        </w:tc>
      </w:tr>
      <w:tr w:rsidR="007D0385" w:rsidRPr="004A3C15" w14:paraId="66225CB2" w14:textId="77777777" w:rsidTr="007D0385">
        <w:trPr>
          <w:cantSplit/>
        </w:trPr>
        <w:tc>
          <w:tcPr>
            <w:tcW w:w="2235" w:type="dxa"/>
            <w:tcBorders>
              <w:top w:val="single" w:sz="4" w:space="0" w:color="auto"/>
            </w:tcBorders>
          </w:tcPr>
          <w:p w14:paraId="7E0FF413" w14:textId="77777777" w:rsidR="007D0385" w:rsidRPr="004A3C15" w:rsidRDefault="007D0385" w:rsidP="007D0385">
            <w:pPr>
              <w:widowControl w:val="0"/>
              <w:autoSpaceDE w:val="0"/>
              <w:autoSpaceDN w:val="0"/>
              <w:adjustRightInd w:val="0"/>
              <w:spacing w:before="60" w:after="60"/>
              <w:rPr>
                <w:iCs/>
                <w:sz w:val="20"/>
                <w:szCs w:val="20"/>
              </w:rPr>
            </w:pPr>
            <w:r w:rsidRPr="004A3C15">
              <w:rPr>
                <w:b/>
                <w:iCs/>
                <w:sz w:val="20"/>
                <w:szCs w:val="20"/>
              </w:rPr>
              <w:lastRenderedPageBreak/>
              <w:t>Western Australia</w:t>
            </w:r>
          </w:p>
          <w:p w14:paraId="4513801A" w14:textId="77777777" w:rsidR="007D0385" w:rsidRPr="004A3C15" w:rsidRDefault="007D0385" w:rsidP="007D0385">
            <w:pPr>
              <w:widowControl w:val="0"/>
              <w:autoSpaceDE w:val="0"/>
              <w:autoSpaceDN w:val="0"/>
              <w:adjustRightInd w:val="0"/>
              <w:spacing w:before="60" w:after="60"/>
              <w:rPr>
                <w:b/>
                <w:iCs/>
                <w:sz w:val="20"/>
                <w:szCs w:val="20"/>
              </w:rPr>
            </w:pPr>
            <w:r w:rsidRPr="004A3C15">
              <w:rPr>
                <w:sz w:val="20"/>
                <w:szCs w:val="20"/>
              </w:rPr>
              <w:t>School Curriculum and Standards Authority</w:t>
            </w:r>
          </w:p>
        </w:tc>
        <w:tc>
          <w:tcPr>
            <w:tcW w:w="1703" w:type="dxa"/>
          </w:tcPr>
          <w:p w14:paraId="18264163" w14:textId="77777777" w:rsidR="007D0385" w:rsidRPr="00EC3D37" w:rsidRDefault="007D0385" w:rsidP="007D0385">
            <w:pPr>
              <w:spacing w:before="60" w:after="60"/>
              <w:rPr>
                <w:rFonts w:ascii="Calibri" w:hAnsi="Calibri"/>
                <w:b/>
                <w:sz w:val="20"/>
                <w:szCs w:val="20"/>
              </w:rPr>
            </w:pPr>
            <w:r w:rsidRPr="00EC3D37">
              <w:rPr>
                <w:rFonts w:ascii="Calibri" w:hAnsi="Calibri"/>
                <w:b/>
                <w:sz w:val="20"/>
                <w:szCs w:val="20"/>
              </w:rPr>
              <w:t>Year 11 (from 2015)</w:t>
            </w:r>
          </w:p>
          <w:p w14:paraId="0EA72193" w14:textId="77777777" w:rsidR="007D0385" w:rsidRPr="00EC3D37" w:rsidRDefault="007D0385" w:rsidP="007D0385">
            <w:pPr>
              <w:spacing w:before="60" w:after="60"/>
              <w:rPr>
                <w:rFonts w:ascii="Calibri" w:hAnsi="Calibri"/>
                <w:sz w:val="20"/>
                <w:szCs w:val="20"/>
              </w:rPr>
            </w:pPr>
            <w:r w:rsidRPr="00EC3D37">
              <w:rPr>
                <w:rFonts w:ascii="Calibri" w:hAnsi="Calibri"/>
                <w:sz w:val="20"/>
                <w:szCs w:val="20"/>
              </w:rPr>
              <w:t xml:space="preserve">Background Language </w:t>
            </w:r>
            <w:proofErr w:type="spellStart"/>
            <w:r w:rsidRPr="00EC3D37">
              <w:rPr>
                <w:rFonts w:ascii="Calibri" w:hAnsi="Calibri"/>
                <w:sz w:val="20"/>
                <w:szCs w:val="20"/>
              </w:rPr>
              <w:t>ATAR</w:t>
            </w:r>
            <w:proofErr w:type="spellEnd"/>
          </w:p>
        </w:tc>
        <w:tc>
          <w:tcPr>
            <w:tcW w:w="1417" w:type="dxa"/>
            <w:gridSpan w:val="2"/>
          </w:tcPr>
          <w:p w14:paraId="3CBFB721" w14:textId="77777777" w:rsidR="007D0385" w:rsidRPr="00EC3D37" w:rsidRDefault="007D0385" w:rsidP="007D0385">
            <w:pPr>
              <w:rPr>
                <w:rFonts w:ascii="Calibri" w:hAnsi="Calibri"/>
                <w:sz w:val="20"/>
                <w:szCs w:val="20"/>
              </w:rPr>
            </w:pPr>
            <w:r w:rsidRPr="00EC3D37">
              <w:rPr>
                <w:rFonts w:ascii="Calibri" w:hAnsi="Calibri"/>
                <w:sz w:val="20"/>
                <w:szCs w:val="20"/>
              </w:rPr>
              <w:t>Chinese, French, German, Indonesian</w:t>
            </w:r>
          </w:p>
          <w:p w14:paraId="21E145B5" w14:textId="77777777" w:rsidR="007D0385" w:rsidRPr="00EC3D37" w:rsidRDefault="007D0385" w:rsidP="007D0385">
            <w:pPr>
              <w:spacing w:before="60" w:after="60"/>
              <w:rPr>
                <w:rFonts w:ascii="Calibri" w:hAnsi="Calibri"/>
                <w:sz w:val="20"/>
                <w:szCs w:val="20"/>
              </w:rPr>
            </w:pPr>
            <w:r w:rsidRPr="00EC3D37">
              <w:rPr>
                <w:rFonts w:ascii="Calibri" w:hAnsi="Calibri"/>
                <w:sz w:val="20"/>
                <w:szCs w:val="20"/>
              </w:rPr>
              <w:t>Italian, Japanese</w:t>
            </w:r>
          </w:p>
        </w:tc>
        <w:tc>
          <w:tcPr>
            <w:tcW w:w="3970" w:type="dxa"/>
          </w:tcPr>
          <w:p w14:paraId="5A3BE6A0" w14:textId="77777777" w:rsidR="007D0385" w:rsidRPr="00EC3D37" w:rsidRDefault="007D0385" w:rsidP="007D0385">
            <w:pPr>
              <w:spacing w:before="60" w:after="60"/>
              <w:rPr>
                <w:rFonts w:ascii="Calibri" w:hAnsi="Calibri"/>
                <w:color w:val="000000"/>
                <w:sz w:val="20"/>
                <w:szCs w:val="20"/>
              </w:rPr>
            </w:pPr>
            <w:r w:rsidRPr="00EC3D37">
              <w:rPr>
                <w:rFonts w:ascii="Calibri" w:hAnsi="Calibri"/>
                <w:color w:val="000000"/>
                <w:sz w:val="20"/>
                <w:szCs w:val="20"/>
              </w:rPr>
              <w:t>Learners who:</w:t>
            </w:r>
          </w:p>
          <w:p w14:paraId="470B78F8" w14:textId="77777777" w:rsidR="007D0385" w:rsidRPr="00EC3D37" w:rsidRDefault="007D0385" w:rsidP="00F666F6">
            <w:pPr>
              <w:pStyle w:val="ListParagraph"/>
              <w:keepNext w:val="0"/>
              <w:keepLines w:val="0"/>
              <w:numPr>
                <w:ilvl w:val="0"/>
                <w:numId w:val="24"/>
              </w:numPr>
              <w:spacing w:before="60" w:after="60"/>
              <w:ind w:left="317" w:hanging="284"/>
              <w:rPr>
                <w:rFonts w:ascii="Calibri" w:hAnsi="Calibri"/>
                <w:color w:val="000000"/>
                <w:sz w:val="20"/>
                <w:szCs w:val="20"/>
              </w:rPr>
            </w:pPr>
            <w:r w:rsidRPr="00EC3D37">
              <w:rPr>
                <w:rFonts w:ascii="Calibri" w:hAnsi="Calibri"/>
                <w:color w:val="000000"/>
                <w:sz w:val="20"/>
                <w:szCs w:val="20"/>
              </w:rPr>
              <w:t xml:space="preserve">use the language outside classroom </w:t>
            </w:r>
          </w:p>
          <w:p w14:paraId="1E2C8AB4" w14:textId="77777777" w:rsidR="007D0385" w:rsidRPr="00EC3D37" w:rsidRDefault="007D0385" w:rsidP="00F666F6">
            <w:pPr>
              <w:pStyle w:val="ListParagraph"/>
              <w:keepNext w:val="0"/>
              <w:keepLines w:val="0"/>
              <w:numPr>
                <w:ilvl w:val="0"/>
                <w:numId w:val="24"/>
              </w:numPr>
              <w:spacing w:before="60" w:after="60"/>
              <w:ind w:left="317" w:hanging="284"/>
              <w:rPr>
                <w:rFonts w:ascii="Calibri" w:hAnsi="Calibri"/>
                <w:color w:val="000000"/>
                <w:sz w:val="20"/>
                <w:szCs w:val="20"/>
              </w:rPr>
            </w:pPr>
            <w:r w:rsidRPr="00EC3D37">
              <w:rPr>
                <w:rFonts w:ascii="Calibri" w:hAnsi="Calibri"/>
                <w:color w:val="000000"/>
                <w:sz w:val="20"/>
                <w:szCs w:val="20"/>
              </w:rPr>
              <w:t>have had time in-country</w:t>
            </w:r>
          </w:p>
          <w:p w14:paraId="2DD1CF3E" w14:textId="77777777" w:rsidR="007D0385" w:rsidRPr="00EC3D37" w:rsidRDefault="007D0385" w:rsidP="007D0385">
            <w:pPr>
              <w:spacing w:before="60" w:after="60"/>
              <w:rPr>
                <w:rFonts w:ascii="Calibri" w:hAnsi="Calibri"/>
                <w:color w:val="000000"/>
                <w:sz w:val="20"/>
                <w:szCs w:val="20"/>
              </w:rPr>
            </w:pPr>
            <w:r w:rsidRPr="00EC3D37">
              <w:rPr>
                <w:rFonts w:ascii="Calibri" w:hAnsi="Calibri"/>
                <w:color w:val="000000"/>
                <w:sz w:val="20"/>
                <w:szCs w:val="20"/>
              </w:rPr>
              <w:t xml:space="preserve">have been in a school where the language is a means of instruction </w:t>
            </w:r>
          </w:p>
        </w:tc>
        <w:tc>
          <w:tcPr>
            <w:tcW w:w="5242" w:type="dxa"/>
          </w:tcPr>
          <w:p w14:paraId="65084BAC" w14:textId="77777777" w:rsidR="007D0385" w:rsidRPr="003858E8" w:rsidRDefault="007D0385" w:rsidP="007D0385">
            <w:pPr>
              <w:contextualSpacing/>
              <w:rPr>
                <w:rFonts w:ascii="Calibri" w:hAnsi="Calibri"/>
                <w:sz w:val="20"/>
                <w:szCs w:val="20"/>
              </w:rPr>
            </w:pPr>
            <w:r w:rsidRPr="003858E8">
              <w:rPr>
                <w:rFonts w:ascii="Calibri" w:hAnsi="Calibri"/>
                <w:sz w:val="20"/>
                <w:szCs w:val="20"/>
              </w:rPr>
              <w:t>For background language defined as</w:t>
            </w:r>
            <w:r>
              <w:rPr>
                <w:rFonts w:ascii="Calibri" w:hAnsi="Calibri"/>
                <w:sz w:val="20"/>
                <w:szCs w:val="20"/>
              </w:rPr>
              <w:t>:</w:t>
            </w:r>
            <w:r w:rsidRPr="003858E8">
              <w:rPr>
                <w:rFonts w:ascii="Calibri" w:hAnsi="Calibri"/>
                <w:sz w:val="20"/>
                <w:szCs w:val="20"/>
              </w:rPr>
              <w:t xml:space="preserve"> </w:t>
            </w:r>
          </w:p>
          <w:p w14:paraId="0A4BF0A3" w14:textId="77777777" w:rsidR="007D0385" w:rsidRPr="00EC3D37" w:rsidRDefault="007D0385" w:rsidP="007D0385">
            <w:pPr>
              <w:contextualSpacing/>
              <w:rPr>
                <w:rFonts w:ascii="Calibri" w:hAnsi="Calibri"/>
                <w:sz w:val="20"/>
                <w:szCs w:val="20"/>
              </w:rPr>
            </w:pPr>
            <w:r w:rsidRPr="00EC3D37">
              <w:rPr>
                <w:rFonts w:ascii="Calibri" w:hAnsi="Calibri"/>
                <w:sz w:val="20"/>
                <w:szCs w:val="20"/>
              </w:rPr>
              <w:t xml:space="preserve">1. </w:t>
            </w:r>
            <w:r>
              <w:rPr>
                <w:rFonts w:ascii="Calibri" w:hAnsi="Calibri"/>
                <w:sz w:val="20"/>
                <w:szCs w:val="20"/>
              </w:rPr>
              <w:t>l</w:t>
            </w:r>
            <w:r w:rsidRPr="00EC3D37">
              <w:rPr>
                <w:rFonts w:ascii="Calibri" w:hAnsi="Calibri"/>
                <w:sz w:val="20"/>
                <w:szCs w:val="20"/>
              </w:rPr>
              <w:t xml:space="preserve">ess than five (5) years in total of formal education (from </w:t>
            </w:r>
          </w:p>
          <w:p w14:paraId="1E5B46F4" w14:textId="77777777" w:rsidR="007D0385" w:rsidRPr="00EC3D37" w:rsidRDefault="007D0385" w:rsidP="007D0385">
            <w:pPr>
              <w:spacing w:after="120"/>
              <w:contextualSpacing/>
              <w:rPr>
                <w:rFonts w:ascii="Calibri" w:hAnsi="Calibri"/>
                <w:sz w:val="20"/>
                <w:szCs w:val="20"/>
              </w:rPr>
            </w:pPr>
            <w:proofErr w:type="gramStart"/>
            <w:r w:rsidRPr="00EC3D37">
              <w:rPr>
                <w:rFonts w:ascii="Calibri" w:hAnsi="Calibri"/>
                <w:sz w:val="20"/>
                <w:szCs w:val="20"/>
              </w:rPr>
              <w:t>pre-primary</w:t>
            </w:r>
            <w:proofErr w:type="gramEnd"/>
            <w:r w:rsidRPr="00EC3D37">
              <w:rPr>
                <w:rFonts w:ascii="Calibri" w:hAnsi="Calibri"/>
                <w:sz w:val="20"/>
                <w:szCs w:val="20"/>
              </w:rPr>
              <w:t>) in schools where the language is the language of instruction, including education in community and ethnic schools.</w:t>
            </w:r>
          </w:p>
          <w:p w14:paraId="2EBDB8C9" w14:textId="77777777" w:rsidR="007D0385" w:rsidRPr="00EC3D37" w:rsidRDefault="007D0385" w:rsidP="007D0385">
            <w:pPr>
              <w:spacing w:before="60"/>
              <w:contextualSpacing/>
              <w:rPr>
                <w:rFonts w:ascii="Calibri" w:hAnsi="Calibri"/>
                <w:sz w:val="20"/>
                <w:szCs w:val="20"/>
              </w:rPr>
            </w:pPr>
            <w:r w:rsidRPr="00EC3D37">
              <w:rPr>
                <w:rFonts w:ascii="Calibri" w:hAnsi="Calibri"/>
                <w:sz w:val="20"/>
                <w:szCs w:val="20"/>
              </w:rPr>
              <w:t xml:space="preserve">2. </w:t>
            </w:r>
            <w:r>
              <w:rPr>
                <w:rFonts w:ascii="Calibri" w:hAnsi="Calibri"/>
                <w:sz w:val="20"/>
                <w:szCs w:val="20"/>
              </w:rPr>
              <w:t>l</w:t>
            </w:r>
            <w:r w:rsidRPr="00EC3D37">
              <w:rPr>
                <w:rFonts w:ascii="Calibri" w:hAnsi="Calibri"/>
                <w:sz w:val="20"/>
                <w:szCs w:val="20"/>
              </w:rPr>
              <w:t>ess than five (5) years in total of residency and time spent in a country where the language is a medium of communication</w:t>
            </w:r>
          </w:p>
          <w:p w14:paraId="3F66CF10" w14:textId="77777777" w:rsidR="007D0385" w:rsidRPr="00EC3D37" w:rsidRDefault="007D0385" w:rsidP="007D0385">
            <w:pPr>
              <w:spacing w:before="60" w:after="60"/>
              <w:contextualSpacing/>
              <w:rPr>
                <w:rFonts w:ascii="Calibri" w:hAnsi="Calibri"/>
                <w:sz w:val="20"/>
                <w:szCs w:val="20"/>
              </w:rPr>
            </w:pPr>
            <w:r w:rsidRPr="00EC3D37">
              <w:rPr>
                <w:rFonts w:ascii="Calibri" w:hAnsi="Calibri"/>
                <w:sz w:val="20"/>
                <w:szCs w:val="20"/>
              </w:rPr>
              <w:t xml:space="preserve">3. </w:t>
            </w:r>
            <w:proofErr w:type="gramStart"/>
            <w:r>
              <w:rPr>
                <w:rFonts w:ascii="Calibri" w:hAnsi="Calibri"/>
                <w:sz w:val="20"/>
                <w:szCs w:val="20"/>
              </w:rPr>
              <w:t>u</w:t>
            </w:r>
            <w:r w:rsidRPr="00EC3D37">
              <w:rPr>
                <w:rFonts w:ascii="Calibri" w:hAnsi="Calibri"/>
                <w:sz w:val="20"/>
                <w:szCs w:val="20"/>
              </w:rPr>
              <w:t>se</w:t>
            </w:r>
            <w:proofErr w:type="gramEnd"/>
            <w:r w:rsidRPr="00EC3D37">
              <w:rPr>
                <w:rFonts w:ascii="Calibri" w:hAnsi="Calibri"/>
                <w:sz w:val="20"/>
                <w:szCs w:val="20"/>
              </w:rPr>
              <w:t xml:space="preserve"> of the language for sustained communication outside the classroom with a person or persons who have a background in the language is permitted.</w:t>
            </w:r>
          </w:p>
        </w:tc>
      </w:tr>
      <w:tr w:rsidR="007D0385" w:rsidRPr="004A3C15" w14:paraId="7B1E6AE4" w14:textId="77777777" w:rsidTr="007D0385">
        <w:trPr>
          <w:cantSplit/>
        </w:trPr>
        <w:tc>
          <w:tcPr>
            <w:tcW w:w="2235" w:type="dxa"/>
          </w:tcPr>
          <w:p w14:paraId="4F4B083B" w14:textId="77777777" w:rsidR="007D0385" w:rsidRPr="004A3C15" w:rsidRDefault="007D0385" w:rsidP="007D0385">
            <w:pPr>
              <w:widowControl w:val="0"/>
              <w:autoSpaceDE w:val="0"/>
              <w:autoSpaceDN w:val="0"/>
              <w:adjustRightInd w:val="0"/>
              <w:spacing w:before="60" w:after="60"/>
              <w:rPr>
                <w:iCs/>
                <w:sz w:val="20"/>
                <w:szCs w:val="20"/>
              </w:rPr>
            </w:pPr>
            <w:r w:rsidRPr="004A3C15">
              <w:rPr>
                <w:b/>
                <w:iCs/>
                <w:sz w:val="20"/>
                <w:szCs w:val="20"/>
              </w:rPr>
              <w:t>Western Australia</w:t>
            </w:r>
          </w:p>
          <w:p w14:paraId="0C87AB09" w14:textId="77777777" w:rsidR="007D0385" w:rsidRPr="004A3C15" w:rsidRDefault="007D0385" w:rsidP="007D0385">
            <w:pPr>
              <w:widowControl w:val="0"/>
              <w:autoSpaceDE w:val="0"/>
              <w:autoSpaceDN w:val="0"/>
              <w:adjustRightInd w:val="0"/>
              <w:spacing w:before="60" w:after="60"/>
              <w:rPr>
                <w:b/>
                <w:iCs/>
                <w:sz w:val="20"/>
                <w:szCs w:val="20"/>
              </w:rPr>
            </w:pPr>
            <w:r w:rsidRPr="004A3C15">
              <w:rPr>
                <w:sz w:val="20"/>
                <w:szCs w:val="20"/>
              </w:rPr>
              <w:t>School Curriculum and Standards Authority</w:t>
            </w:r>
          </w:p>
        </w:tc>
        <w:tc>
          <w:tcPr>
            <w:tcW w:w="1703" w:type="dxa"/>
          </w:tcPr>
          <w:p w14:paraId="4BB92573" w14:textId="77777777" w:rsidR="007D0385" w:rsidRPr="00EC3D37" w:rsidRDefault="007D0385" w:rsidP="007D0385">
            <w:pPr>
              <w:spacing w:before="60" w:after="60"/>
              <w:rPr>
                <w:rFonts w:ascii="Calibri" w:hAnsi="Calibri"/>
                <w:b/>
                <w:sz w:val="20"/>
                <w:szCs w:val="20"/>
              </w:rPr>
            </w:pPr>
            <w:r w:rsidRPr="00EC3D37">
              <w:rPr>
                <w:rFonts w:ascii="Calibri" w:hAnsi="Calibri"/>
                <w:b/>
                <w:sz w:val="20"/>
                <w:szCs w:val="20"/>
              </w:rPr>
              <w:t>Year 11 (from 2015)</w:t>
            </w:r>
          </w:p>
          <w:p w14:paraId="18DE9AED" w14:textId="77777777" w:rsidR="007D0385" w:rsidRPr="00EC3D37" w:rsidRDefault="007D0385" w:rsidP="007D0385">
            <w:pPr>
              <w:spacing w:before="60" w:after="60"/>
              <w:rPr>
                <w:rFonts w:ascii="Calibri" w:hAnsi="Calibri"/>
                <w:b/>
                <w:sz w:val="20"/>
                <w:szCs w:val="20"/>
              </w:rPr>
            </w:pPr>
            <w:r w:rsidRPr="00EC3D37">
              <w:rPr>
                <w:rFonts w:ascii="Calibri" w:hAnsi="Calibri"/>
                <w:sz w:val="20"/>
                <w:szCs w:val="20"/>
              </w:rPr>
              <w:t xml:space="preserve">First Language </w:t>
            </w:r>
            <w:proofErr w:type="spellStart"/>
            <w:r w:rsidRPr="00EC3D37">
              <w:rPr>
                <w:rFonts w:ascii="Calibri" w:hAnsi="Calibri"/>
                <w:sz w:val="20"/>
                <w:szCs w:val="20"/>
              </w:rPr>
              <w:t>ATAR</w:t>
            </w:r>
            <w:proofErr w:type="spellEnd"/>
          </w:p>
        </w:tc>
        <w:tc>
          <w:tcPr>
            <w:tcW w:w="1417" w:type="dxa"/>
            <w:gridSpan w:val="2"/>
          </w:tcPr>
          <w:p w14:paraId="2EEA2A06" w14:textId="77777777" w:rsidR="007D0385" w:rsidRPr="00EC3D37" w:rsidRDefault="007D0385" w:rsidP="007D0385">
            <w:pPr>
              <w:rPr>
                <w:rFonts w:ascii="Calibri" w:hAnsi="Calibri"/>
                <w:sz w:val="20"/>
                <w:szCs w:val="20"/>
              </w:rPr>
            </w:pPr>
            <w:r w:rsidRPr="00EC3D37">
              <w:rPr>
                <w:rFonts w:ascii="Calibri" w:hAnsi="Calibri"/>
                <w:sz w:val="20"/>
                <w:szCs w:val="20"/>
              </w:rPr>
              <w:t xml:space="preserve">Chinese, Indonesian, </w:t>
            </w:r>
          </w:p>
          <w:p w14:paraId="685AFD4C" w14:textId="77777777" w:rsidR="007D0385" w:rsidRPr="00EC3D37" w:rsidRDefault="007D0385" w:rsidP="007D0385">
            <w:pPr>
              <w:rPr>
                <w:rFonts w:ascii="Calibri" w:hAnsi="Calibri"/>
                <w:sz w:val="20"/>
                <w:szCs w:val="20"/>
              </w:rPr>
            </w:pPr>
            <w:r w:rsidRPr="00EC3D37">
              <w:rPr>
                <w:rFonts w:ascii="Calibri" w:hAnsi="Calibri"/>
                <w:sz w:val="20"/>
                <w:szCs w:val="20"/>
              </w:rPr>
              <w:t>Japanese</w:t>
            </w:r>
          </w:p>
        </w:tc>
        <w:tc>
          <w:tcPr>
            <w:tcW w:w="3970" w:type="dxa"/>
          </w:tcPr>
          <w:p w14:paraId="05B433A4" w14:textId="77777777" w:rsidR="007D0385" w:rsidRPr="00EC3D37" w:rsidRDefault="007D0385" w:rsidP="007D0385">
            <w:pPr>
              <w:spacing w:before="60" w:after="60"/>
              <w:rPr>
                <w:rFonts w:ascii="Calibri" w:hAnsi="Calibri"/>
                <w:color w:val="000000"/>
                <w:sz w:val="20"/>
                <w:szCs w:val="20"/>
              </w:rPr>
            </w:pPr>
            <w:r w:rsidRPr="00EC3D37">
              <w:rPr>
                <w:rFonts w:ascii="Calibri" w:hAnsi="Calibri"/>
                <w:color w:val="000000"/>
                <w:sz w:val="20"/>
                <w:szCs w:val="20"/>
              </w:rPr>
              <w:t>First or bilingual language learners</w:t>
            </w:r>
          </w:p>
        </w:tc>
        <w:tc>
          <w:tcPr>
            <w:tcW w:w="5242" w:type="dxa"/>
          </w:tcPr>
          <w:p w14:paraId="6D2DC4AF" w14:textId="77777777" w:rsidR="007D0385" w:rsidRPr="003858E8" w:rsidRDefault="007D0385" w:rsidP="007D0385">
            <w:pPr>
              <w:contextualSpacing/>
              <w:rPr>
                <w:rFonts w:ascii="Calibri" w:hAnsi="Calibri"/>
                <w:sz w:val="20"/>
                <w:szCs w:val="20"/>
              </w:rPr>
            </w:pPr>
            <w:r w:rsidRPr="003858E8">
              <w:rPr>
                <w:rFonts w:ascii="Calibri" w:hAnsi="Calibri"/>
                <w:sz w:val="20"/>
                <w:szCs w:val="20"/>
              </w:rPr>
              <w:t>For first language defined as</w:t>
            </w:r>
            <w:r>
              <w:rPr>
                <w:rFonts w:ascii="Calibri" w:hAnsi="Calibri"/>
                <w:sz w:val="20"/>
                <w:szCs w:val="20"/>
              </w:rPr>
              <w:t>:</w:t>
            </w:r>
            <w:r w:rsidRPr="003858E8">
              <w:rPr>
                <w:rFonts w:ascii="Calibri" w:hAnsi="Calibri"/>
                <w:sz w:val="20"/>
                <w:szCs w:val="20"/>
              </w:rPr>
              <w:t xml:space="preserve"> </w:t>
            </w:r>
          </w:p>
          <w:p w14:paraId="0FDF70ED" w14:textId="77777777" w:rsidR="007D0385" w:rsidRPr="00EC3D37" w:rsidRDefault="007D0385" w:rsidP="007D0385">
            <w:pPr>
              <w:spacing w:before="60"/>
              <w:contextualSpacing/>
              <w:rPr>
                <w:rFonts w:ascii="Calibri" w:hAnsi="Calibri"/>
                <w:sz w:val="20"/>
                <w:szCs w:val="20"/>
              </w:rPr>
            </w:pPr>
            <w:r w:rsidRPr="00EC3D37">
              <w:rPr>
                <w:rFonts w:ascii="Calibri" w:hAnsi="Calibri"/>
                <w:sz w:val="20"/>
                <w:szCs w:val="20"/>
              </w:rPr>
              <w:t xml:space="preserve">1. </w:t>
            </w:r>
            <w:r>
              <w:rPr>
                <w:rFonts w:ascii="Calibri" w:hAnsi="Calibri"/>
                <w:sz w:val="20"/>
                <w:szCs w:val="20"/>
              </w:rPr>
              <w:t>m</w:t>
            </w:r>
            <w:r w:rsidRPr="00EC3D37">
              <w:rPr>
                <w:rFonts w:ascii="Calibri" w:hAnsi="Calibri"/>
                <w:sz w:val="20"/>
                <w:szCs w:val="20"/>
              </w:rPr>
              <w:t>ay be more than five (5) years in total of formal education (from pre-primary) in schools where the language is the language of instruction, including education in community and ethnic schools</w:t>
            </w:r>
          </w:p>
          <w:p w14:paraId="09FBF79D" w14:textId="77777777" w:rsidR="007D0385" w:rsidRPr="00EC3D37" w:rsidRDefault="007D0385" w:rsidP="007D0385">
            <w:pPr>
              <w:spacing w:before="60"/>
              <w:contextualSpacing/>
              <w:rPr>
                <w:rFonts w:ascii="Calibri" w:hAnsi="Calibri"/>
                <w:sz w:val="20"/>
                <w:szCs w:val="20"/>
              </w:rPr>
            </w:pPr>
            <w:r w:rsidRPr="00EC3D37">
              <w:rPr>
                <w:rFonts w:ascii="Calibri" w:hAnsi="Calibri"/>
                <w:sz w:val="20"/>
                <w:szCs w:val="20"/>
              </w:rPr>
              <w:t xml:space="preserve">2. </w:t>
            </w:r>
            <w:r>
              <w:rPr>
                <w:rFonts w:ascii="Calibri" w:hAnsi="Calibri"/>
                <w:sz w:val="20"/>
                <w:szCs w:val="20"/>
              </w:rPr>
              <w:t>m</w:t>
            </w:r>
            <w:r w:rsidRPr="00EC3D37">
              <w:rPr>
                <w:rFonts w:ascii="Calibri" w:hAnsi="Calibri"/>
                <w:sz w:val="20"/>
                <w:szCs w:val="20"/>
              </w:rPr>
              <w:t>ay be more than five (5) years in total of residency and time spent in a country where the language is a medium of communication</w:t>
            </w:r>
          </w:p>
          <w:p w14:paraId="2256E867" w14:textId="77777777" w:rsidR="007D0385" w:rsidRPr="003858E8" w:rsidRDefault="007D0385" w:rsidP="007D0385">
            <w:pPr>
              <w:contextualSpacing/>
              <w:rPr>
                <w:rFonts w:ascii="Calibri" w:hAnsi="Calibri"/>
                <w:sz w:val="20"/>
                <w:szCs w:val="20"/>
              </w:rPr>
            </w:pPr>
            <w:r w:rsidRPr="00EC3D37">
              <w:rPr>
                <w:rFonts w:ascii="Calibri" w:hAnsi="Calibri"/>
                <w:sz w:val="20"/>
                <w:szCs w:val="20"/>
              </w:rPr>
              <w:t xml:space="preserve">3. </w:t>
            </w:r>
            <w:proofErr w:type="gramStart"/>
            <w:r>
              <w:rPr>
                <w:rFonts w:ascii="Calibri" w:hAnsi="Calibri"/>
                <w:sz w:val="20"/>
                <w:szCs w:val="20"/>
              </w:rPr>
              <w:t>u</w:t>
            </w:r>
            <w:r w:rsidRPr="00EC3D37">
              <w:rPr>
                <w:rFonts w:ascii="Calibri" w:hAnsi="Calibri"/>
                <w:sz w:val="20"/>
                <w:szCs w:val="20"/>
              </w:rPr>
              <w:t>se</w:t>
            </w:r>
            <w:proofErr w:type="gramEnd"/>
            <w:r w:rsidRPr="00EC3D37">
              <w:rPr>
                <w:rFonts w:ascii="Calibri" w:hAnsi="Calibri"/>
                <w:sz w:val="20"/>
                <w:szCs w:val="20"/>
              </w:rPr>
              <w:t xml:space="preserve"> of the language for sustained communication outside the classroom with a person or persons who have a background in the language is permitted</w:t>
            </w:r>
            <w:r>
              <w:rPr>
                <w:rFonts w:ascii="Calibri" w:hAnsi="Calibri"/>
                <w:sz w:val="20"/>
                <w:szCs w:val="20"/>
              </w:rPr>
              <w:t>.</w:t>
            </w:r>
          </w:p>
        </w:tc>
      </w:tr>
    </w:tbl>
    <w:p w14:paraId="58F7A4DD" w14:textId="77777777" w:rsidR="007D0385" w:rsidRPr="00FC1A84" w:rsidRDefault="007D0385" w:rsidP="007D0385"/>
    <w:p w14:paraId="68972C3B" w14:textId="77777777" w:rsidR="00465273" w:rsidRPr="003F46ED" w:rsidRDefault="00465273" w:rsidP="00B30583">
      <w:pPr>
        <w:sectPr w:rsidR="00465273" w:rsidRPr="003F46ED" w:rsidSect="00665CB6">
          <w:pgSz w:w="16840" w:h="11900" w:orient="landscape"/>
          <w:pgMar w:top="1134" w:right="1389" w:bottom="1134" w:left="1440" w:header="709" w:footer="709" w:gutter="0"/>
          <w:cols w:space="720"/>
          <w:docGrid w:linePitch="299"/>
        </w:sectPr>
      </w:pPr>
    </w:p>
    <w:p w14:paraId="0289C994" w14:textId="2D4D807B" w:rsidR="007B1D45" w:rsidRPr="003F46ED" w:rsidRDefault="001D17DC" w:rsidP="00B30583">
      <w:bookmarkStart w:id="392" w:name="_Toc402180607"/>
      <w:r w:rsidRPr="003F46ED">
        <w:lastRenderedPageBreak/>
        <w:t>Eligibility criteria typically apply to courses that offer more than one level. While different jurisdictions offer different courses, these courses fall into four general categories: Beginners, Continu</w:t>
      </w:r>
      <w:r w:rsidR="005F437A" w:rsidRPr="003F46ED">
        <w:t>ers (Second Language), Heritage,</w:t>
      </w:r>
      <w:r w:rsidRPr="003F46ED">
        <w:t xml:space="preserve"> and Background (First Language). Though these categories appear uniform, the criteria for eligibility in these course levels do vary considerably at times. </w:t>
      </w:r>
      <w:r w:rsidR="00D15CAC" w:rsidRPr="003F46ED">
        <w:t>T</w:t>
      </w:r>
      <w:r w:rsidRPr="003F46ED">
        <w:t xml:space="preserve">here are </w:t>
      </w:r>
      <w:r w:rsidR="00D15CAC" w:rsidRPr="003F46ED">
        <w:t xml:space="preserve">also </w:t>
      </w:r>
      <w:r w:rsidRPr="003F46ED">
        <w:t>nomenclature and criteria differences. However, the criteria across the board are primarily based on the following: country of birth, years of residence, formal education in the language, years of study of the language in Australia, and, to varying degrees, exposure to and use of the language outside of schooling in exchanges, the home and the community.</w:t>
      </w:r>
      <w:bookmarkEnd w:id="392"/>
    </w:p>
    <w:p w14:paraId="50ADA1DD" w14:textId="77777777" w:rsidR="007B1D45" w:rsidRPr="003F46ED" w:rsidRDefault="001D17DC" w:rsidP="00B30583">
      <w:bookmarkStart w:id="393" w:name="_Toc402180608"/>
      <w:r w:rsidRPr="003F46ED">
        <w:t xml:space="preserve">A further feature across states and territories is the range of languages to which eligibility requirements apply. Chinese is clearly the main language, followed by other Asian languages, Japanese, Korean and Vietnamese, with Indonesian being included but far less significant in terms of numbers of background or first language students (Kohler &amp; </w:t>
      </w:r>
      <w:proofErr w:type="spellStart"/>
      <w:r w:rsidRPr="003F46ED">
        <w:t>Mahnken</w:t>
      </w:r>
      <w:proofErr w:type="spellEnd"/>
      <w:r w:rsidRPr="003F46ED">
        <w:t xml:space="preserve">, 2010). </w:t>
      </w:r>
      <w:r w:rsidR="00E43A37" w:rsidRPr="003F46ED">
        <w:t>European languages feature only to a minor extent</w:t>
      </w:r>
      <w:bookmarkEnd w:id="393"/>
      <w:r w:rsidR="00101322" w:rsidRPr="003F46ED">
        <w:t>.</w:t>
      </w:r>
    </w:p>
    <w:p w14:paraId="762F4E00" w14:textId="77777777" w:rsidR="007B1D45" w:rsidRPr="003F46ED" w:rsidRDefault="00BA0BD5" w:rsidP="00B30583">
      <w:bookmarkStart w:id="394" w:name="_Toc402180609"/>
      <w:r w:rsidRPr="003F46ED">
        <w:t>Successful implementation of eligibility criteria for differentiated language learning in schools is subject to operational matters, such as timetabling, staffing, class sizes and ability to offer a quality programme. Often students are grouped within the same class, regardless of linguistic background and learning needs. Hence, application of eligibility criteria remains a significant challenge for senior secondary languages education in Australia.</w:t>
      </w:r>
      <w:bookmarkEnd w:id="394"/>
      <w:r w:rsidR="001D17DC" w:rsidRPr="003F46ED">
        <w:t xml:space="preserve"> </w:t>
      </w:r>
    </w:p>
    <w:p w14:paraId="4362FED9" w14:textId="77777777" w:rsidR="007B1D45" w:rsidRPr="003F46ED" w:rsidRDefault="00516645" w:rsidP="00B30583">
      <w:bookmarkStart w:id="395" w:name="_Toc402180610"/>
      <w:r w:rsidRPr="003F46ED">
        <w:t>T</w:t>
      </w:r>
      <w:r w:rsidR="001D17DC" w:rsidRPr="003F46ED">
        <w:t>h</w:t>
      </w:r>
      <w:r w:rsidR="00B432E9" w:rsidRPr="003F46ED">
        <w:t>e</w:t>
      </w:r>
      <w:r w:rsidR="001D17DC" w:rsidRPr="003F46ED">
        <w:t xml:space="preserve"> </w:t>
      </w:r>
      <w:r w:rsidR="00455D1A" w:rsidRPr="003F46ED">
        <w:t>challenge</w:t>
      </w:r>
      <w:r w:rsidR="00B432E9" w:rsidRPr="003F46ED">
        <w:t xml:space="preserve"> of eligibility criteria</w:t>
      </w:r>
      <w:r w:rsidR="001D17DC" w:rsidRPr="003F46ED">
        <w:t xml:space="preserve"> </w:t>
      </w:r>
      <w:r w:rsidR="00C1165D" w:rsidRPr="003F46ED">
        <w:t>has tended to apply</w:t>
      </w:r>
      <w:r w:rsidR="001D17DC" w:rsidRPr="003F46ED">
        <w:t xml:space="preserve"> more to Asian languages (especially Chin</w:t>
      </w:r>
      <w:r w:rsidR="00C1165D" w:rsidRPr="003F46ED">
        <w:t>ese) than to European languages</w:t>
      </w:r>
      <w:r w:rsidR="00440198" w:rsidRPr="003F46ED">
        <w:t xml:space="preserve">. This is </w:t>
      </w:r>
      <w:r w:rsidR="001E2378" w:rsidRPr="003F46ED">
        <w:t xml:space="preserve">largely </w:t>
      </w:r>
      <w:r w:rsidR="00440198" w:rsidRPr="003F46ED">
        <w:t xml:space="preserve">related </w:t>
      </w:r>
      <w:r w:rsidR="001E2378" w:rsidRPr="003F46ED">
        <w:t>to increased migration and/or growing international student cohorts from countries in the Asia region</w:t>
      </w:r>
      <w:r w:rsidR="002B5591" w:rsidRPr="003F46ED">
        <w:t xml:space="preserve"> (China or Chinese-speaking countries in particular)</w:t>
      </w:r>
      <w:r w:rsidR="00C1165D" w:rsidRPr="003F46ED">
        <w:t xml:space="preserve">. There are, however, some exceptions. For example, </w:t>
      </w:r>
      <w:r w:rsidR="00DC6871" w:rsidRPr="003F46ED">
        <w:t xml:space="preserve">the </w:t>
      </w:r>
      <w:r w:rsidR="00DC6871" w:rsidRPr="003F46ED">
        <w:rPr>
          <w:iCs/>
        </w:rPr>
        <w:t>Board of Studies, Teaching and Educational Standards</w:t>
      </w:r>
      <w:r w:rsidR="00DC6871" w:rsidRPr="003F46ED">
        <w:t xml:space="preserve"> (</w:t>
      </w:r>
      <w:proofErr w:type="spellStart"/>
      <w:r w:rsidR="00C1165D" w:rsidRPr="003F46ED">
        <w:t>BOSTES</w:t>
      </w:r>
      <w:proofErr w:type="spellEnd"/>
      <w:r w:rsidR="00DC6871" w:rsidRPr="003F46ED">
        <w:t>)</w:t>
      </w:r>
      <w:r w:rsidR="00C04164" w:rsidRPr="003F46ED">
        <w:t xml:space="preserve"> in NSW</w:t>
      </w:r>
      <w:r w:rsidR="00C1165D" w:rsidRPr="003F46ED">
        <w:t xml:space="preserve"> reported during consultations that eligibility is curre</w:t>
      </w:r>
      <w:r w:rsidR="00455D1A" w:rsidRPr="003F46ED">
        <w:t>ntly not a problem</w:t>
      </w:r>
      <w:r w:rsidR="00687FCF" w:rsidRPr="003F46ED">
        <w:t xml:space="preserve"> </w:t>
      </w:r>
      <w:r w:rsidR="00012394" w:rsidRPr="003F46ED">
        <w:t>for the jurisdiction</w:t>
      </w:r>
      <w:r w:rsidR="00C1165D" w:rsidRPr="003F46ED">
        <w:t xml:space="preserve"> while </w:t>
      </w:r>
      <w:r w:rsidR="000464C9" w:rsidRPr="003F46ED">
        <w:t>WA</w:t>
      </w:r>
      <w:r w:rsidR="00C1165D" w:rsidRPr="003F46ED">
        <w:t xml:space="preserve">’s </w:t>
      </w:r>
      <w:r w:rsidR="003A0063" w:rsidRPr="003F46ED">
        <w:t>School Curriculum and Standards Authority (</w:t>
      </w:r>
      <w:proofErr w:type="spellStart"/>
      <w:r w:rsidR="00C1165D" w:rsidRPr="003F46ED">
        <w:t>SCSA</w:t>
      </w:r>
      <w:proofErr w:type="spellEnd"/>
      <w:r w:rsidR="003A0063" w:rsidRPr="003F46ED">
        <w:t>)</w:t>
      </w:r>
      <w:r w:rsidR="00C1165D" w:rsidRPr="003F46ED">
        <w:t xml:space="preserve"> reported that </w:t>
      </w:r>
      <w:r w:rsidR="00687FCF" w:rsidRPr="003F46ED">
        <w:t xml:space="preserve">legislative issues surrounding eligibility (i.e. anti-discrimination laws) </w:t>
      </w:r>
      <w:r w:rsidR="002F2548" w:rsidRPr="003F46ED">
        <w:t>may potentially impact</w:t>
      </w:r>
      <w:r w:rsidR="00A451F7" w:rsidRPr="003F46ED">
        <w:t xml:space="preserve"> on </w:t>
      </w:r>
      <w:r w:rsidR="00C1165D" w:rsidRPr="003F46ED">
        <w:t>European languages</w:t>
      </w:r>
      <w:r w:rsidR="002B5B0C" w:rsidRPr="003F46ED">
        <w:t xml:space="preserve"> as well</w:t>
      </w:r>
      <w:r w:rsidR="00C1165D" w:rsidRPr="003F46ED">
        <w:t>.</w:t>
      </w:r>
      <w:bookmarkEnd w:id="395"/>
    </w:p>
    <w:p w14:paraId="38423BBC" w14:textId="77777777" w:rsidR="007B1D45" w:rsidRPr="003F46ED" w:rsidRDefault="009903BC" w:rsidP="00B30583">
      <w:bookmarkStart w:id="396" w:name="_Toc402180611"/>
      <w:r w:rsidRPr="003F46ED">
        <w:t>The ‘Key findings and recommendations’ section discusses the impact</w:t>
      </w:r>
      <w:r w:rsidR="00751BA8" w:rsidRPr="003F46ED">
        <w:t>, or lack thereof,</w:t>
      </w:r>
      <w:r w:rsidRPr="003F46ED">
        <w:t xml:space="preserve"> of eligibility criteria on student retention in languages to senior secondary level.</w:t>
      </w:r>
      <w:bookmarkEnd w:id="396"/>
      <w:r w:rsidR="00DC727E" w:rsidRPr="003F46ED">
        <w:t xml:space="preserve"> The</w:t>
      </w:r>
      <w:r w:rsidR="00721D7F" w:rsidRPr="003F46ED">
        <w:t xml:space="preserve"> main issue of concern</w:t>
      </w:r>
      <w:r w:rsidR="00507C7B" w:rsidRPr="003F46ED">
        <w:t xml:space="preserve"> </w:t>
      </w:r>
      <w:r w:rsidR="00721D7F" w:rsidRPr="003F46ED">
        <w:t xml:space="preserve">is </w:t>
      </w:r>
      <w:r w:rsidR="00DC727E" w:rsidRPr="003F46ED">
        <w:t>students be</w:t>
      </w:r>
      <w:r w:rsidR="00721D7F" w:rsidRPr="003F46ED">
        <w:t>ing</w:t>
      </w:r>
      <w:r w:rsidR="00DC727E" w:rsidRPr="003F46ED">
        <w:t xml:space="preserve"> reluctant to study a language as a second language learner if they see themselves </w:t>
      </w:r>
      <w:r w:rsidR="00A10641" w:rsidRPr="003F46ED">
        <w:t xml:space="preserve">to be </w:t>
      </w:r>
      <w:r w:rsidR="00DC727E" w:rsidRPr="003F46ED">
        <w:t>in competition with native speakers</w:t>
      </w:r>
      <w:r w:rsidR="00721D7F" w:rsidRPr="003F46ED">
        <w:t>.</w:t>
      </w:r>
    </w:p>
    <w:p w14:paraId="22A99CB7" w14:textId="77777777" w:rsidR="007B1D45" w:rsidRPr="003F46ED" w:rsidRDefault="001B706E" w:rsidP="00527947">
      <w:pPr>
        <w:pStyle w:val="Heading3"/>
      </w:pPr>
      <w:bookmarkStart w:id="397" w:name="_Toc402180612"/>
      <w:r w:rsidRPr="003F46ED">
        <w:t>Acknowledging different groups of language learners</w:t>
      </w:r>
      <w:bookmarkEnd w:id="397"/>
    </w:p>
    <w:p w14:paraId="4090E95B" w14:textId="77777777" w:rsidR="007B1D45" w:rsidRPr="003F46ED" w:rsidRDefault="00BA563A" w:rsidP="00B30583">
      <w:bookmarkStart w:id="398" w:name="_Toc402180613"/>
      <w:r w:rsidRPr="003F46ED">
        <w:t>Attempts have been made over time to acknowledge the learning needs and trajectories of different groups of learners</w:t>
      </w:r>
      <w:r w:rsidR="0072243C" w:rsidRPr="003F46ED">
        <w:t xml:space="preserve">. </w:t>
      </w:r>
      <w:r w:rsidR="00D15CAC" w:rsidRPr="003F46ED">
        <w:t>Under the National Assessment Framework for Languages at Senior Secondary Level (</w:t>
      </w:r>
      <w:proofErr w:type="spellStart"/>
      <w:r w:rsidR="00D15CAC" w:rsidRPr="003F46ED">
        <w:t>NAFLaSSL</w:t>
      </w:r>
      <w:proofErr w:type="spellEnd"/>
      <w:r w:rsidR="00D15CAC" w:rsidRPr="003F46ED">
        <w:t>), syllabi for different levels were developed and implemented in NSW, Vic, and SA, to cater for languages with a small number of candidates. The stated aims of the differentiated syllabi were to provide educationally appropriate and engaging courses that develop students’ knowledge of the target language and culture</w:t>
      </w:r>
      <w:r w:rsidR="00A43D4E" w:rsidRPr="003F46ED">
        <w:t xml:space="preserve"> (Kohler &amp; Curnow, 2014)</w:t>
      </w:r>
      <w:r w:rsidR="00D15CAC" w:rsidRPr="003F46ED">
        <w:t>.</w:t>
      </w:r>
      <w:bookmarkEnd w:id="398"/>
      <w:r w:rsidR="00D15CAC" w:rsidRPr="003F46ED">
        <w:t xml:space="preserve"> </w:t>
      </w:r>
    </w:p>
    <w:p w14:paraId="69388CBF" w14:textId="77777777" w:rsidR="007B1D45" w:rsidRPr="003F46ED" w:rsidRDefault="00D15CAC" w:rsidP="00B30583">
      <w:bookmarkStart w:id="399" w:name="_Toc402180614"/>
      <w:r w:rsidRPr="003F46ED">
        <w:t xml:space="preserve">Following the </w:t>
      </w:r>
      <w:proofErr w:type="spellStart"/>
      <w:r w:rsidRPr="003F46ED">
        <w:t>NAFLaSSL</w:t>
      </w:r>
      <w:proofErr w:type="spellEnd"/>
      <w:r w:rsidRPr="003F46ED">
        <w:t>, the Collaborative Curriculum and Assessment Framework for Languages (</w:t>
      </w:r>
      <w:proofErr w:type="spellStart"/>
      <w:r w:rsidRPr="003F46ED">
        <w:t>CCAFL</w:t>
      </w:r>
      <w:proofErr w:type="spellEnd"/>
      <w:r w:rsidRPr="003F46ED">
        <w:t>) was dev</w:t>
      </w:r>
      <w:r w:rsidR="00A60819" w:rsidRPr="003F46ED">
        <w:t>eloped for a range of languages</w:t>
      </w:r>
      <w:r w:rsidR="00835741" w:rsidRPr="003F46ED">
        <w:t xml:space="preserve"> (</w:t>
      </w:r>
      <w:r w:rsidR="00D76020" w:rsidRPr="003F46ED">
        <w:t>Kohler &amp; Curnow, 2014)</w:t>
      </w:r>
      <w:r w:rsidR="00A60819" w:rsidRPr="003F46ED">
        <w:t xml:space="preserve">. NSW, Vic and SA are the hosts for </w:t>
      </w:r>
      <w:proofErr w:type="spellStart"/>
      <w:r w:rsidR="00A60819" w:rsidRPr="003F46ED">
        <w:t>CCAFL</w:t>
      </w:r>
      <w:proofErr w:type="spellEnd"/>
      <w:r w:rsidR="00955D76" w:rsidRPr="003F46ED">
        <w:t>,</w:t>
      </w:r>
      <w:r w:rsidR="00A60819" w:rsidRPr="003F46ED">
        <w:t xml:space="preserve"> and the courses are available to all states and territories for their students to access</w:t>
      </w:r>
      <w:r w:rsidRPr="003F46ED">
        <w:t xml:space="preserve">. Three course levels were developed for </w:t>
      </w:r>
      <w:proofErr w:type="spellStart"/>
      <w:r w:rsidRPr="003F46ED">
        <w:t>CCAFL</w:t>
      </w:r>
      <w:proofErr w:type="spellEnd"/>
      <w:r w:rsidRPr="003F46ED">
        <w:t xml:space="preserve">: Beginners, Continuers (known in Victoria as Second Language), and Background Speakers (known in Victoria as First Language). </w:t>
      </w:r>
      <w:r w:rsidR="001009AC" w:rsidRPr="003F46ED">
        <w:t xml:space="preserve">Importantly, courses developed through </w:t>
      </w:r>
      <w:proofErr w:type="spellStart"/>
      <w:r w:rsidR="001009AC" w:rsidRPr="003F46ED">
        <w:t>CCAFL</w:t>
      </w:r>
      <w:proofErr w:type="spellEnd"/>
      <w:r w:rsidR="001009AC" w:rsidRPr="003F46ED">
        <w:t xml:space="preserve"> </w:t>
      </w:r>
      <w:r w:rsidR="000524DD" w:rsidRPr="003F46ED">
        <w:t xml:space="preserve">do not necessarily </w:t>
      </w:r>
      <w:r w:rsidR="001009AC" w:rsidRPr="003F46ED">
        <w:t xml:space="preserve">lead </w:t>
      </w:r>
      <w:r w:rsidR="000524DD" w:rsidRPr="003F46ED">
        <w:t xml:space="preserve">to </w:t>
      </w:r>
      <w:r w:rsidR="001009AC" w:rsidRPr="003F46ED">
        <w:t>senior secondary certification. For this to occur,</w:t>
      </w:r>
      <w:r w:rsidR="00966719" w:rsidRPr="003F46ED">
        <w:t xml:space="preserve"> </w:t>
      </w:r>
      <w:r w:rsidR="001009AC" w:rsidRPr="003F46ED">
        <w:t>courses need to be accredited to senior secondary level</w:t>
      </w:r>
      <w:r w:rsidR="00FD34FA" w:rsidRPr="003F46ED">
        <w:t xml:space="preserve"> by the relevant state/territory curriculum authority.</w:t>
      </w:r>
      <w:bookmarkEnd w:id="399"/>
    </w:p>
    <w:p w14:paraId="769E4D09" w14:textId="77777777" w:rsidR="007B1D45" w:rsidRPr="003F46ED" w:rsidRDefault="00FB728D" w:rsidP="00B30583">
      <w:bookmarkStart w:id="400" w:name="_Toc402180615"/>
      <w:r w:rsidRPr="003F46ED">
        <w:lastRenderedPageBreak/>
        <w:t>O</w:t>
      </w:r>
      <w:r w:rsidR="0019437B" w:rsidRPr="003F46ED">
        <w:t>ver time, t</w:t>
      </w:r>
      <w:r w:rsidRPr="003F46ED">
        <w:t>he</w:t>
      </w:r>
      <w:r w:rsidR="00D15CAC" w:rsidRPr="003F46ED">
        <w:t xml:space="preserve"> three </w:t>
      </w:r>
      <w:proofErr w:type="spellStart"/>
      <w:r w:rsidRPr="003F46ED">
        <w:t>CCAFL</w:t>
      </w:r>
      <w:proofErr w:type="spellEnd"/>
      <w:r w:rsidRPr="003F46ED">
        <w:t xml:space="preserve"> </w:t>
      </w:r>
      <w:r w:rsidR="00D15CAC" w:rsidRPr="003F46ED">
        <w:t xml:space="preserve">levels </w:t>
      </w:r>
      <w:r w:rsidR="0019437B" w:rsidRPr="003F46ED">
        <w:t>we</w:t>
      </w:r>
      <w:r w:rsidR="00D15CAC" w:rsidRPr="003F46ED">
        <w:t>re no longer viewed as adequate to address the emergent student cohort</w:t>
      </w:r>
      <w:r w:rsidR="001B7FBC" w:rsidRPr="003F46ED">
        <w:t xml:space="preserve"> in some languages,</w:t>
      </w:r>
      <w:r w:rsidR="0019437B" w:rsidRPr="003F46ED">
        <w:t xml:space="preserve"> </w:t>
      </w:r>
      <w:r w:rsidR="001B7FBC" w:rsidRPr="003F46ED">
        <w:t>due to</w:t>
      </w:r>
      <w:r w:rsidR="0019437B" w:rsidRPr="003F46ED">
        <w:t xml:space="preserve"> migration and increasing international student enrolments</w:t>
      </w:r>
      <w:r w:rsidR="00D15CAC" w:rsidRPr="003F46ED">
        <w:t>. Furthermore, the growing numbers of students with s</w:t>
      </w:r>
      <w:r w:rsidR="001D5195" w:rsidRPr="003F46ED">
        <w:t>ome background in a language were</w:t>
      </w:r>
      <w:r w:rsidR="00D15CAC" w:rsidRPr="003F46ED">
        <w:t xml:space="preserve"> not sufficiently catered for in the Continuers courses. </w:t>
      </w:r>
      <w:r w:rsidR="00A52E69" w:rsidRPr="003F46ED">
        <w:t>A</w:t>
      </w:r>
      <w:r w:rsidR="00D15CAC" w:rsidRPr="003F46ED">
        <w:t xml:space="preserve"> further (fourth) level of courses was developed to cater for this group, </w:t>
      </w:r>
      <w:r w:rsidR="008B1D85" w:rsidRPr="003F46ED">
        <w:t>for example</w:t>
      </w:r>
      <w:r w:rsidR="00A52E69" w:rsidRPr="003F46ED">
        <w:t>,</w:t>
      </w:r>
      <w:r w:rsidR="00D15CAC" w:rsidRPr="003F46ED">
        <w:t xml:space="preserve"> ‘Heritage’ developed for the </w:t>
      </w:r>
      <w:proofErr w:type="spellStart"/>
      <w:r w:rsidR="00D15CAC" w:rsidRPr="003F46ED">
        <w:t>CCAFL</w:t>
      </w:r>
      <w:proofErr w:type="spellEnd"/>
      <w:r w:rsidR="00D15CAC" w:rsidRPr="003F46ED">
        <w:t xml:space="preserve"> (in Chinese, Indonesian, Japanese, and Korean) by NSW.</w:t>
      </w:r>
      <w:bookmarkEnd w:id="400"/>
      <w:r w:rsidR="00D15CAC" w:rsidRPr="003F46ED">
        <w:t xml:space="preserve"> </w:t>
      </w:r>
    </w:p>
    <w:p w14:paraId="0216BB82" w14:textId="77777777" w:rsidR="007B1D45" w:rsidRPr="003F46ED" w:rsidRDefault="00D15CAC" w:rsidP="00B30583">
      <w:bookmarkStart w:id="401" w:name="_Toc402180616"/>
      <w:r w:rsidRPr="003F46ED">
        <w:t>In the Australian Curriculum: Languages (F–10), three groupings are used: Second Language Learners, Background Language Learners and First Language Learners. Depending on the specific language, the curriculum has been written with these groups in mind, for example, second language learners (e.g. Indonesian, French), background learners (e.g. Vietnamese), or all three groups (e.g. Chinese). It is unclear at this stage how these groupings will impact on senior secondary language courses and enrolments.</w:t>
      </w:r>
      <w:bookmarkEnd w:id="401"/>
    </w:p>
    <w:p w14:paraId="2C720121" w14:textId="77777777" w:rsidR="007B1D45" w:rsidRPr="003F46ED" w:rsidRDefault="001D17DC" w:rsidP="00527947">
      <w:pPr>
        <w:pStyle w:val="Heading3"/>
      </w:pPr>
      <w:bookmarkStart w:id="402" w:name="_Toc402180617"/>
      <w:r w:rsidRPr="003F46ED">
        <w:t xml:space="preserve">Scaling and moderation across Australia for the </w:t>
      </w:r>
      <w:proofErr w:type="spellStart"/>
      <w:r w:rsidRPr="003F46ED">
        <w:t>ATAR</w:t>
      </w:r>
      <w:bookmarkEnd w:id="402"/>
      <w:proofErr w:type="spellEnd"/>
    </w:p>
    <w:p w14:paraId="60C943EE" w14:textId="77777777" w:rsidR="007B1D45" w:rsidRPr="003F46ED" w:rsidRDefault="001D17DC" w:rsidP="00B30583">
      <w:bookmarkStart w:id="403" w:name="_Toc402180618"/>
      <w:r w:rsidRPr="003F46ED">
        <w:t xml:space="preserve">Each state and territory is independently responsible for developing a means of generating students’ </w:t>
      </w:r>
      <w:proofErr w:type="spellStart"/>
      <w:r w:rsidRPr="003F46ED">
        <w:t>ATAR</w:t>
      </w:r>
      <w:proofErr w:type="spellEnd"/>
      <w:r w:rsidRPr="003F46ED">
        <w:t xml:space="preserve"> based on their results for various components of study.</w:t>
      </w:r>
      <w:r w:rsidR="008D2C73" w:rsidRPr="003F46ED">
        <w:t xml:space="preserve"> </w:t>
      </w:r>
      <w:r w:rsidRPr="003F46ED">
        <w:t>The details of s</w:t>
      </w:r>
      <w:r w:rsidR="00B254E7" w:rsidRPr="003F46ED">
        <w:t xml:space="preserve">caling and moderation for each of these </w:t>
      </w:r>
      <w:r w:rsidRPr="003F46ED">
        <w:t>system</w:t>
      </w:r>
      <w:r w:rsidR="00B254E7" w:rsidRPr="003F46ED">
        <w:t>s</w:t>
      </w:r>
      <w:r w:rsidRPr="003F46ED">
        <w:t xml:space="preserve"> are complex (see Attachment 1 for further details).</w:t>
      </w:r>
      <w:bookmarkEnd w:id="403"/>
      <w:r w:rsidRPr="003F46ED">
        <w:t xml:space="preserve"> </w:t>
      </w:r>
    </w:p>
    <w:p w14:paraId="461F6D58" w14:textId="77777777" w:rsidR="007B1D45" w:rsidRPr="003F46ED" w:rsidRDefault="001D17DC" w:rsidP="00B30583">
      <w:bookmarkStart w:id="404" w:name="_Toc402180619"/>
      <w:r w:rsidRPr="003F46ED">
        <w:t>Terminology varies, but the intent of ‘moderation’ (as the term is used here) is to ensure that students of a similar level of ability</w:t>
      </w:r>
      <w:r w:rsidR="006A6C04" w:rsidRPr="003F46ED">
        <w:t xml:space="preserve"> – </w:t>
      </w:r>
      <w:r w:rsidRPr="003F46ED">
        <w:t>who study the ‘same’ subject in different classes and potentially at different schools</w:t>
      </w:r>
      <w:r w:rsidR="006A6C04" w:rsidRPr="003F46ED">
        <w:t xml:space="preserve"> – </w:t>
      </w:r>
      <w:r w:rsidRPr="003F46ED">
        <w:t>receive similar grades. ‘Scaling’ (as used here) is intended to ensure comparability across subjects, so that students who have completed different courses can be compared to allow for admission to university. Scaling and moderation can be carried out as separate processes, or jointly, in th</w:t>
      </w:r>
      <w:r w:rsidR="00175CBD" w:rsidRPr="003F46ED">
        <w:t xml:space="preserve">e process of generating an </w:t>
      </w:r>
      <w:proofErr w:type="spellStart"/>
      <w:r w:rsidR="00175CBD" w:rsidRPr="003F46ED">
        <w:t>ATAR</w:t>
      </w:r>
      <w:proofErr w:type="spellEnd"/>
      <w:r w:rsidR="00175CBD" w:rsidRPr="003F46ED">
        <w:t>.</w:t>
      </w:r>
      <w:r w:rsidRPr="003F46ED">
        <w:t xml:space="preserve"> </w:t>
      </w:r>
      <w:r w:rsidR="00175CBD" w:rsidRPr="003F46ED">
        <w:t>T</w:t>
      </w:r>
      <w:r w:rsidRPr="003F46ED">
        <w:t xml:space="preserve">he responsibility for parts of this process is divided </w:t>
      </w:r>
      <w:r w:rsidR="00E43136" w:rsidRPr="003F46ED">
        <w:t>among different official bodies, e.g. the various</w:t>
      </w:r>
      <w:r w:rsidR="00E36A3C" w:rsidRPr="003F46ED">
        <w:t xml:space="preserve"> curriculum authorities and</w:t>
      </w:r>
      <w:r w:rsidR="00E43136" w:rsidRPr="003F46ED">
        <w:t xml:space="preserve"> tertiary admissions centres in Australia.</w:t>
      </w:r>
      <w:bookmarkEnd w:id="404"/>
    </w:p>
    <w:p w14:paraId="66842C37" w14:textId="77777777" w:rsidR="007B1D45" w:rsidRPr="003F46ED" w:rsidRDefault="001D17DC" w:rsidP="00B30583">
      <w:bookmarkStart w:id="405" w:name="_Toc402180620"/>
      <w:r w:rsidRPr="003F46ED">
        <w:t xml:space="preserve">In terms of senior secondary language learning, the issue is whether students in Australia perceive scaling as a relevant factor in choosing to study, or not study, a language in Years 11 and 12. No research specifically on this topic has been published, but scaling is sometimes mentioned in research on </w:t>
      </w:r>
      <w:r w:rsidR="00D34DDC" w:rsidRPr="003F46ED">
        <w:t xml:space="preserve">student </w:t>
      </w:r>
      <w:r w:rsidRPr="003F46ED">
        <w:t>retention. Its influence, however, remains unclear.</w:t>
      </w:r>
      <w:bookmarkEnd w:id="405"/>
      <w:r w:rsidRPr="003F46ED">
        <w:t xml:space="preserve"> </w:t>
      </w:r>
    </w:p>
    <w:p w14:paraId="7A3468F1" w14:textId="77777777" w:rsidR="007B1D45" w:rsidRPr="003F46ED" w:rsidRDefault="001D17DC" w:rsidP="00B30583">
      <w:bookmarkStart w:id="406" w:name="_Toc402180621"/>
      <w:r w:rsidRPr="003F46ED">
        <w:t xml:space="preserve">Some studies that have asked students about their reasons for ceasing or continuing languages study have found that scaling is not cited by students at all (for example, Curnow, </w:t>
      </w:r>
      <w:proofErr w:type="spellStart"/>
      <w:r w:rsidRPr="003F46ED">
        <w:t>Liddicoat</w:t>
      </w:r>
      <w:proofErr w:type="spellEnd"/>
      <w:r w:rsidRPr="003F46ED">
        <w:t xml:space="preserve"> &amp; </w:t>
      </w:r>
      <w:proofErr w:type="spellStart"/>
      <w:r w:rsidRPr="003F46ED">
        <w:t>Scarino</w:t>
      </w:r>
      <w:proofErr w:type="spellEnd"/>
      <w:r w:rsidRPr="003F46ED">
        <w:t xml:space="preserve">, 2007). Others researchers suggest that it is a relevant factor in motivating students to continue (for example, de </w:t>
      </w:r>
      <w:proofErr w:type="spellStart"/>
      <w:r w:rsidRPr="003F46ED">
        <w:t>Kretser</w:t>
      </w:r>
      <w:proofErr w:type="spellEnd"/>
      <w:r w:rsidRPr="003F46ED">
        <w:t xml:space="preserve"> &amp; Spence-Brown, 2010), while other studies suggest that scaling is a disincentive (for example, </w:t>
      </w:r>
      <w:proofErr w:type="spellStart"/>
      <w:r w:rsidR="00C3275D" w:rsidRPr="003F46ED">
        <w:t>Liddicoat</w:t>
      </w:r>
      <w:proofErr w:type="spellEnd"/>
      <w:r w:rsidR="00C3275D" w:rsidRPr="003F46ED">
        <w:t xml:space="preserve"> et al., 2007; </w:t>
      </w:r>
      <w:proofErr w:type="spellStart"/>
      <w:r w:rsidR="00C3275D" w:rsidRPr="003F46ED">
        <w:t>Tuffin</w:t>
      </w:r>
      <w:proofErr w:type="spellEnd"/>
      <w:r w:rsidR="00C3275D" w:rsidRPr="003F46ED">
        <w:t xml:space="preserve"> &amp; Wilson, 1989</w:t>
      </w:r>
      <w:r w:rsidRPr="003F46ED">
        <w:t xml:space="preserve">). It is not </w:t>
      </w:r>
      <w:r w:rsidR="00154FBF" w:rsidRPr="003F46ED">
        <w:t xml:space="preserve">entirely </w:t>
      </w:r>
      <w:r w:rsidRPr="003F46ED">
        <w:t xml:space="preserve">clear </w:t>
      </w:r>
      <w:r w:rsidR="00CA159C" w:rsidRPr="003F46ED">
        <w:t xml:space="preserve">to what extent </w:t>
      </w:r>
      <w:r w:rsidR="00EE5200" w:rsidRPr="003F46ED">
        <w:t xml:space="preserve">these varying hypotheses </w:t>
      </w:r>
      <w:r w:rsidR="00CA159C" w:rsidRPr="003F46ED">
        <w:t>have to do with</w:t>
      </w:r>
      <w:r w:rsidR="00EE5200" w:rsidRPr="003F46ED">
        <w:t xml:space="preserve"> the research me</w:t>
      </w:r>
      <w:r w:rsidR="00154FBF" w:rsidRPr="003F46ED">
        <w:t>thodology and methods, when and where the research was conducted and the</w:t>
      </w:r>
      <w:r w:rsidR="00CA159C" w:rsidRPr="003F46ED">
        <w:t xml:space="preserve"> particular nature of the</w:t>
      </w:r>
      <w:r w:rsidR="00154FBF" w:rsidRPr="003F46ED">
        <w:t xml:space="preserve"> student samples involved.</w:t>
      </w:r>
      <w:bookmarkEnd w:id="406"/>
      <w:r w:rsidR="00E6367C" w:rsidRPr="003F46ED">
        <w:t xml:space="preserve"> </w:t>
      </w:r>
      <w:bookmarkStart w:id="407" w:name="_Toc402180622"/>
      <w:r w:rsidR="00E6367C" w:rsidRPr="003F46ED">
        <w:t>Because the impact of</w:t>
      </w:r>
      <w:r w:rsidR="00940C26" w:rsidRPr="003F46ED">
        <w:t xml:space="preserve"> scaling on student retention has been inconclusive</w:t>
      </w:r>
      <w:r w:rsidR="003E1B6B" w:rsidRPr="003F46ED">
        <w:t xml:space="preserve"> in the literature</w:t>
      </w:r>
      <w:r w:rsidR="00940C26" w:rsidRPr="003F46ED">
        <w:t xml:space="preserve">, it was considered </w:t>
      </w:r>
      <w:r w:rsidR="00302556" w:rsidRPr="003F46ED">
        <w:t xml:space="preserve">inadequate </w:t>
      </w:r>
      <w:r w:rsidR="00940C26" w:rsidRPr="003F46ED">
        <w:t xml:space="preserve">to </w:t>
      </w:r>
      <w:r w:rsidR="00302556" w:rsidRPr="003F46ED">
        <w:t xml:space="preserve">simply </w:t>
      </w:r>
      <w:r w:rsidR="00940C26" w:rsidRPr="003F46ED">
        <w:t>include an item on scaling within the student survey for this research.</w:t>
      </w:r>
      <w:bookmarkEnd w:id="407"/>
    </w:p>
    <w:p w14:paraId="7E601B58" w14:textId="77777777" w:rsidR="007B1D45" w:rsidRPr="003F46ED" w:rsidRDefault="001D17DC" w:rsidP="00527947">
      <w:pPr>
        <w:pStyle w:val="Heading3"/>
      </w:pPr>
      <w:bookmarkStart w:id="408" w:name="_Toc402180623"/>
      <w:r w:rsidRPr="003F46ED">
        <w:t>Certification and retention in senior secondary languages education</w:t>
      </w:r>
      <w:bookmarkEnd w:id="408"/>
      <w:r w:rsidRPr="003F46ED">
        <w:t xml:space="preserve"> </w:t>
      </w:r>
    </w:p>
    <w:p w14:paraId="29D02483" w14:textId="77777777" w:rsidR="007B1D45" w:rsidRPr="003F46ED" w:rsidRDefault="001D17DC" w:rsidP="00B30583">
      <w:bookmarkStart w:id="409" w:name="_Toc402180624"/>
      <w:r w:rsidRPr="003F46ED">
        <w:t xml:space="preserve">One potential lever for improving participation and possibly retention in languages education is through certification requirements. A number of countries have a baccalaureate qualification that requires the study of a language, in addition to one’s first language. Whilst this might lessen the complexities of senior secondary subject choice as these pertain to languages in Australia, other challenges around ensuring equity of access to quality teaching and programmes would become more prominent. Nonetheless, it is important to engage in the discourse around </w:t>
      </w:r>
      <w:r w:rsidR="00932E31" w:rsidRPr="003F46ED">
        <w:t>‘</w:t>
      </w:r>
      <w:r w:rsidRPr="003F46ED">
        <w:t>mandatory</w:t>
      </w:r>
      <w:r w:rsidR="00932E31" w:rsidRPr="003F46ED">
        <w:t>’</w:t>
      </w:r>
      <w:r w:rsidRPr="003F46ED">
        <w:t xml:space="preserve"> learning of languages at senior secondary</w:t>
      </w:r>
      <w:r w:rsidR="00932E31" w:rsidRPr="003F46ED">
        <w:t xml:space="preserve"> level</w:t>
      </w:r>
      <w:r w:rsidRPr="003F46ED">
        <w:t xml:space="preserve"> as a way to boost enrolments. Additional recognition</w:t>
      </w:r>
      <w:r w:rsidR="00F81852" w:rsidRPr="003F46ED">
        <w:t xml:space="preserve"> for choosing to study languages,</w:t>
      </w:r>
      <w:r w:rsidRPr="003F46ED">
        <w:t xml:space="preserve"> </w:t>
      </w:r>
      <w:r w:rsidR="00F81852" w:rsidRPr="003F46ED">
        <w:t>within current</w:t>
      </w:r>
      <w:r w:rsidRPr="003F46ED">
        <w:t xml:space="preserve"> </w:t>
      </w:r>
      <w:r w:rsidRPr="003F46ED">
        <w:lastRenderedPageBreak/>
        <w:t>certification</w:t>
      </w:r>
      <w:r w:rsidR="00F81852" w:rsidRPr="003F46ED">
        <w:t xml:space="preserve"> frameworks,</w:t>
      </w:r>
      <w:r w:rsidRPr="003F46ED">
        <w:t xml:space="preserve"> may</w:t>
      </w:r>
      <w:r w:rsidR="00356CA2" w:rsidRPr="003F46ED">
        <w:t xml:space="preserve"> </w:t>
      </w:r>
      <w:r w:rsidRPr="003F46ED">
        <w:t xml:space="preserve">be a promising line of investigation as outlined below with the English Baccalaureate and </w:t>
      </w:r>
      <w:proofErr w:type="spellStart"/>
      <w:r w:rsidRPr="003F46ED">
        <w:t>VCE</w:t>
      </w:r>
      <w:proofErr w:type="spellEnd"/>
      <w:r w:rsidRPr="003F46ED">
        <w:t xml:space="preserve"> (Baccalaureate).</w:t>
      </w:r>
      <w:bookmarkEnd w:id="409"/>
      <w:r w:rsidR="0092056F" w:rsidRPr="003F46ED">
        <w:t xml:space="preserve"> </w:t>
      </w:r>
      <w:r w:rsidR="009F1D39" w:rsidRPr="003F46ED">
        <w:t xml:space="preserve">An </w:t>
      </w:r>
      <w:r w:rsidR="0092056F" w:rsidRPr="003F46ED">
        <w:t xml:space="preserve">Australian Baccalaureate </w:t>
      </w:r>
      <w:r w:rsidR="009F1D39" w:rsidRPr="003F46ED">
        <w:t xml:space="preserve">has been considered previously, but abandoned by </w:t>
      </w:r>
      <w:r w:rsidR="0092056F" w:rsidRPr="003F46ED">
        <w:t>two successive governments.</w:t>
      </w:r>
    </w:p>
    <w:p w14:paraId="1EB1543C" w14:textId="77777777" w:rsidR="007B1D45" w:rsidRPr="003F46ED" w:rsidRDefault="001D17DC" w:rsidP="00076CCC">
      <w:pPr>
        <w:pStyle w:val="Heading4"/>
      </w:pPr>
      <w:bookmarkStart w:id="410" w:name="_Toc402180625"/>
      <w:r w:rsidRPr="003F46ED">
        <w:t>The International Baccalaureate</w:t>
      </w:r>
      <w:bookmarkEnd w:id="410"/>
      <w:r w:rsidR="008D2C73" w:rsidRPr="003F46ED">
        <w:t xml:space="preserve"> </w:t>
      </w:r>
    </w:p>
    <w:p w14:paraId="5F5FF7D8" w14:textId="77777777" w:rsidR="007B1D45" w:rsidRPr="003F46ED" w:rsidRDefault="00134BBC" w:rsidP="00B30583">
      <w:bookmarkStart w:id="411" w:name="_Toc402180626"/>
      <w:r w:rsidRPr="003F46ED">
        <w:t xml:space="preserve">In recent years </w:t>
      </w:r>
      <w:r w:rsidR="001D17DC" w:rsidRPr="003F46ED">
        <w:t>the International Baccalaureate (</w:t>
      </w:r>
      <w:proofErr w:type="spellStart"/>
      <w:r w:rsidR="001D17DC" w:rsidRPr="003F46ED">
        <w:t>IB</w:t>
      </w:r>
      <w:proofErr w:type="spellEnd"/>
      <w:r w:rsidR="001D17DC" w:rsidRPr="003F46ED">
        <w:t xml:space="preserve">) has experienced significant expansion worldwide. In the Diploma or Career-related Certificate, students are required to choose one subject from each of five groups, including additional languages (Group 2). In choosing a subject from Group 2, students may study a modern language at an </w:t>
      </w:r>
      <w:r w:rsidR="001D17DC" w:rsidRPr="003F46ED">
        <w:rPr>
          <w:i/>
        </w:rPr>
        <w:t>ab initio</w:t>
      </w:r>
      <w:r w:rsidR="001D17DC" w:rsidRPr="003F46ED">
        <w:t xml:space="preserve"> (beginners) level or as a Language B course, which assumes some experience of learning the language and can be taken at standard or higher level. Students can also study Latin or Classical Greek.</w:t>
      </w:r>
      <w:bookmarkEnd w:id="411"/>
    </w:p>
    <w:p w14:paraId="37083E2C" w14:textId="77777777" w:rsidR="007B1D45" w:rsidRPr="003F46ED" w:rsidRDefault="001D17DC" w:rsidP="00076CCC">
      <w:pPr>
        <w:pStyle w:val="Heading4"/>
      </w:pPr>
      <w:bookmarkStart w:id="412" w:name="_Toc402180627"/>
      <w:r w:rsidRPr="003F46ED">
        <w:t>The French Baccalaureate</w:t>
      </w:r>
      <w:bookmarkEnd w:id="412"/>
      <w:r w:rsidRPr="003F46ED">
        <w:t xml:space="preserve"> </w:t>
      </w:r>
    </w:p>
    <w:p w14:paraId="5F8C3EFB" w14:textId="77777777" w:rsidR="007B1D45" w:rsidRPr="003F46ED" w:rsidRDefault="001D17DC" w:rsidP="00B30583">
      <w:bookmarkStart w:id="413" w:name="_Toc402180628"/>
      <w:r w:rsidRPr="003F46ED">
        <w:t xml:space="preserve">The majority of students in France in their final year of secondary school take the French </w:t>
      </w:r>
      <w:proofErr w:type="spellStart"/>
      <w:r w:rsidRPr="003F46ED">
        <w:rPr>
          <w:i/>
          <w:iCs/>
        </w:rPr>
        <w:t>baccalauréat</w:t>
      </w:r>
      <w:proofErr w:type="spellEnd"/>
      <w:r w:rsidRPr="003F46ED">
        <w:t>, the required examination for students to qualify for entrance into university. Students choose one of three streams: Sciences, Economics and Social Sciences, or Literature.</w:t>
      </w:r>
      <w:r w:rsidR="008D2C73" w:rsidRPr="003F46ED">
        <w:t xml:space="preserve"> </w:t>
      </w:r>
      <w:r w:rsidRPr="003F46ED">
        <w:t>All three streams require French language (first language), require a ‘terminal’ subject that consists of a First Foreign Language, Second Foreig</w:t>
      </w:r>
      <w:r w:rsidR="008722DF" w:rsidRPr="003F46ED">
        <w:t>n Language or Regional Language</w:t>
      </w:r>
      <w:r w:rsidRPr="003F46ED">
        <w:t xml:space="preserve"> and also has optional subjects that include a Foreign Lang</w:t>
      </w:r>
      <w:r w:rsidR="008722DF" w:rsidRPr="003F46ED">
        <w:t xml:space="preserve">uage, Regional Language, Latin </w:t>
      </w:r>
      <w:r w:rsidRPr="003F46ED">
        <w:t>or Ancient Greek. The weightings of the subjects depend on the stream, with the most important subjects in the literary stream being Philosophy,</w:t>
      </w:r>
      <w:r w:rsidR="005B7A72" w:rsidRPr="003F46ED">
        <w:t xml:space="preserve"> French language and literature</w:t>
      </w:r>
      <w:r w:rsidRPr="003F46ED">
        <w:t xml:space="preserve"> and other languages, usually English, German and Spanish. The </w:t>
      </w:r>
      <w:proofErr w:type="spellStart"/>
      <w:r w:rsidRPr="003F46ED">
        <w:rPr>
          <w:i/>
          <w:iCs/>
        </w:rPr>
        <w:t>baccalauréat</w:t>
      </w:r>
      <w:proofErr w:type="spellEnd"/>
      <w:r w:rsidRPr="003F46ED">
        <w:t xml:space="preserve"> permits students to choose to sit for exams in over </w:t>
      </w:r>
      <w:r w:rsidR="006A6C04" w:rsidRPr="003F46ED">
        <w:t xml:space="preserve">40 </w:t>
      </w:r>
      <w:r w:rsidRPr="003F46ED">
        <w:t>world languages or French regional languages.</w:t>
      </w:r>
      <w:bookmarkEnd w:id="413"/>
    </w:p>
    <w:p w14:paraId="4CC14BE6" w14:textId="77777777" w:rsidR="007B1D45" w:rsidRPr="003F46ED" w:rsidRDefault="001D17DC" w:rsidP="00076CCC">
      <w:pPr>
        <w:pStyle w:val="Heading4"/>
      </w:pPr>
      <w:bookmarkStart w:id="414" w:name="_Toc402180629"/>
      <w:r w:rsidRPr="003F46ED">
        <w:t>The English Baccalaureate</w:t>
      </w:r>
      <w:bookmarkEnd w:id="414"/>
    </w:p>
    <w:p w14:paraId="71D39D90" w14:textId="77777777" w:rsidR="007B1D45" w:rsidRPr="003F46ED" w:rsidRDefault="00A8509F" w:rsidP="00B30583">
      <w:bookmarkStart w:id="415" w:name="_Toc402180630"/>
      <w:r w:rsidRPr="003F46ED">
        <w:t>The British G</w:t>
      </w:r>
      <w:r w:rsidR="001D17DC" w:rsidRPr="003F46ED">
        <w:t>overnment aimed to introduce the English Baccalaureate Certificate (</w:t>
      </w:r>
      <w:proofErr w:type="spellStart"/>
      <w:r w:rsidR="001D17DC" w:rsidRPr="003F46ED">
        <w:t>EBacc</w:t>
      </w:r>
      <w:proofErr w:type="spellEnd"/>
      <w:r w:rsidR="001D17DC" w:rsidRPr="003F46ED">
        <w:t>)</w:t>
      </w:r>
      <w:r w:rsidR="006A6C04" w:rsidRPr="003F46ED">
        <w:t>,</w:t>
      </w:r>
      <w:r w:rsidR="001D17DC" w:rsidRPr="003F46ED">
        <w:t xml:space="preserve"> arguing</w:t>
      </w:r>
      <w:r w:rsidR="005A2C87" w:rsidRPr="003F46ED">
        <w:t xml:space="preserve"> that the existing GCSE was out</w:t>
      </w:r>
      <w:r w:rsidR="001D17DC" w:rsidRPr="003F46ED">
        <w:t xml:space="preserve">dated, unclear and lacking in rigour. It was intended originally that the new system would be in place from 2015 with students taking the examinations in 2017. The certificate was to commence in three subject areas, English, Mathematics and Sciences, with the other core subjects, History, Geography and Languages, appearing later. After criticism from a number of quarters, the full version of the </w:t>
      </w:r>
      <w:proofErr w:type="spellStart"/>
      <w:r w:rsidR="001D17DC" w:rsidRPr="003F46ED">
        <w:t>EBacc</w:t>
      </w:r>
      <w:proofErr w:type="spellEnd"/>
      <w:r w:rsidR="001D17DC" w:rsidRPr="003F46ED">
        <w:t xml:space="preserve"> was abandoned in early 2013 and the GCSE was retained.</w:t>
      </w:r>
      <w:bookmarkEnd w:id="415"/>
      <w:r w:rsidR="001D17DC" w:rsidRPr="003F46ED">
        <w:t xml:space="preserve"> </w:t>
      </w:r>
    </w:p>
    <w:p w14:paraId="5458F27A" w14:textId="77777777" w:rsidR="007B1D45" w:rsidRPr="003F46ED" w:rsidRDefault="001D17DC" w:rsidP="00B30583">
      <w:bookmarkStart w:id="416" w:name="_Toc402180631"/>
      <w:r w:rsidRPr="003F46ED">
        <w:t xml:space="preserve">However, the </w:t>
      </w:r>
      <w:proofErr w:type="spellStart"/>
      <w:r w:rsidRPr="003F46ED">
        <w:t>EBacc</w:t>
      </w:r>
      <w:proofErr w:type="spellEnd"/>
      <w:r w:rsidRPr="003F46ED">
        <w:t xml:space="preserve"> has been revised and implemented instead as a ‘performance measure’ (Department of Education UK, 2014). It is neither a qualification nor compulsory, but recognises students who have studied the required subjects (English, mathematics, his</w:t>
      </w:r>
      <w:r w:rsidR="00C946FA" w:rsidRPr="003F46ED">
        <w:t xml:space="preserve">tory or geography, </w:t>
      </w:r>
      <w:r w:rsidR="00382018" w:rsidRPr="003F46ED">
        <w:t>sciences</w:t>
      </w:r>
      <w:r w:rsidRPr="003F46ED">
        <w:t xml:space="preserve"> and a foreign languag</w:t>
      </w:r>
      <w:r w:rsidR="00C83EE5" w:rsidRPr="003F46ED">
        <w:t>e). It also recognises schools that</w:t>
      </w:r>
      <w:r w:rsidRPr="003F46ED">
        <w:t xml:space="preserve"> are ranked on the basis of the number of students eligible for</w:t>
      </w:r>
      <w:r w:rsidR="00382018" w:rsidRPr="003F46ED">
        <w:t xml:space="preserve"> the </w:t>
      </w:r>
      <w:proofErr w:type="spellStart"/>
      <w:r w:rsidR="00382018" w:rsidRPr="003F46ED">
        <w:t>EBacc</w:t>
      </w:r>
      <w:proofErr w:type="spellEnd"/>
      <w:r w:rsidR="00382018" w:rsidRPr="003F46ED">
        <w:t>. Plans remain</w:t>
      </w:r>
      <w:r w:rsidRPr="003F46ED">
        <w:t xml:space="preserve"> to introduce a broader scale qualification that would include students</w:t>
      </w:r>
      <w:r w:rsidR="005A2C87" w:rsidRPr="003F46ED">
        <w:t>’</w:t>
      </w:r>
      <w:r w:rsidRPr="003F46ED">
        <w:t xml:space="preserve"> ‘best eight’ subjects comprised of English and mathematics, three Baccalaureate subjects and three other GCSE subjects (Harrison, 2013).</w:t>
      </w:r>
      <w:bookmarkEnd w:id="416"/>
    </w:p>
    <w:p w14:paraId="0883A056" w14:textId="77777777" w:rsidR="007B1D45" w:rsidRPr="003F46ED" w:rsidRDefault="001D17DC" w:rsidP="00076CCC">
      <w:pPr>
        <w:pStyle w:val="Heading4"/>
      </w:pPr>
      <w:bookmarkStart w:id="417" w:name="_Toc402180632"/>
      <w:r w:rsidRPr="003F46ED">
        <w:t>The Baccalaureate in Australia</w:t>
      </w:r>
      <w:bookmarkEnd w:id="417"/>
    </w:p>
    <w:p w14:paraId="7B4A8CDC" w14:textId="77777777" w:rsidR="007B1D45" w:rsidRPr="003F46ED" w:rsidRDefault="001D17DC" w:rsidP="00B30583">
      <w:bookmarkStart w:id="418" w:name="_Toc402180633"/>
      <w:r w:rsidRPr="003F46ED">
        <w:t xml:space="preserve">There is emerging interest in other forms of a baccalaureate (other than the </w:t>
      </w:r>
      <w:proofErr w:type="spellStart"/>
      <w:r w:rsidRPr="003F46ED">
        <w:t>IB</w:t>
      </w:r>
      <w:proofErr w:type="spellEnd"/>
      <w:r w:rsidRPr="003F46ED">
        <w:t xml:space="preserve">) in Australia. For example, in </w:t>
      </w:r>
      <w:r w:rsidR="00EB5C58" w:rsidRPr="003F46ED">
        <w:t>Vic</w:t>
      </w:r>
      <w:r w:rsidRPr="003F46ED">
        <w:t xml:space="preserve">, from 2014, </w:t>
      </w:r>
      <w:r w:rsidR="00CE2845" w:rsidRPr="003F46ED">
        <w:t xml:space="preserve">students enrolled in the </w:t>
      </w:r>
      <w:proofErr w:type="spellStart"/>
      <w:r w:rsidR="00CE2845" w:rsidRPr="003F46ED">
        <w:t>VCE</w:t>
      </w:r>
      <w:proofErr w:type="spellEnd"/>
      <w:r w:rsidR="00CE2845" w:rsidRPr="003F46ED">
        <w:t xml:space="preserve"> who</w:t>
      </w:r>
      <w:r w:rsidRPr="003F46ED">
        <w:t xml:space="preserve"> undertake higher-level mathematics and a language will receive additional recognition through award of a </w:t>
      </w:r>
      <w:proofErr w:type="spellStart"/>
      <w:r w:rsidRPr="003F46ED">
        <w:t>VCE</w:t>
      </w:r>
      <w:proofErr w:type="spellEnd"/>
      <w:r w:rsidRPr="003F46ED">
        <w:t xml:space="preserve"> (Baccalaureate). To be eligible, students need to study the equivalent of five subjects in Year 12 (i.e. E</w:t>
      </w:r>
      <w:r w:rsidR="006B25B9" w:rsidRPr="003F46ED">
        <w:t>nglish, mathematics, a language</w:t>
      </w:r>
      <w:r w:rsidRPr="003F46ED">
        <w:t xml:space="preserve"> and two other subjects). Because students have two choice subjects</w:t>
      </w:r>
      <w:r w:rsidR="006A6C04" w:rsidRPr="003F46ED">
        <w:t>,</w:t>
      </w:r>
      <w:r w:rsidRPr="003F46ED">
        <w:t xml:space="preserve"> they can study more than one language. The </w:t>
      </w:r>
      <w:proofErr w:type="spellStart"/>
      <w:r w:rsidRPr="003F46ED">
        <w:t>VCE</w:t>
      </w:r>
      <w:proofErr w:type="spellEnd"/>
      <w:r w:rsidRPr="003F46ED">
        <w:t xml:space="preserve"> (Baccalaureate) is not a stand-alone certificate, rather an additional form of recognition within the existing </w:t>
      </w:r>
      <w:proofErr w:type="spellStart"/>
      <w:r w:rsidRPr="003F46ED">
        <w:t>VCE</w:t>
      </w:r>
      <w:proofErr w:type="spellEnd"/>
      <w:r w:rsidRPr="003F46ED">
        <w:t xml:space="preserve">. It is not clear yet, however, how the </w:t>
      </w:r>
      <w:proofErr w:type="spellStart"/>
      <w:r w:rsidRPr="003F46ED">
        <w:t>VCE</w:t>
      </w:r>
      <w:proofErr w:type="spellEnd"/>
      <w:r w:rsidRPr="003F46ED">
        <w:t xml:space="preserve"> (Baccalaureate) will be recognised beyond </w:t>
      </w:r>
      <w:r w:rsidR="00EB5C58" w:rsidRPr="003F46ED">
        <w:t>Vic</w:t>
      </w:r>
      <w:r w:rsidR="00A61F4C" w:rsidRPr="003F46ED">
        <w:t>toria</w:t>
      </w:r>
      <w:r w:rsidRPr="003F46ED">
        <w:t xml:space="preserve"> and what its national and international currency might be.</w:t>
      </w:r>
      <w:bookmarkEnd w:id="418"/>
      <w:r w:rsidRPr="003F46ED">
        <w:t xml:space="preserve"> </w:t>
      </w:r>
    </w:p>
    <w:p w14:paraId="16117D0D" w14:textId="77777777" w:rsidR="007B1D45" w:rsidRPr="003F46ED" w:rsidRDefault="001D17DC" w:rsidP="00076CCC">
      <w:pPr>
        <w:pStyle w:val="Heading4"/>
      </w:pPr>
      <w:bookmarkStart w:id="419" w:name="_Toc402180634"/>
      <w:r w:rsidRPr="003F46ED">
        <w:lastRenderedPageBreak/>
        <w:t>A ‘Language Passport’</w:t>
      </w:r>
      <w:bookmarkEnd w:id="419"/>
    </w:p>
    <w:p w14:paraId="1CFA9E99" w14:textId="77777777" w:rsidR="007B1D45" w:rsidRPr="003F46ED" w:rsidRDefault="001D17DC" w:rsidP="00B30583">
      <w:bookmarkStart w:id="420" w:name="_Toc402180635"/>
      <w:r w:rsidRPr="003F46ED">
        <w:t xml:space="preserve">The notion of a passport was adopted in Europe as part of the Common European Framework of Reference for Languages: Learning, Teaching, </w:t>
      </w:r>
      <w:proofErr w:type="gramStart"/>
      <w:r w:rsidRPr="003F46ED">
        <w:t>Assessment</w:t>
      </w:r>
      <w:proofErr w:type="gramEnd"/>
      <w:r w:rsidRPr="003F46ED">
        <w:t xml:space="preserve"> (</w:t>
      </w:r>
      <w:proofErr w:type="spellStart"/>
      <w:r w:rsidRPr="003F46ED">
        <w:t>CEFR</w:t>
      </w:r>
      <w:proofErr w:type="spellEnd"/>
      <w:r w:rsidRPr="003F46ED">
        <w:t xml:space="preserve">) in order to assist in the comparability and transferability of language learning among European countries. The passport provides evidence of students’ prior language learning including their level on the </w:t>
      </w:r>
      <w:proofErr w:type="spellStart"/>
      <w:r w:rsidRPr="003F46ED">
        <w:t>CEFR</w:t>
      </w:r>
      <w:proofErr w:type="spellEnd"/>
      <w:r w:rsidRPr="003F46ED">
        <w:t xml:space="preserve"> proficiency scale.</w:t>
      </w:r>
      <w:bookmarkEnd w:id="420"/>
      <w:r w:rsidRPr="003F46ED">
        <w:t xml:space="preserve"> </w:t>
      </w:r>
    </w:p>
    <w:p w14:paraId="6B5B1039" w14:textId="77777777" w:rsidR="007B1D45" w:rsidRPr="003F46ED" w:rsidRDefault="001D17DC" w:rsidP="00B30583">
      <w:bookmarkStart w:id="421" w:name="_Toc402180636"/>
      <w:r w:rsidRPr="003F46ED">
        <w:t xml:space="preserve">A ‘passport’ that follows the student provides the potential to support continuity in language learning at key transition points in schooling. The passport could indicate to the community the value placed on language learning, </w:t>
      </w:r>
      <w:r w:rsidR="00A018B3" w:rsidRPr="003F46ED">
        <w:t xml:space="preserve">especially </w:t>
      </w:r>
      <w:r w:rsidRPr="003F46ED">
        <w:t>if there was some formal recognition/award associated with it at particular year levels.</w:t>
      </w:r>
      <w:bookmarkEnd w:id="421"/>
      <w:r w:rsidRPr="003F46ED">
        <w:t xml:space="preserve"> </w:t>
      </w:r>
    </w:p>
    <w:p w14:paraId="14A9E9A0" w14:textId="77777777" w:rsidR="007B1D45" w:rsidRPr="003F46ED" w:rsidRDefault="001D17DC" w:rsidP="00B30583">
      <w:bookmarkStart w:id="422" w:name="_Toc402180637"/>
      <w:r w:rsidRPr="003F46ED">
        <w:t xml:space="preserve">The issue of student demand for languages study at Years 11 and 12 is inextricably linked to senior secondary structures and certification. Where language study is required to be certified and/or gain entrance into a tertiary institution, then retention is not an issue. But, where it is not, as in Australia (unless a student does the </w:t>
      </w:r>
      <w:proofErr w:type="spellStart"/>
      <w:r w:rsidRPr="003F46ED">
        <w:t>IB</w:t>
      </w:r>
      <w:proofErr w:type="spellEnd"/>
      <w:r w:rsidR="00227443" w:rsidRPr="003F46ED">
        <w:t xml:space="preserve"> for example</w:t>
      </w:r>
      <w:r w:rsidRPr="003F46ED">
        <w:t>), other mechanisms are required</w:t>
      </w:r>
      <w:r w:rsidR="00DB24ED" w:rsidRPr="003F46ED">
        <w:t xml:space="preserve"> to build and sustain student demand for languages</w:t>
      </w:r>
      <w:r w:rsidRPr="003F46ED">
        <w:t>.</w:t>
      </w:r>
      <w:bookmarkEnd w:id="422"/>
      <w:r w:rsidRPr="003F46ED">
        <w:t xml:space="preserve"> </w:t>
      </w:r>
    </w:p>
    <w:p w14:paraId="29C3BCA5" w14:textId="1F8A3898" w:rsidR="00A034CD" w:rsidRPr="003F46ED" w:rsidRDefault="001D17DC" w:rsidP="00B30583">
      <w:bookmarkStart w:id="423" w:name="_Toc402180638"/>
      <w:r w:rsidRPr="003F46ED">
        <w:t xml:space="preserve">The </w:t>
      </w:r>
      <w:proofErr w:type="spellStart"/>
      <w:r w:rsidRPr="003F46ED">
        <w:t>VCE</w:t>
      </w:r>
      <w:proofErr w:type="spellEnd"/>
      <w:r w:rsidRPr="003F46ED">
        <w:t xml:space="preserve"> (Baccalaureate) model appears to be a possible path given the current context of senior secondary</w:t>
      </w:r>
      <w:r w:rsidR="00DF1335" w:rsidRPr="003F46ED">
        <w:t xml:space="preserve"> schooling</w:t>
      </w:r>
      <w:r w:rsidRPr="003F46ED">
        <w:t xml:space="preserve"> in Australia. A vocational version of this model could perhaps be considered</w:t>
      </w:r>
      <w:r w:rsidR="00B40163" w:rsidRPr="003F46ED">
        <w:t>, to encourage vocationally inclined students to study a language</w:t>
      </w:r>
      <w:r w:rsidRPr="003F46ED">
        <w:t xml:space="preserve">. </w:t>
      </w:r>
      <w:r w:rsidR="00BB5C3E" w:rsidRPr="003F46ED">
        <w:t>C</w:t>
      </w:r>
      <w:r w:rsidRPr="003F46ED">
        <w:t xml:space="preserve">ertification requirements </w:t>
      </w:r>
      <w:r w:rsidR="00176523" w:rsidRPr="003F46ED">
        <w:t xml:space="preserve">that </w:t>
      </w:r>
      <w:r w:rsidR="00C266CF" w:rsidRPr="003F46ED">
        <w:t>include</w:t>
      </w:r>
      <w:r w:rsidR="00176523" w:rsidRPr="003F46ED">
        <w:t xml:space="preserve"> language</w:t>
      </w:r>
      <w:r w:rsidR="001B0FA6" w:rsidRPr="003F46ED">
        <w:t>s</w:t>
      </w:r>
      <w:r w:rsidR="00176523" w:rsidRPr="003F46ED">
        <w:t xml:space="preserve"> </w:t>
      </w:r>
      <w:r w:rsidRPr="003F46ED">
        <w:t xml:space="preserve">appear to be the </w:t>
      </w:r>
      <w:r w:rsidRPr="003F46ED">
        <w:rPr>
          <w:i/>
        </w:rPr>
        <w:t>most powerful lever</w:t>
      </w:r>
      <w:r w:rsidRPr="003F46ED">
        <w:t xml:space="preserve"> in enabling or inhibiting the study of languages at senior secondary level.</w:t>
      </w:r>
      <w:bookmarkEnd w:id="423"/>
    </w:p>
    <w:p w14:paraId="5528D8F6" w14:textId="77777777" w:rsidR="005E27DF" w:rsidRPr="003F46ED" w:rsidRDefault="005E27DF" w:rsidP="00B30583">
      <w:pPr>
        <w:sectPr w:rsidR="005E27DF" w:rsidRPr="003F46ED" w:rsidSect="00665CB6">
          <w:pgSz w:w="11900" w:h="16840"/>
          <w:pgMar w:top="1985" w:right="1134" w:bottom="1440" w:left="1134" w:header="709" w:footer="709" w:gutter="0"/>
          <w:cols w:space="720"/>
          <w:docGrid w:linePitch="299"/>
        </w:sectPr>
      </w:pPr>
    </w:p>
    <w:p w14:paraId="6CB0F72C" w14:textId="77777777" w:rsidR="007B1D45" w:rsidRPr="003F46ED" w:rsidRDefault="0012059A" w:rsidP="00880FD8">
      <w:pPr>
        <w:pStyle w:val="Heading1"/>
      </w:pPr>
      <w:bookmarkStart w:id="424" w:name="_Toc273790543"/>
      <w:bookmarkStart w:id="425" w:name="_Toc402180639"/>
      <w:bookmarkStart w:id="426" w:name="_Toc276245094"/>
      <w:bookmarkStart w:id="427" w:name="_Toc445305264"/>
      <w:r w:rsidRPr="003F46ED">
        <w:lastRenderedPageBreak/>
        <w:t>4. K</w:t>
      </w:r>
      <w:r w:rsidR="00CD728E" w:rsidRPr="003F46ED">
        <w:t>ey findings and recommendations</w:t>
      </w:r>
      <w:bookmarkEnd w:id="424"/>
      <w:bookmarkEnd w:id="425"/>
      <w:bookmarkEnd w:id="426"/>
      <w:bookmarkEnd w:id="427"/>
    </w:p>
    <w:p w14:paraId="5A8FEA66" w14:textId="77777777" w:rsidR="0095263A" w:rsidRPr="003F46ED" w:rsidRDefault="0095263A" w:rsidP="00B30583">
      <w:bookmarkStart w:id="428" w:name="_Toc402180640"/>
      <w:r w:rsidRPr="003F46ED">
        <w:t xml:space="preserve">This section </w:t>
      </w:r>
      <w:r w:rsidR="00F751B7" w:rsidRPr="003F46ED">
        <w:t>discusses</w:t>
      </w:r>
      <w:r w:rsidRPr="003F46ED">
        <w:t xml:space="preserve"> the key </w:t>
      </w:r>
      <w:r w:rsidR="00F751B7" w:rsidRPr="003F46ED">
        <w:t xml:space="preserve">research </w:t>
      </w:r>
      <w:r w:rsidRPr="003F46ED">
        <w:t xml:space="preserve">findings </w:t>
      </w:r>
      <w:r w:rsidR="00FF71CB" w:rsidRPr="003F46ED">
        <w:t xml:space="preserve">and proposes recommendations based on these findings. The findings have been identified </w:t>
      </w:r>
      <w:r w:rsidR="00AE49ED" w:rsidRPr="003F46ED">
        <w:t>via</w:t>
      </w:r>
      <w:r w:rsidR="00FF71CB" w:rsidRPr="003F46ED">
        <w:t xml:space="preserve"> triangulation </w:t>
      </w:r>
      <w:r w:rsidR="00AE49ED" w:rsidRPr="003F46ED">
        <w:t xml:space="preserve">of </w:t>
      </w:r>
      <w:r w:rsidR="00FF71CB" w:rsidRPr="003F46ED">
        <w:t>key messages and issues raised in the consultations</w:t>
      </w:r>
      <w:r w:rsidR="00075A8D" w:rsidRPr="003F46ED">
        <w:t xml:space="preserve"> </w:t>
      </w:r>
      <w:r w:rsidR="00FF71CB" w:rsidRPr="003F46ED">
        <w:t>with</w:t>
      </w:r>
      <w:r w:rsidR="00FF71CB" w:rsidRPr="003F46ED">
        <w:rPr>
          <w:i/>
        </w:rPr>
        <w:t xml:space="preserve"> </w:t>
      </w:r>
      <w:r w:rsidR="00FF71CB" w:rsidRPr="003F46ED">
        <w:t>results from:</w:t>
      </w:r>
      <w:bookmarkEnd w:id="428"/>
    </w:p>
    <w:p w14:paraId="5E2038AC" w14:textId="77777777" w:rsidR="00FF71CB" w:rsidRPr="003F46ED" w:rsidRDefault="00FF71CB" w:rsidP="00715217">
      <w:pPr>
        <w:pStyle w:val="ListParagraph"/>
        <w:ind w:left="360"/>
      </w:pPr>
      <w:bookmarkStart w:id="429" w:name="_Toc402180641"/>
      <w:r w:rsidRPr="003F46ED">
        <w:t>the policy and literature review</w:t>
      </w:r>
      <w:r w:rsidR="00017EB6" w:rsidRPr="003F46ED">
        <w:t xml:space="preserve"> (Attachment 1)</w:t>
      </w:r>
      <w:r w:rsidR="00C3000C" w:rsidRPr="003F46ED">
        <w:t xml:space="preserve">, supplemented with </w:t>
      </w:r>
      <w:r w:rsidR="00804E7C" w:rsidRPr="003F46ED">
        <w:t xml:space="preserve">observations from </w:t>
      </w:r>
      <w:r w:rsidR="00B930B9" w:rsidRPr="003F46ED">
        <w:t xml:space="preserve">the research literature on senior secondary </w:t>
      </w:r>
      <w:r w:rsidR="00804E7C" w:rsidRPr="003F46ED">
        <w:t xml:space="preserve">subject choice </w:t>
      </w:r>
      <w:r w:rsidR="00AC4B39" w:rsidRPr="003F46ED">
        <w:t>and Year 12</w:t>
      </w:r>
      <w:r w:rsidR="00804E7C" w:rsidRPr="003F46ED">
        <w:t xml:space="preserve"> </w:t>
      </w:r>
      <w:r w:rsidR="003D5C86" w:rsidRPr="003F46ED">
        <w:t xml:space="preserve">student </w:t>
      </w:r>
      <w:r w:rsidR="00D81B08" w:rsidRPr="003F46ED">
        <w:t>data</w:t>
      </w:r>
      <w:bookmarkEnd w:id="429"/>
    </w:p>
    <w:p w14:paraId="152B14B9" w14:textId="77777777" w:rsidR="00FF71CB" w:rsidRPr="003F46ED" w:rsidRDefault="00FF71CB" w:rsidP="00715217">
      <w:pPr>
        <w:pStyle w:val="ListParagraph"/>
        <w:ind w:left="360"/>
      </w:pPr>
      <w:bookmarkStart w:id="430" w:name="_Toc402180642"/>
      <w:r w:rsidRPr="003F46ED">
        <w:t>the student, parent and principal surveys</w:t>
      </w:r>
      <w:r w:rsidR="00017EB6" w:rsidRPr="003F46ED">
        <w:t xml:space="preserve"> (Attachment 2)</w:t>
      </w:r>
      <w:bookmarkEnd w:id="430"/>
    </w:p>
    <w:p w14:paraId="1E405EEF" w14:textId="77777777" w:rsidR="007B1D45" w:rsidRPr="003F46ED" w:rsidRDefault="003319AF" w:rsidP="00715217">
      <w:pPr>
        <w:pStyle w:val="ListParagraph"/>
        <w:ind w:left="360"/>
      </w:pPr>
      <w:bookmarkStart w:id="431" w:name="_Toc402180643"/>
      <w:proofErr w:type="gramStart"/>
      <w:r w:rsidRPr="003F46ED">
        <w:t>the</w:t>
      </w:r>
      <w:proofErr w:type="gramEnd"/>
      <w:r w:rsidRPr="003F46ED">
        <w:t xml:space="preserve"> Spence-Brown case study of Japanese language</w:t>
      </w:r>
      <w:r w:rsidR="00C27142" w:rsidRPr="003F46ED">
        <w:t xml:space="preserve"> in senior secondary</w:t>
      </w:r>
      <w:r w:rsidR="00017EB6" w:rsidRPr="003F46ED">
        <w:t xml:space="preserve"> (Attachment 3)</w:t>
      </w:r>
      <w:r w:rsidRPr="003F46ED">
        <w:t>.</w:t>
      </w:r>
      <w:bookmarkEnd w:id="431"/>
    </w:p>
    <w:p w14:paraId="18E0EAE5" w14:textId="77777777" w:rsidR="007B1D45" w:rsidRPr="003F46ED" w:rsidRDefault="00FB2A71" w:rsidP="00B30583">
      <w:bookmarkStart w:id="432" w:name="_Toc402180644"/>
      <w:r w:rsidRPr="003F46ED">
        <w:t xml:space="preserve">This triangulation was conducted </w:t>
      </w:r>
      <w:r w:rsidR="003925B3" w:rsidRPr="003F46ED">
        <w:t>using</w:t>
      </w:r>
      <w:r w:rsidR="00C04037" w:rsidRPr="003F46ED">
        <w:t xml:space="preserve"> </w:t>
      </w:r>
      <w:r w:rsidRPr="003F46ED">
        <w:t>the analytical lens described in the ‘Research design’ sect</w:t>
      </w:r>
      <w:r w:rsidR="00D427BA" w:rsidRPr="003F46ED">
        <w:t>ion (see Figure 2</w:t>
      </w:r>
      <w:r w:rsidRPr="003F46ED">
        <w:t>.2).</w:t>
      </w:r>
      <w:r w:rsidR="003C7EC0" w:rsidRPr="003F46ED">
        <w:t xml:space="preserve"> </w:t>
      </w:r>
      <w:r w:rsidR="00075A8D" w:rsidRPr="003F46ED">
        <w:t xml:space="preserve">The corroborating results from the </w:t>
      </w:r>
      <w:r w:rsidR="00761B5B" w:rsidRPr="003F46ED">
        <w:t xml:space="preserve">different data sources underscore </w:t>
      </w:r>
      <w:r w:rsidR="00075A8D" w:rsidRPr="003F46ED">
        <w:t>t</w:t>
      </w:r>
      <w:r w:rsidR="003C7EC0" w:rsidRPr="003F46ED">
        <w:t>he robustness of this research and the strength of its findings and recommendations.</w:t>
      </w:r>
      <w:bookmarkEnd w:id="432"/>
    </w:p>
    <w:p w14:paraId="238B2482" w14:textId="77777777" w:rsidR="007B1D45" w:rsidRPr="003F46ED" w:rsidRDefault="00F04C3F" w:rsidP="00B30583">
      <w:bookmarkStart w:id="433" w:name="_Toc402180645"/>
      <w:r w:rsidRPr="003F46ED">
        <w:rPr>
          <w:iCs/>
        </w:rPr>
        <w:t>The recommendations focus on policy and</w:t>
      </w:r>
      <w:r w:rsidR="0029753D" w:rsidRPr="003F46ED">
        <w:rPr>
          <w:iCs/>
        </w:rPr>
        <w:t>/or</w:t>
      </w:r>
      <w:r w:rsidRPr="003F46ED">
        <w:rPr>
          <w:iCs/>
        </w:rPr>
        <w:t xml:space="preserve"> structural enablers rather than programme-based funding. </w:t>
      </w:r>
      <w:r w:rsidR="004410DC" w:rsidRPr="003F46ED">
        <w:t xml:space="preserve">As per project </w:t>
      </w:r>
      <w:r w:rsidR="005447D3" w:rsidRPr="003F46ED">
        <w:t>specifications</w:t>
      </w:r>
      <w:r w:rsidR="005C37C4" w:rsidRPr="003F46ED">
        <w:t>, the recommendatio</w:t>
      </w:r>
      <w:r w:rsidR="00A8509F" w:rsidRPr="003F46ED">
        <w:t>ns are intended for Australian g</w:t>
      </w:r>
      <w:r w:rsidR="005C37C4" w:rsidRPr="003F46ED">
        <w:t>ov</w:t>
      </w:r>
      <w:r w:rsidR="006B1128" w:rsidRPr="003F46ED">
        <w:t xml:space="preserve">ernments, specifying what actions they can practically take </w:t>
      </w:r>
      <w:r w:rsidR="006B1128" w:rsidRPr="003F46ED">
        <w:rPr>
          <w:rFonts w:cs="Calibri"/>
        </w:rPr>
        <w:t>to enable and encourage more students to study languages in the senior secondary years.</w:t>
      </w:r>
      <w:bookmarkEnd w:id="433"/>
      <w:r w:rsidR="005C37C4" w:rsidRPr="003F46ED">
        <w:t xml:space="preserve"> </w:t>
      </w:r>
    </w:p>
    <w:p w14:paraId="3C5A0FB9" w14:textId="77777777" w:rsidR="007B1D45" w:rsidRPr="003F46ED" w:rsidRDefault="00285055" w:rsidP="00527947">
      <w:pPr>
        <w:pStyle w:val="Heading2"/>
      </w:pPr>
      <w:bookmarkStart w:id="434" w:name="_Toc273790544"/>
      <w:bookmarkStart w:id="435" w:name="_Toc402180646"/>
      <w:bookmarkStart w:id="436" w:name="_Toc445305265"/>
      <w:r w:rsidRPr="003F46ED">
        <w:t>S</w:t>
      </w:r>
      <w:r w:rsidR="00FD75D0" w:rsidRPr="003F46ED">
        <w:t>cope</w:t>
      </w:r>
      <w:bookmarkEnd w:id="434"/>
      <w:bookmarkEnd w:id="435"/>
      <w:bookmarkEnd w:id="436"/>
    </w:p>
    <w:p w14:paraId="10EADA93" w14:textId="77777777" w:rsidR="007B1D45" w:rsidRPr="003F46ED" w:rsidRDefault="0081570D" w:rsidP="00527947">
      <w:pPr>
        <w:pStyle w:val="Heading3"/>
      </w:pPr>
      <w:bookmarkStart w:id="437" w:name="_Toc402180647"/>
      <w:r w:rsidRPr="003F46ED">
        <w:t xml:space="preserve">Years 11 and 12 </w:t>
      </w:r>
      <w:r w:rsidRPr="003F46ED">
        <w:rPr>
          <w:i/>
        </w:rPr>
        <w:t>and</w:t>
      </w:r>
      <w:r w:rsidR="000E7F15" w:rsidRPr="003F46ED">
        <w:t xml:space="preserve"> the Early Y</w:t>
      </w:r>
      <w:r w:rsidR="004949D9" w:rsidRPr="003F46ED">
        <w:t>ears</w:t>
      </w:r>
      <w:r w:rsidR="00923400" w:rsidRPr="003F46ED">
        <w:t xml:space="preserve"> to </w:t>
      </w:r>
      <w:r w:rsidRPr="003F46ED">
        <w:t>Year 10 ‘pipeline’</w:t>
      </w:r>
      <w:bookmarkEnd w:id="437"/>
    </w:p>
    <w:p w14:paraId="728B0535" w14:textId="77777777" w:rsidR="007B1D45" w:rsidRPr="003F46ED" w:rsidRDefault="0081570D" w:rsidP="00B30583">
      <w:bookmarkStart w:id="438" w:name="_Toc402180648"/>
      <w:r w:rsidRPr="003F46ED">
        <w:t>An expanded pipeline of interested and engaged language learners</w:t>
      </w:r>
      <w:r w:rsidR="00967553" w:rsidRPr="003F46ED">
        <w:t xml:space="preserve"> </w:t>
      </w:r>
      <w:r w:rsidRPr="003F46ED">
        <w:t>will enable more students to consider studying a language at Years 11 and 12. Like all learning areas, building and sustaining student interest and engagement is reliant on provision of, and access to, high quality programmes.</w:t>
      </w:r>
      <w:r w:rsidR="00B07D66" w:rsidRPr="003F46ED">
        <w:t xml:space="preserve"> </w:t>
      </w:r>
      <w:r w:rsidRPr="003F46ED">
        <w:t>But</w:t>
      </w:r>
      <w:r w:rsidR="00687E60" w:rsidRPr="003F46ED">
        <w:t xml:space="preserve">, as </w:t>
      </w:r>
      <w:r w:rsidR="008D79B3" w:rsidRPr="003F46ED">
        <w:t xml:space="preserve">some of </w:t>
      </w:r>
      <w:r w:rsidR="00687E60" w:rsidRPr="003F46ED">
        <w:t xml:space="preserve">the key findings </w:t>
      </w:r>
      <w:r w:rsidR="008D79B3" w:rsidRPr="003F46ED">
        <w:t>below</w:t>
      </w:r>
      <w:r w:rsidR="00687E60" w:rsidRPr="003F46ED">
        <w:t xml:space="preserve"> indicate,</w:t>
      </w:r>
      <w:r w:rsidRPr="003F46ED">
        <w:t xml:space="preserve"> a strong pipeline</w:t>
      </w:r>
      <w:r w:rsidR="00687E60" w:rsidRPr="003F46ED">
        <w:t xml:space="preserve"> </w:t>
      </w:r>
      <w:r w:rsidR="00C34F6E" w:rsidRPr="003F46ED">
        <w:t>alone</w:t>
      </w:r>
      <w:r w:rsidRPr="003F46ED">
        <w:t xml:space="preserve"> will not guarantee increased senior secondary </w:t>
      </w:r>
      <w:r w:rsidR="008D79B3" w:rsidRPr="003F46ED">
        <w:t>languages</w:t>
      </w:r>
      <w:r w:rsidR="00EA58EB" w:rsidRPr="003F46ED">
        <w:t xml:space="preserve"> enrolments</w:t>
      </w:r>
      <w:r w:rsidRPr="003F46ED">
        <w:t>. Specific enablers and barriers pertaining to the nature of senior secondary education in Australia impact</w:t>
      </w:r>
      <w:r w:rsidR="00B07D66" w:rsidRPr="003F46ED">
        <w:t xml:space="preserve"> considerably</w:t>
      </w:r>
      <w:r w:rsidRPr="003F46ED">
        <w:t xml:space="preserve"> on enrolment numbers.</w:t>
      </w:r>
      <w:bookmarkEnd w:id="438"/>
      <w:r w:rsidRPr="003F46ED">
        <w:t xml:space="preserve"> </w:t>
      </w:r>
    </w:p>
    <w:p w14:paraId="55F9A67C" w14:textId="77777777" w:rsidR="007B1D45" w:rsidRPr="003F46ED" w:rsidRDefault="0081570D" w:rsidP="00527947">
      <w:pPr>
        <w:pStyle w:val="Heading3"/>
      </w:pPr>
      <w:bookmarkStart w:id="439" w:name="_Toc402180649"/>
      <w:r w:rsidRPr="003F46ED">
        <w:t>Beginners and continuers</w:t>
      </w:r>
      <w:bookmarkEnd w:id="439"/>
    </w:p>
    <w:p w14:paraId="49349102" w14:textId="77777777" w:rsidR="007B1D45" w:rsidRPr="003F46ED" w:rsidRDefault="00AF6754" w:rsidP="00B30583">
      <w:bookmarkStart w:id="440" w:name="_Toc402180650"/>
      <w:r w:rsidRPr="003F46ED">
        <w:t>Encouraging and e</w:t>
      </w:r>
      <w:r w:rsidR="0081570D" w:rsidRPr="003F46ED">
        <w:t>nabling more senior secondary students to study languages is broader than</w:t>
      </w:r>
      <w:r w:rsidR="00771AED" w:rsidRPr="003F46ED">
        <w:t xml:space="preserve"> the notion of</w:t>
      </w:r>
      <w:r w:rsidR="0081570D" w:rsidRPr="003F46ED">
        <w:t xml:space="preserve"> </w:t>
      </w:r>
      <w:r w:rsidR="004D3EEB" w:rsidRPr="003F46ED">
        <w:t>student</w:t>
      </w:r>
      <w:r w:rsidR="00E608EF" w:rsidRPr="003F46ED">
        <w:t xml:space="preserve"> ‘continuity’</w:t>
      </w:r>
      <w:r w:rsidR="00A2796C" w:rsidRPr="003F46ED">
        <w:t xml:space="preserve"> </w:t>
      </w:r>
      <w:r w:rsidR="00E608EF" w:rsidRPr="003F46ED">
        <w:t>from the Early Y</w:t>
      </w:r>
      <w:r w:rsidR="0081570D" w:rsidRPr="003F46ED">
        <w:t>ears to Year 10</w:t>
      </w:r>
      <w:r w:rsidR="003C0BFE" w:rsidRPr="003F46ED">
        <w:t xml:space="preserve"> or ‘retention’ into</w:t>
      </w:r>
      <w:r w:rsidR="00A70D88" w:rsidRPr="003F46ED">
        <w:t xml:space="preserve"> senior secondary</w:t>
      </w:r>
      <w:r w:rsidR="0081570D" w:rsidRPr="003F46ED">
        <w:t>. O</w:t>
      </w:r>
      <w:r w:rsidR="005B7B6E" w:rsidRPr="003F46ED">
        <w:t xml:space="preserve">pportunities for students to </w:t>
      </w:r>
      <w:r w:rsidR="0081570D" w:rsidRPr="003F46ED">
        <w:t>recommence, start a completely new language</w:t>
      </w:r>
      <w:r w:rsidR="005B7B6E" w:rsidRPr="003F46ED">
        <w:t>,</w:t>
      </w:r>
      <w:r w:rsidR="0081570D" w:rsidRPr="003F46ED">
        <w:t xml:space="preserve"> or gain specific language accred</w:t>
      </w:r>
      <w:r w:rsidR="005B7B6E" w:rsidRPr="003F46ED">
        <w:t>itation in a non-school context</w:t>
      </w:r>
      <w:r w:rsidR="0081570D" w:rsidRPr="003F46ED">
        <w:t xml:space="preserve"> in Year</w:t>
      </w:r>
      <w:r w:rsidR="00BD145A" w:rsidRPr="003F46ED">
        <w:t>s</w:t>
      </w:r>
      <w:r w:rsidR="0081570D" w:rsidRPr="003F46ED">
        <w:t xml:space="preserve"> 11 and 12</w:t>
      </w:r>
      <w:r w:rsidR="0070473C" w:rsidRPr="003F46ED">
        <w:t xml:space="preserve"> have </w:t>
      </w:r>
      <w:r w:rsidR="005B7B6E" w:rsidRPr="003F46ED">
        <w:t xml:space="preserve">also </w:t>
      </w:r>
      <w:r w:rsidR="0070473C" w:rsidRPr="003F46ED">
        <w:t>been taken into account in this research</w:t>
      </w:r>
      <w:r w:rsidR="0081570D" w:rsidRPr="003F46ED">
        <w:t>.</w:t>
      </w:r>
      <w:bookmarkEnd w:id="440"/>
      <w:r w:rsidR="0081570D" w:rsidRPr="003F46ED">
        <w:t xml:space="preserve"> </w:t>
      </w:r>
    </w:p>
    <w:p w14:paraId="5CD73CB7" w14:textId="77777777" w:rsidR="007B1D45" w:rsidRPr="003F46ED" w:rsidRDefault="0081570D" w:rsidP="00527947">
      <w:pPr>
        <w:pStyle w:val="Heading3"/>
      </w:pPr>
      <w:bookmarkStart w:id="441" w:name="_Toc402180651"/>
      <w:r w:rsidRPr="003F46ED">
        <w:t>Tailored solutions for different languages</w:t>
      </w:r>
      <w:bookmarkEnd w:id="441"/>
    </w:p>
    <w:p w14:paraId="047F8462" w14:textId="77777777" w:rsidR="007B1D45" w:rsidRPr="003F46ED" w:rsidRDefault="0081570D" w:rsidP="00B30583">
      <w:bookmarkStart w:id="442" w:name="_Toc402180652"/>
      <w:r w:rsidRPr="003F46ED">
        <w:t xml:space="preserve">This research is broad in nature and </w:t>
      </w:r>
      <w:r w:rsidR="00EC7189" w:rsidRPr="003F46ED">
        <w:t>did not</w:t>
      </w:r>
      <w:r w:rsidRPr="003F46ED">
        <w:t xml:space="preserve"> study in-depth retention issues relevant to </w:t>
      </w:r>
      <w:r w:rsidR="00344311" w:rsidRPr="003F46ED">
        <w:t xml:space="preserve">specific </w:t>
      </w:r>
      <w:r w:rsidRPr="003F46ED">
        <w:t>languages.</w:t>
      </w:r>
      <w:r w:rsidR="009F34B8" w:rsidRPr="003F46ED">
        <w:t xml:space="preserve"> The recommendations are pitched at a macro level, targeted specifically at </w:t>
      </w:r>
      <w:r w:rsidR="002956CB" w:rsidRPr="003F46ED">
        <w:t>increasing</w:t>
      </w:r>
      <w:r w:rsidR="009F34B8" w:rsidRPr="003F46ED">
        <w:t xml:space="preserve"> </w:t>
      </w:r>
      <w:r w:rsidR="001801B3" w:rsidRPr="003F46ED">
        <w:t xml:space="preserve">overall </w:t>
      </w:r>
      <w:r w:rsidR="009F34B8" w:rsidRPr="003F46ED">
        <w:t xml:space="preserve">enrolment numbers in </w:t>
      </w:r>
      <w:r w:rsidR="001801B3" w:rsidRPr="003F46ED">
        <w:t>senior secondary languages</w:t>
      </w:r>
      <w:r w:rsidR="009F34B8" w:rsidRPr="003F46ED">
        <w:t>.</w:t>
      </w:r>
      <w:bookmarkEnd w:id="442"/>
      <w:r w:rsidRPr="003F46ED">
        <w:t xml:space="preserve"> </w:t>
      </w:r>
    </w:p>
    <w:p w14:paraId="2F585425" w14:textId="77777777" w:rsidR="007B1D45" w:rsidRPr="003F46ED" w:rsidRDefault="009F34B8" w:rsidP="00B30583">
      <w:bookmarkStart w:id="443" w:name="_Toc402180653"/>
      <w:r w:rsidRPr="003F46ED">
        <w:t xml:space="preserve">Nonetheless, the research acknowledges that </w:t>
      </w:r>
      <w:r w:rsidR="0081570D" w:rsidRPr="003F46ED">
        <w:t>issues</w:t>
      </w:r>
      <w:r w:rsidRPr="003F46ED">
        <w:t xml:space="preserve"> specific to different languages</w:t>
      </w:r>
      <w:r w:rsidR="0081570D" w:rsidRPr="003F46ED">
        <w:t xml:space="preserve"> </w:t>
      </w:r>
      <w:r w:rsidR="00B74CC7" w:rsidRPr="003F46ED">
        <w:t>can be</w:t>
      </w:r>
      <w:r w:rsidR="0081570D" w:rsidRPr="003F46ED">
        <w:t xml:space="preserve"> critical to student choice</w:t>
      </w:r>
      <w:r w:rsidR="001801B3" w:rsidRPr="003F46ED">
        <w:t xml:space="preserve"> of,</w:t>
      </w:r>
      <w:r w:rsidR="0081570D" w:rsidRPr="003F46ED">
        <w:t xml:space="preserve"> and access to</w:t>
      </w:r>
      <w:r w:rsidR="001801B3" w:rsidRPr="003F46ED">
        <w:t>,</w:t>
      </w:r>
      <w:r w:rsidR="0081570D" w:rsidRPr="003F46ED">
        <w:t xml:space="preserve"> a particular language. The </w:t>
      </w:r>
      <w:r w:rsidR="001801B3" w:rsidRPr="003F46ED">
        <w:t xml:space="preserve">Spence-Brown </w:t>
      </w:r>
      <w:r w:rsidR="0081570D" w:rsidRPr="003F46ED">
        <w:t xml:space="preserve">case study of Japanese makes a valuable contribution to better understanding this. </w:t>
      </w:r>
      <w:r w:rsidR="00EB5877" w:rsidRPr="003F46ED">
        <w:t>Further work will be required to tailor specific solutions for specific languages</w:t>
      </w:r>
      <w:r w:rsidR="00CD2C13" w:rsidRPr="003F46ED">
        <w:t>.</w:t>
      </w:r>
      <w:bookmarkEnd w:id="443"/>
    </w:p>
    <w:p w14:paraId="35AA344D" w14:textId="77777777" w:rsidR="007B1D45" w:rsidRPr="003F46ED" w:rsidRDefault="00285055" w:rsidP="00076CCC">
      <w:pPr>
        <w:pStyle w:val="Heading2"/>
      </w:pPr>
      <w:bookmarkStart w:id="444" w:name="_Toc273790545"/>
      <w:bookmarkStart w:id="445" w:name="_Toc402180654"/>
      <w:bookmarkStart w:id="446" w:name="_Toc445305266"/>
      <w:r w:rsidRPr="003F46ED">
        <w:lastRenderedPageBreak/>
        <w:t>F</w:t>
      </w:r>
      <w:r w:rsidR="00FD75D0" w:rsidRPr="003F46ED">
        <w:t>ocus</w:t>
      </w:r>
      <w:bookmarkEnd w:id="444"/>
      <w:bookmarkEnd w:id="445"/>
      <w:bookmarkEnd w:id="446"/>
    </w:p>
    <w:p w14:paraId="2745594F" w14:textId="77777777" w:rsidR="007B1D45" w:rsidRPr="003F46ED" w:rsidRDefault="00362411" w:rsidP="00527947">
      <w:pPr>
        <w:pStyle w:val="Heading3"/>
      </w:pPr>
      <w:bookmarkStart w:id="447" w:name="_Toc402180655"/>
      <w:r w:rsidRPr="003F46ED">
        <w:t>Senior secondary subject choice</w:t>
      </w:r>
      <w:bookmarkEnd w:id="447"/>
    </w:p>
    <w:p w14:paraId="0798C7E7" w14:textId="77777777" w:rsidR="007B1D45" w:rsidRPr="003F46ED" w:rsidRDefault="00E71D02" w:rsidP="00B30583">
      <w:bookmarkStart w:id="448" w:name="_Toc402180656"/>
      <w:r w:rsidRPr="003F46ED">
        <w:t xml:space="preserve">This research has focused on the factors influencing students’ decision-making processes to explore why they exclude, or include, </w:t>
      </w:r>
      <w:r w:rsidR="009847D5" w:rsidRPr="003F46ED">
        <w:t xml:space="preserve">language </w:t>
      </w:r>
      <w:r w:rsidRPr="003F46ED">
        <w:t>study in their</w:t>
      </w:r>
      <w:r w:rsidR="009847D5" w:rsidRPr="003F46ED">
        <w:t xml:space="preserve"> senior secondary</w:t>
      </w:r>
      <w:r w:rsidRPr="003F46ED">
        <w:t xml:space="preserve"> subject combinations. </w:t>
      </w:r>
      <w:r w:rsidR="00362411" w:rsidRPr="003F46ED">
        <w:t>In Australia</w:t>
      </w:r>
      <w:r w:rsidR="0054026C" w:rsidRPr="003F46ED">
        <w:t>,</w:t>
      </w:r>
      <w:r w:rsidR="00362411" w:rsidRPr="003F46ED">
        <w:t xml:space="preserve"> students choose from a wide range of subjects for senior certification. Languages sit alongside up to eight other learning areas, with each area offering a range of subjects.</w:t>
      </w:r>
      <w:bookmarkEnd w:id="448"/>
      <w:r w:rsidR="00362411" w:rsidRPr="003F46ED">
        <w:t xml:space="preserve"> </w:t>
      </w:r>
      <w:r w:rsidR="000068A3" w:rsidRPr="003F46ED">
        <w:t xml:space="preserve">Hence, </w:t>
      </w:r>
      <w:bookmarkStart w:id="449" w:name="_Toc402180657"/>
      <w:r w:rsidR="000068A3" w:rsidRPr="003F46ED">
        <w:t>‘c</w:t>
      </w:r>
      <w:r w:rsidR="00362411" w:rsidRPr="003F46ED">
        <w:t xml:space="preserve">hoice’ </w:t>
      </w:r>
      <w:r w:rsidR="002E4448" w:rsidRPr="003F46ED">
        <w:t>appears to be</w:t>
      </w:r>
      <w:r w:rsidR="00362411" w:rsidRPr="003F46ED">
        <w:t xml:space="preserve"> </w:t>
      </w:r>
      <w:r w:rsidR="002D1826" w:rsidRPr="003F46ED">
        <w:t>one of the underlying</w:t>
      </w:r>
      <w:r w:rsidR="002E4448" w:rsidRPr="003F46ED">
        <w:t xml:space="preserve"> </w:t>
      </w:r>
      <w:r w:rsidR="00362411" w:rsidRPr="003F46ED">
        <w:t>problem</w:t>
      </w:r>
      <w:r w:rsidR="002D1826" w:rsidRPr="003F46ED">
        <w:t>s</w:t>
      </w:r>
      <w:r w:rsidR="00362411" w:rsidRPr="003F46ED">
        <w:t xml:space="preserve"> for languages. Languages enrolments at the senior secondary level are the lowest by far of any learning area nationally.</w:t>
      </w:r>
      <w:bookmarkEnd w:id="449"/>
    </w:p>
    <w:p w14:paraId="3AC1B0EB" w14:textId="77777777" w:rsidR="007B1D45" w:rsidRPr="003F46ED" w:rsidRDefault="007A66E5" w:rsidP="00B30583">
      <w:bookmarkStart w:id="450" w:name="_Toc402180658"/>
      <w:r w:rsidRPr="003F46ED">
        <w:t>Understanding exactly why</w:t>
      </w:r>
      <w:r w:rsidR="00A148FA" w:rsidRPr="003F46ED">
        <w:t xml:space="preserve"> students</w:t>
      </w:r>
      <w:r w:rsidRPr="003F46ED">
        <w:t xml:space="preserve"> </w:t>
      </w:r>
      <w:r w:rsidR="00A148FA" w:rsidRPr="003F46ED">
        <w:t xml:space="preserve">choose to study, or not study, </w:t>
      </w:r>
      <w:r w:rsidR="00A8133A" w:rsidRPr="003F46ED">
        <w:t xml:space="preserve">a language in </w:t>
      </w:r>
      <w:r w:rsidR="00F77CBD" w:rsidRPr="003F46ED">
        <w:t xml:space="preserve">the </w:t>
      </w:r>
      <w:r w:rsidR="00A8133A" w:rsidRPr="003F46ED">
        <w:t>senior secondary</w:t>
      </w:r>
      <w:r w:rsidR="00F77CBD" w:rsidRPr="003F46ED">
        <w:t xml:space="preserve"> years</w:t>
      </w:r>
      <w:r w:rsidR="00A8133A" w:rsidRPr="003F46ED">
        <w:t xml:space="preserve"> is</w:t>
      </w:r>
      <w:r w:rsidR="00A148FA" w:rsidRPr="003F46ED">
        <w:t xml:space="preserve"> challenging</w:t>
      </w:r>
      <w:r w:rsidR="00D12095" w:rsidRPr="003F46ED">
        <w:t>. Even though</w:t>
      </w:r>
      <w:r w:rsidR="006C464B" w:rsidRPr="003F46ED">
        <w:t xml:space="preserve"> possible influencers can be categorised and</w:t>
      </w:r>
      <w:r w:rsidR="00D12095" w:rsidRPr="003F46ED">
        <w:t xml:space="preserve"> broad subject choice patterns pertaining to languages can be observed, </w:t>
      </w:r>
      <w:r w:rsidR="007147E1" w:rsidRPr="003F46ED">
        <w:t>individual student choices</w:t>
      </w:r>
      <w:r w:rsidR="00995F91" w:rsidRPr="003F46ED">
        <w:t xml:space="preserve"> are technically variables in and of themselves</w:t>
      </w:r>
      <w:r w:rsidR="00D12095" w:rsidRPr="003F46ED">
        <w:t>.</w:t>
      </w:r>
      <w:r w:rsidR="00BB5B09" w:rsidRPr="003F46ED">
        <w:t xml:space="preserve"> This is </w:t>
      </w:r>
      <w:r w:rsidR="00A8133A" w:rsidRPr="003F46ED">
        <w:t>why</w:t>
      </w:r>
      <w:r w:rsidR="00BB5B09" w:rsidRPr="003F46ED">
        <w:t xml:space="preserve"> building </w:t>
      </w:r>
      <w:r w:rsidR="00AD6783" w:rsidRPr="003F46ED">
        <w:t xml:space="preserve">and sustaining </w:t>
      </w:r>
      <w:r w:rsidR="00BB5B09" w:rsidRPr="003F46ED">
        <w:t xml:space="preserve">student demand for languages </w:t>
      </w:r>
      <w:r w:rsidR="00667B98" w:rsidRPr="003F46ED">
        <w:t>ha</w:t>
      </w:r>
      <w:r w:rsidR="00912A16" w:rsidRPr="003F46ED">
        <w:t xml:space="preserve">s </w:t>
      </w:r>
      <w:r w:rsidR="00667B98" w:rsidRPr="003F46ED">
        <w:t xml:space="preserve">been </w:t>
      </w:r>
      <w:r w:rsidR="00BB5B09" w:rsidRPr="003F46ED">
        <w:t>such a complex issue</w:t>
      </w:r>
      <w:r w:rsidR="00667B98" w:rsidRPr="003F46ED">
        <w:t xml:space="preserve"> for so long in Australia</w:t>
      </w:r>
      <w:r w:rsidR="00BB5B09" w:rsidRPr="003F46ED">
        <w:t>.</w:t>
      </w:r>
      <w:bookmarkEnd w:id="450"/>
    </w:p>
    <w:p w14:paraId="18C8A7B0" w14:textId="0B3992CE" w:rsidR="00492513" w:rsidRPr="003F46ED" w:rsidRDefault="00362411" w:rsidP="00527947">
      <w:pPr>
        <w:pStyle w:val="Heading3"/>
      </w:pPr>
      <w:bookmarkStart w:id="451" w:name="_Toc402180659"/>
      <w:r w:rsidRPr="003F46ED">
        <w:t>Student, school and system interaction</w:t>
      </w:r>
      <w:bookmarkEnd w:id="451"/>
    </w:p>
    <w:p w14:paraId="0D93179F" w14:textId="7AE60068" w:rsidR="007B1D45" w:rsidRPr="003F46ED" w:rsidRDefault="00362411" w:rsidP="00B30583">
      <w:r w:rsidRPr="003F46ED">
        <w:t xml:space="preserve"> </w:t>
      </w:r>
      <w:bookmarkStart w:id="452" w:name="_Toc402180660"/>
      <w:r w:rsidRPr="003F46ED">
        <w:t xml:space="preserve">Research on what motivates students to study, or not study, </w:t>
      </w:r>
      <w:r w:rsidR="0004537E" w:rsidRPr="003F46ED">
        <w:t>a language at different stages of schooling has been extensive.</w:t>
      </w:r>
      <w:r w:rsidRPr="003F46ED">
        <w:t xml:space="preserve"> </w:t>
      </w:r>
      <w:r w:rsidR="0004537E" w:rsidRPr="003F46ED">
        <w:t xml:space="preserve">However, </w:t>
      </w:r>
      <w:r w:rsidRPr="003F46ED">
        <w:t xml:space="preserve">there has been limited attempt to understand this motivation </w:t>
      </w:r>
      <w:r w:rsidR="0004537E" w:rsidRPr="003F46ED">
        <w:t xml:space="preserve">in the context of </w:t>
      </w:r>
      <w:r w:rsidR="006602BC" w:rsidRPr="003F46ED">
        <w:t xml:space="preserve">senior secondary </w:t>
      </w:r>
      <w:r w:rsidR="0004537E" w:rsidRPr="003F46ED">
        <w:t>subject choice</w:t>
      </w:r>
      <w:r w:rsidR="006602BC" w:rsidRPr="003F46ED">
        <w:t xml:space="preserve"> </w:t>
      </w:r>
      <w:r w:rsidRPr="003F46ED">
        <w:t>in Australia.</w:t>
      </w:r>
      <w:bookmarkEnd w:id="452"/>
      <w:r w:rsidRPr="003F46ED">
        <w:t xml:space="preserve"> </w:t>
      </w:r>
    </w:p>
    <w:p w14:paraId="4F10767C" w14:textId="77777777" w:rsidR="007B1D45" w:rsidRPr="003F46ED" w:rsidRDefault="00D51512" w:rsidP="00B30583">
      <w:bookmarkStart w:id="453" w:name="_Toc402180661"/>
      <w:r w:rsidRPr="003F46ED">
        <w:t xml:space="preserve">This research has illustrated the interplay between the dynamics of senior secondary subject choice and the factors known to influence a students’ language study. Apart from English, which is mandatory, enrolment in all senior secondary learning areas is influenced by three </w:t>
      </w:r>
      <w:r w:rsidR="00CB4461" w:rsidRPr="003F46ED">
        <w:t>broad</w:t>
      </w:r>
      <w:r w:rsidRPr="003F46ED">
        <w:t xml:space="preserve"> </w:t>
      </w:r>
      <w:r w:rsidR="0035105A" w:rsidRPr="003F46ED">
        <w:t xml:space="preserve">groups of </w:t>
      </w:r>
      <w:r w:rsidRPr="003F46ED">
        <w:t>factors: the students themselves, the school and its community, and the education system (Figure 4.1).</w:t>
      </w:r>
      <w:bookmarkEnd w:id="453"/>
    </w:p>
    <w:p w14:paraId="6496B688" w14:textId="77777777" w:rsidR="007B1D45" w:rsidRPr="00BF296E" w:rsidRDefault="009641D0" w:rsidP="00BF296E">
      <w:pPr>
        <w:pStyle w:val="Caption"/>
        <w:rPr>
          <w:b/>
        </w:rPr>
      </w:pPr>
      <w:bookmarkStart w:id="454" w:name="_Toc402180663"/>
      <w:r w:rsidRPr="00BF296E" w:rsidDel="00DF57D7">
        <w:rPr>
          <w:b/>
        </w:rPr>
        <w:t xml:space="preserve">Figure 4.1: Three factors that </w:t>
      </w:r>
      <w:r w:rsidR="00DD43D9" w:rsidRPr="00BF296E">
        <w:rPr>
          <w:b/>
        </w:rPr>
        <w:t>interact</w:t>
      </w:r>
      <w:r w:rsidRPr="00BF296E" w:rsidDel="00DF57D7">
        <w:rPr>
          <w:b/>
        </w:rPr>
        <w:t xml:space="preserve"> to influence actual enrolment in senior secondary languages</w:t>
      </w:r>
      <w:bookmarkEnd w:id="454"/>
    </w:p>
    <w:p w14:paraId="362BAECE" w14:textId="44DDEA54" w:rsidR="00527947" w:rsidRPr="003F46ED" w:rsidRDefault="00527947" w:rsidP="00527947">
      <w:pPr>
        <w:jc w:val="center"/>
      </w:pPr>
      <w:r w:rsidRPr="003F46ED">
        <w:rPr>
          <w:noProof/>
          <w:lang w:eastAsia="en-AU"/>
        </w:rPr>
        <w:drawing>
          <wp:inline distT="0" distB="0" distL="0" distR="0" wp14:anchorId="10737C06" wp14:editId="3969AE0C">
            <wp:extent cx="2498501" cy="2286208"/>
            <wp:effectExtent l="0" t="0" r="0" b="0"/>
            <wp:docPr id="5" name="Picture 5" descr="Venn diagram showing three intersecting circles: student; school and community;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n.png"/>
                    <pic:cNvPicPr/>
                  </pic:nvPicPr>
                  <pic:blipFill>
                    <a:blip r:embed="rId17">
                      <a:extLst>
                        <a:ext uri="{28A0092B-C50C-407E-A947-70E740481C1C}">
                          <a14:useLocalDpi xmlns:a14="http://schemas.microsoft.com/office/drawing/2010/main" val="0"/>
                        </a:ext>
                      </a:extLst>
                    </a:blip>
                    <a:stretch>
                      <a:fillRect/>
                    </a:stretch>
                  </pic:blipFill>
                  <pic:spPr>
                    <a:xfrm>
                      <a:off x="0" y="0"/>
                      <a:ext cx="2516085" cy="2302298"/>
                    </a:xfrm>
                    <a:prstGeom prst="rect">
                      <a:avLst/>
                    </a:prstGeom>
                  </pic:spPr>
                </pic:pic>
              </a:graphicData>
            </a:graphic>
          </wp:inline>
        </w:drawing>
      </w:r>
    </w:p>
    <w:p w14:paraId="53B241DB" w14:textId="459E4A57" w:rsidR="0081570D" w:rsidRPr="003F46ED" w:rsidRDefault="00B31EA6" w:rsidP="00B30583">
      <w:pPr>
        <w:rPr>
          <w:rFonts w:ascii="Calibri" w:hAnsi="Calibri"/>
          <w:iCs/>
        </w:rPr>
      </w:pPr>
      <w:bookmarkStart w:id="455" w:name="_Toc402180664"/>
      <w:r w:rsidRPr="003F46ED">
        <w:t xml:space="preserve">The </w:t>
      </w:r>
      <w:r w:rsidR="00CB4461" w:rsidRPr="003F46ED">
        <w:t xml:space="preserve">key findings have been categorised according to these </w:t>
      </w:r>
      <w:r w:rsidR="0035105A" w:rsidRPr="003F46ED">
        <w:t xml:space="preserve">groups of </w:t>
      </w:r>
      <w:r w:rsidR="00CB4461" w:rsidRPr="003F46ED">
        <w:t xml:space="preserve">factors and highlight their </w:t>
      </w:r>
      <w:r w:rsidRPr="003F46ED">
        <w:t>multi-dimensional and interconnected</w:t>
      </w:r>
      <w:r w:rsidR="00CB4461" w:rsidRPr="003F46ED">
        <w:t xml:space="preserve"> nature</w:t>
      </w:r>
      <w:r w:rsidRPr="003F46ED">
        <w:t>.</w:t>
      </w:r>
      <w:r w:rsidR="001251DA" w:rsidRPr="003F46ED">
        <w:t xml:space="preserve"> They also indicate that </w:t>
      </w:r>
      <w:r w:rsidR="003D0B66" w:rsidRPr="003F46ED">
        <w:t>building and sustaining</w:t>
      </w:r>
      <w:r w:rsidRPr="003F46ED">
        <w:t xml:space="preserve"> student</w:t>
      </w:r>
      <w:r w:rsidR="003D0B66" w:rsidRPr="003F46ED">
        <w:t xml:space="preserve"> demand for</w:t>
      </w:r>
      <w:r w:rsidRPr="003F46ED">
        <w:t xml:space="preserve"> </w:t>
      </w:r>
      <w:r w:rsidR="003D0B66" w:rsidRPr="003F46ED">
        <w:t xml:space="preserve">senior secondary </w:t>
      </w:r>
      <w:r w:rsidRPr="003F46ED">
        <w:t xml:space="preserve">languages </w:t>
      </w:r>
      <w:r w:rsidR="001251DA" w:rsidRPr="003F46ED">
        <w:t>has</w:t>
      </w:r>
      <w:r w:rsidRPr="003F46ED">
        <w:t xml:space="preserve"> no ‘magic bullet’ solution.</w:t>
      </w:r>
      <w:bookmarkEnd w:id="455"/>
    </w:p>
    <w:p w14:paraId="29099449" w14:textId="77777777" w:rsidR="0092222B" w:rsidRPr="003F46ED" w:rsidRDefault="0092222B" w:rsidP="00B30583">
      <w:pPr>
        <w:rPr>
          <w:rFonts w:ascii="Calibri" w:hAnsi="Calibri"/>
          <w:sz w:val="28"/>
          <w:szCs w:val="18"/>
        </w:rPr>
      </w:pPr>
      <w:bookmarkStart w:id="456" w:name="_Toc273790546"/>
      <w:bookmarkStart w:id="457" w:name="_Toc402180665"/>
      <w:r w:rsidRPr="003F46ED">
        <w:br w:type="page"/>
      </w:r>
    </w:p>
    <w:p w14:paraId="714C6D23" w14:textId="77777777" w:rsidR="007B1D45" w:rsidRPr="003F46ED" w:rsidRDefault="00436A2E" w:rsidP="00E22FCF">
      <w:pPr>
        <w:pStyle w:val="Heading2"/>
      </w:pPr>
      <w:bookmarkStart w:id="458" w:name="_Toc276245095"/>
      <w:bookmarkStart w:id="459" w:name="_Toc445305267"/>
      <w:r w:rsidRPr="003F46ED">
        <w:lastRenderedPageBreak/>
        <w:t>Key findings</w:t>
      </w:r>
      <w:bookmarkEnd w:id="456"/>
      <w:bookmarkEnd w:id="457"/>
      <w:bookmarkEnd w:id="458"/>
      <w:bookmarkEnd w:id="459"/>
    </w:p>
    <w:p w14:paraId="5914F469" w14:textId="2C270C2A" w:rsidR="007B1D45" w:rsidRPr="003F46ED" w:rsidRDefault="00436A2E" w:rsidP="00F666F6">
      <w:pPr>
        <w:pStyle w:val="Heading3"/>
        <w:numPr>
          <w:ilvl w:val="0"/>
          <w:numId w:val="42"/>
        </w:numPr>
      </w:pPr>
      <w:bookmarkStart w:id="460" w:name="_Toc402180666"/>
      <w:r w:rsidRPr="003F46ED">
        <w:t>Student demand and interest</w:t>
      </w:r>
      <w:bookmarkEnd w:id="460"/>
    </w:p>
    <w:p w14:paraId="2C57FB89" w14:textId="77777777" w:rsidR="007B1D45" w:rsidRPr="003F46ED" w:rsidRDefault="00436A2E" w:rsidP="00B30583">
      <w:bookmarkStart w:id="461" w:name="_Toc402180667"/>
      <w:r w:rsidRPr="003F46ED">
        <w:t xml:space="preserve">Languages </w:t>
      </w:r>
      <w:r w:rsidR="00F37072" w:rsidRPr="003F46ED">
        <w:t>is the learning are</w:t>
      </w:r>
      <w:r w:rsidR="000C297F" w:rsidRPr="003F46ED">
        <w:t>a</w:t>
      </w:r>
      <w:r w:rsidRPr="003F46ED">
        <w:t xml:space="preserve"> least in demand for senior secondary certification</w:t>
      </w:r>
      <w:bookmarkEnd w:id="461"/>
    </w:p>
    <w:p w14:paraId="708156B8" w14:textId="77777777" w:rsidR="007B1D45" w:rsidRPr="003F46ED" w:rsidRDefault="00B5523B" w:rsidP="00B30583">
      <w:bookmarkStart w:id="462" w:name="_Toc402180668"/>
      <w:r w:rsidRPr="003F46ED">
        <w:t>Only 11 per cent of Year 12 students are studying languages as part of their senior secondary certification.</w:t>
      </w:r>
      <w:r w:rsidR="0051292A" w:rsidRPr="003F46ED">
        <w:t xml:space="preserve"> This</w:t>
      </w:r>
      <w:r w:rsidR="00653F01" w:rsidRPr="003F46ED">
        <w:t xml:space="preserve"> figure </w:t>
      </w:r>
      <w:r w:rsidR="00D57E08" w:rsidRPr="003F46ED">
        <w:t xml:space="preserve">fluctuates between 4 and 19 per cent </w:t>
      </w:r>
      <w:r w:rsidR="00653F01" w:rsidRPr="003F46ED">
        <w:t>depending on jurisdiction.</w:t>
      </w:r>
      <w:r w:rsidRPr="003F46ED">
        <w:t xml:space="preserve"> As a learning area, languages have by far the least enrolments</w:t>
      </w:r>
      <w:r w:rsidR="00CD3BF9" w:rsidRPr="003F46ED">
        <w:t xml:space="preserve"> nationally</w:t>
      </w:r>
      <w:r w:rsidR="0038714B" w:rsidRPr="003F46ED">
        <w:t xml:space="preserve"> in</w:t>
      </w:r>
      <w:r w:rsidRPr="003F46ED">
        <w:t xml:space="preserve"> senior secondary.</w:t>
      </w:r>
      <w:bookmarkEnd w:id="462"/>
      <w:r w:rsidR="005C0CB3" w:rsidRPr="003F46ED">
        <w:t xml:space="preserve"> </w:t>
      </w:r>
    </w:p>
    <w:p w14:paraId="77C00C86" w14:textId="77777777" w:rsidR="007B1D45" w:rsidRPr="003F46ED" w:rsidRDefault="005C0CB3" w:rsidP="00B30583">
      <w:bookmarkStart w:id="463" w:name="_Toc402180669"/>
      <w:r w:rsidRPr="003F46ED">
        <w:t>This suggests that languages are most likely to be removed first from a student’s possible combination of subjects for senior secondary certification. It is</w:t>
      </w:r>
      <w:r w:rsidR="00D16A71" w:rsidRPr="003F46ED">
        <w:t xml:space="preserve"> also</w:t>
      </w:r>
      <w:r w:rsidRPr="003F46ED">
        <w:t xml:space="preserve"> likely that languages were not consider</w:t>
      </w:r>
      <w:r w:rsidR="00B75F23" w:rsidRPr="003F46ED">
        <w:t xml:space="preserve">ed in the first place, with the student survey results </w:t>
      </w:r>
      <w:r w:rsidR="006245C8" w:rsidRPr="003F46ED">
        <w:t>indicating</w:t>
      </w:r>
      <w:r w:rsidR="00B75F23" w:rsidRPr="003F46ED">
        <w:t xml:space="preserve"> that 55 per cent of those who did not study </w:t>
      </w:r>
      <w:r w:rsidR="00700E3A" w:rsidRPr="003F46ED">
        <w:t>a language</w:t>
      </w:r>
      <w:r w:rsidR="00B75F23" w:rsidRPr="003F46ED">
        <w:t xml:space="preserve"> at Year 12 were </w:t>
      </w:r>
      <w:r w:rsidR="00700E3A" w:rsidRPr="003F46ED">
        <w:t xml:space="preserve">either </w:t>
      </w:r>
      <w:r w:rsidR="00B75F23" w:rsidRPr="003F46ED">
        <w:t>not interested or interested only to a minor extent</w:t>
      </w:r>
      <w:r w:rsidR="009064C5" w:rsidRPr="003F46ED">
        <w:t xml:space="preserve"> (Rothman, Zhao &amp; Lonsdale, 2014)</w:t>
      </w:r>
      <w:r w:rsidR="00B75F23" w:rsidRPr="003F46ED">
        <w:t>.</w:t>
      </w:r>
      <w:bookmarkEnd w:id="463"/>
    </w:p>
    <w:p w14:paraId="20B98C52" w14:textId="77777777" w:rsidR="007B1D45" w:rsidRPr="003F46ED" w:rsidRDefault="004F09E3" w:rsidP="00B30583">
      <w:bookmarkStart w:id="464" w:name="_Toc402180670"/>
      <w:r w:rsidRPr="003F46ED">
        <w:t>What is known is that high achievers academically tend to study languages (see ‘Who typically studies languages at senior secondary in Australia?’ in the previous section), which is linked to the perceived difficulty, learning challenge, demands and workload involved in learning a language (</w:t>
      </w:r>
      <w:r w:rsidR="00835741" w:rsidRPr="003F46ED">
        <w:t xml:space="preserve">see, for example, </w:t>
      </w:r>
      <w:r w:rsidR="008F5C67" w:rsidRPr="003F46ED">
        <w:t>Kohler &amp; Curnow, 2014</w:t>
      </w:r>
      <w:r w:rsidRPr="003F46ED">
        <w:t xml:space="preserve">). </w:t>
      </w:r>
      <w:r w:rsidR="00D57892" w:rsidRPr="003F46ED">
        <w:t xml:space="preserve">In the high-stakes environment of Year 12, this pattern is not unexpected. </w:t>
      </w:r>
      <w:r w:rsidR="008F5C67" w:rsidRPr="003F46ED">
        <w:t xml:space="preserve">Spence-Brown’s (2014) </w:t>
      </w:r>
      <w:r w:rsidR="00885FE4" w:rsidRPr="003F46ED">
        <w:t>results indicate that students taking a mostly mathematics/science course were more likely to continue with Japanese than those taking a humanities course.</w:t>
      </w:r>
      <w:bookmarkEnd w:id="464"/>
      <w:r w:rsidR="00CA39A1" w:rsidRPr="003F46ED">
        <w:t xml:space="preserve"> </w:t>
      </w:r>
    </w:p>
    <w:p w14:paraId="4D1C9C58" w14:textId="77777777" w:rsidR="007B1D45" w:rsidRPr="003F46ED" w:rsidRDefault="00CA39A1" w:rsidP="00B30583">
      <w:bookmarkStart w:id="465" w:name="_Toc402180671"/>
      <w:r w:rsidRPr="003F46ED">
        <w:t xml:space="preserve">Curriculum authorities </w:t>
      </w:r>
      <w:r w:rsidR="00A578FB" w:rsidRPr="003F46ED">
        <w:t>should</w:t>
      </w:r>
      <w:r w:rsidRPr="003F46ED">
        <w:t xml:space="preserve"> consider this </w:t>
      </w:r>
      <w:r w:rsidR="00C8051E" w:rsidRPr="003F46ED">
        <w:t>pattern of enrolment</w:t>
      </w:r>
      <w:r w:rsidRPr="003F46ED">
        <w:t xml:space="preserve"> </w:t>
      </w:r>
      <w:r w:rsidR="00911F41" w:rsidRPr="003F46ED">
        <w:t>if and when</w:t>
      </w:r>
      <w:r w:rsidRPr="003F46ED">
        <w:t xml:space="preserve"> languages courses</w:t>
      </w:r>
      <w:r w:rsidR="00911F41" w:rsidRPr="003F46ED">
        <w:t xml:space="preserve"> are revised</w:t>
      </w:r>
      <w:r w:rsidRPr="003F46ED">
        <w:t>.</w:t>
      </w:r>
      <w:r w:rsidR="004F5608" w:rsidRPr="003F46ED">
        <w:t xml:space="preserve"> </w:t>
      </w:r>
      <w:r w:rsidR="00DA2601" w:rsidRPr="003F46ED">
        <w:t xml:space="preserve">The broader appeal of languages could be improved through course design and content that </w:t>
      </w:r>
      <w:r w:rsidR="00A478AF" w:rsidRPr="003F46ED">
        <w:t>enables</w:t>
      </w:r>
      <w:r w:rsidR="00DA2601" w:rsidRPr="003F46ED">
        <w:t xml:space="preserve"> learners</w:t>
      </w:r>
      <w:r w:rsidR="00F7225F" w:rsidRPr="003F46ED">
        <w:t xml:space="preserve"> with different inclinations</w:t>
      </w:r>
      <w:r w:rsidR="00911F41" w:rsidRPr="003F46ED">
        <w:t xml:space="preserve"> </w:t>
      </w:r>
      <w:r w:rsidR="00F7225F" w:rsidRPr="003F46ED">
        <w:t>(i.e. academic, vocational</w:t>
      </w:r>
      <w:r w:rsidR="00DA2601" w:rsidRPr="003F46ED">
        <w:t>,</w:t>
      </w:r>
      <w:r w:rsidR="00855F45" w:rsidRPr="003F46ED">
        <w:t xml:space="preserve"> mathematic</w:t>
      </w:r>
      <w:r w:rsidR="00F7225F" w:rsidRPr="003F46ED">
        <w:t>s/science</w:t>
      </w:r>
      <w:r w:rsidR="00855F45" w:rsidRPr="003F46ED">
        <w:t>, humanit</w:t>
      </w:r>
      <w:r w:rsidR="00F7225F" w:rsidRPr="003F46ED">
        <w:t>ies and social sciences</w:t>
      </w:r>
      <w:r w:rsidR="00855F45" w:rsidRPr="003F46ED">
        <w:t>)</w:t>
      </w:r>
      <w:r w:rsidR="00DA2601" w:rsidRPr="003F46ED">
        <w:t xml:space="preserve"> </w:t>
      </w:r>
      <w:r w:rsidR="00911F41" w:rsidRPr="003F46ED">
        <w:t xml:space="preserve">to </w:t>
      </w:r>
      <w:r w:rsidR="00AC6E1D" w:rsidRPr="003F46ED">
        <w:t xml:space="preserve">study </w:t>
      </w:r>
      <w:r w:rsidR="00A478AF" w:rsidRPr="003F46ED">
        <w:t xml:space="preserve">a language in </w:t>
      </w:r>
      <w:r w:rsidR="001D4095" w:rsidRPr="003F46ED">
        <w:t xml:space="preserve">the </w:t>
      </w:r>
      <w:r w:rsidR="00A478AF" w:rsidRPr="003F46ED">
        <w:t xml:space="preserve">senior </w:t>
      </w:r>
      <w:r w:rsidR="001D4095" w:rsidRPr="003F46ED">
        <w:t>years</w:t>
      </w:r>
      <w:r w:rsidR="00855F45" w:rsidRPr="003F46ED">
        <w:t xml:space="preserve">. </w:t>
      </w:r>
      <w:r w:rsidR="00F732DC" w:rsidRPr="003F46ED">
        <w:t>S</w:t>
      </w:r>
      <w:r w:rsidR="00F403F5" w:rsidRPr="003F46ED">
        <w:t>uch</w:t>
      </w:r>
      <w:r w:rsidR="00855F45" w:rsidRPr="003F46ED">
        <w:t xml:space="preserve"> curriculum revisions </w:t>
      </w:r>
      <w:r w:rsidR="00F732DC" w:rsidRPr="003F46ED">
        <w:t>are likely to</w:t>
      </w:r>
      <w:r w:rsidR="00F403F5" w:rsidRPr="003F46ED">
        <w:t xml:space="preserve"> have a flow-</w:t>
      </w:r>
      <w:r w:rsidR="00855F45" w:rsidRPr="003F46ED">
        <w:t xml:space="preserve">on effect on how languages curricula are designed and taught in the pipeline years. Anecdotal evidence </w:t>
      </w:r>
      <w:r w:rsidR="00FF09D8" w:rsidRPr="003F46ED">
        <w:t xml:space="preserve">from the consultations </w:t>
      </w:r>
      <w:r w:rsidR="00855F45" w:rsidRPr="003F46ED">
        <w:t>suggests that languages courses in the pipeline years</w:t>
      </w:r>
      <w:r w:rsidR="00EA237F" w:rsidRPr="003F46ED">
        <w:t xml:space="preserve"> </w:t>
      </w:r>
      <w:r w:rsidR="006E3E4D" w:rsidRPr="003F46ED">
        <w:t xml:space="preserve">tend to favour </w:t>
      </w:r>
      <w:r w:rsidR="00F403F5" w:rsidRPr="003F46ED">
        <w:t>more</w:t>
      </w:r>
      <w:r w:rsidR="00CA38B7" w:rsidRPr="003F46ED">
        <w:t xml:space="preserve"> </w:t>
      </w:r>
      <w:r w:rsidR="00855F45" w:rsidRPr="003F46ED">
        <w:t>academic</w:t>
      </w:r>
      <w:r w:rsidR="00EA237F" w:rsidRPr="003F46ED">
        <w:t xml:space="preserve"> students.</w:t>
      </w:r>
      <w:bookmarkEnd w:id="465"/>
    </w:p>
    <w:p w14:paraId="62B0144E" w14:textId="77777777" w:rsidR="007B1D45" w:rsidRPr="003F46ED" w:rsidRDefault="00436A2E" w:rsidP="00B30583">
      <w:bookmarkStart w:id="466" w:name="_Toc402180672"/>
      <w:r w:rsidRPr="003F46ED">
        <w:t xml:space="preserve">Students are strategic with senior secondary subject </w:t>
      </w:r>
      <w:r w:rsidR="00C41BEA" w:rsidRPr="003F46ED">
        <w:t>choice</w:t>
      </w:r>
      <w:bookmarkEnd w:id="466"/>
    </w:p>
    <w:p w14:paraId="010FA868" w14:textId="77777777" w:rsidR="007B1D45" w:rsidRPr="003F46ED" w:rsidRDefault="00436A2E" w:rsidP="00B30583">
      <w:bookmarkStart w:id="467" w:name="_Toc402180673"/>
      <w:r w:rsidRPr="003F46ED">
        <w:t xml:space="preserve">Students consider future studies and career choices when choosing their combination of senior secondary subjects. They want to gain the highest </w:t>
      </w:r>
      <w:proofErr w:type="spellStart"/>
      <w:r w:rsidRPr="003F46ED">
        <w:t>ATAR</w:t>
      </w:r>
      <w:proofErr w:type="spellEnd"/>
      <w:r w:rsidRPr="003F46ED">
        <w:t xml:space="preserve"> possible to get into their course and/or institution of choice</w:t>
      </w:r>
      <w:r w:rsidR="005628F5" w:rsidRPr="003F46ED">
        <w:t xml:space="preserve"> (Rothman, Zhao &amp; Lonsdale, 2014)</w:t>
      </w:r>
      <w:r w:rsidR="00D25286" w:rsidRPr="003F46ED">
        <w:t xml:space="preserve"> and/or complete the</w:t>
      </w:r>
      <w:r w:rsidR="009741E7" w:rsidRPr="003F46ED">
        <w:t>ir</w:t>
      </w:r>
      <w:r w:rsidR="00D25286" w:rsidRPr="003F46ED">
        <w:t xml:space="preserve"> ideal combination of subjects</w:t>
      </w:r>
      <w:r w:rsidRPr="003F46ED">
        <w:t>.</w:t>
      </w:r>
      <w:bookmarkEnd w:id="467"/>
      <w:r w:rsidRPr="003F46ED">
        <w:t xml:space="preserve"> </w:t>
      </w:r>
    </w:p>
    <w:p w14:paraId="6498A88A" w14:textId="1807DF56" w:rsidR="0090450A" w:rsidRPr="003F46ED" w:rsidRDefault="00436A2E" w:rsidP="00B30583">
      <w:bookmarkStart w:id="468" w:name="_Toc402180674"/>
      <w:proofErr w:type="spellStart"/>
      <w:r w:rsidRPr="003F46ED">
        <w:t>ATAR</w:t>
      </w:r>
      <w:proofErr w:type="spellEnd"/>
      <w:r w:rsidRPr="003F46ED">
        <w:t xml:space="preserve"> maximisation was a bigger consideration for student survey respondents who did </w:t>
      </w:r>
      <w:r w:rsidRPr="003F46ED">
        <w:rPr>
          <w:i/>
        </w:rPr>
        <w:t>not</w:t>
      </w:r>
      <w:r w:rsidRPr="003F46ED">
        <w:t xml:space="preserve"> study languages in senior secondary (47 per cent at ‘moderate’ to ‘major’ extent, </w:t>
      </w:r>
      <w:r w:rsidRPr="003F46ED">
        <w:rPr>
          <w:i/>
        </w:rPr>
        <w:t>n=120</w:t>
      </w:r>
      <w:r w:rsidRPr="003F46ED">
        <w:t xml:space="preserve">). It was less of a factor for those who </w:t>
      </w:r>
      <w:r w:rsidR="00CF159D" w:rsidRPr="003F46ED">
        <w:t xml:space="preserve">did </w:t>
      </w:r>
      <w:r w:rsidRPr="003F46ED">
        <w:t xml:space="preserve">(25 per cent at ‘moderate’ to ‘major’ extent, </w:t>
      </w:r>
      <w:r w:rsidRPr="003F46ED">
        <w:rPr>
          <w:i/>
        </w:rPr>
        <w:t>n=40</w:t>
      </w:r>
      <w:r w:rsidRPr="003F46ED">
        <w:t>)</w:t>
      </w:r>
      <w:r w:rsidR="00111492" w:rsidRPr="003F46ED">
        <w:t>,</w:t>
      </w:r>
      <w:r w:rsidRPr="003F46ED">
        <w:t xml:space="preserve"> as these students were more </w:t>
      </w:r>
      <w:r w:rsidR="004F5E4D" w:rsidRPr="003F46ED">
        <w:t xml:space="preserve">intrinsically </w:t>
      </w:r>
      <w:r w:rsidRPr="003F46ED">
        <w:t>motivated to study a language</w:t>
      </w:r>
      <w:r w:rsidR="00C1025A" w:rsidRPr="003F46ED">
        <w:t xml:space="preserve"> (Rothman, Zhao &amp; Lonsdale, 2014)</w:t>
      </w:r>
      <w:r w:rsidRPr="003F46ED">
        <w:t>.</w:t>
      </w:r>
      <w:bookmarkEnd w:id="468"/>
    </w:p>
    <w:p w14:paraId="65C228E9" w14:textId="77777777" w:rsidR="007B1D45" w:rsidRPr="003F46ED" w:rsidRDefault="00436A2E" w:rsidP="00B30583">
      <w:bookmarkStart w:id="469" w:name="_Toc402180675"/>
      <w:r w:rsidRPr="003F46ED">
        <w:t xml:space="preserve">Table </w:t>
      </w:r>
      <w:r w:rsidR="00C141A4" w:rsidRPr="003F46ED">
        <w:t>4.1</w:t>
      </w:r>
      <w:r w:rsidRPr="003F46ED">
        <w:t xml:space="preserve"> captures the main reasons why students choose to study, or not study, languages in Years 11 and 12.</w:t>
      </w:r>
      <w:bookmarkEnd w:id="469"/>
    </w:p>
    <w:p w14:paraId="21A6CF86" w14:textId="50BC602B" w:rsidR="003D4E2A" w:rsidRPr="003F46ED" w:rsidRDefault="003D4E2A" w:rsidP="00B30583">
      <w:bookmarkStart w:id="470" w:name="_Toc402180676"/>
      <w:r w:rsidRPr="003F46ED">
        <w:br w:type="page"/>
      </w:r>
    </w:p>
    <w:p w14:paraId="177400C7" w14:textId="77777777" w:rsidR="00436A2E" w:rsidRPr="00BF296E" w:rsidRDefault="00DF57D7" w:rsidP="00BA49C9">
      <w:pPr>
        <w:pStyle w:val="Caption"/>
        <w:rPr>
          <w:b/>
        </w:rPr>
      </w:pPr>
      <w:r w:rsidRPr="00BF296E">
        <w:rPr>
          <w:b/>
        </w:rPr>
        <w:lastRenderedPageBreak/>
        <w:t>Table 4.1: Why students choose to study, or not study, languages in senior secondary</w:t>
      </w:r>
      <w:bookmarkEnd w:id="470"/>
    </w:p>
    <w:p w14:paraId="30995E2F" w14:textId="77777777" w:rsidR="00527947" w:rsidRPr="003F46ED" w:rsidRDefault="00527947" w:rsidP="00B44405">
      <w:pPr>
        <w:pStyle w:val="Heading5"/>
        <w:sectPr w:rsidR="00527947" w:rsidRPr="003F46ED" w:rsidSect="00665CB6">
          <w:pgSz w:w="11900" w:h="16840"/>
          <w:pgMar w:top="1985" w:right="1134" w:bottom="1440" w:left="1134" w:header="709" w:footer="709" w:gutter="0"/>
          <w:cols w:space="720"/>
          <w:docGrid w:linePitch="299"/>
        </w:sectPr>
      </w:pPr>
      <w:bookmarkStart w:id="471" w:name="_Toc402180677"/>
    </w:p>
    <w:p w14:paraId="6A6BC307" w14:textId="5983CE97" w:rsidR="00B44405" w:rsidRPr="00F64D68" w:rsidRDefault="00B44405" w:rsidP="00F74E23">
      <w:pPr>
        <w:pStyle w:val="H5inverse"/>
        <w:pBdr>
          <w:bottom w:val="single" w:sz="4" w:space="12" w:color="auto"/>
          <w:right w:val="single" w:sz="4" w:space="1" w:color="auto"/>
        </w:pBdr>
      </w:pPr>
      <w:r w:rsidRPr="00F64D68">
        <w:lastRenderedPageBreak/>
        <w:t>Reasons for those who do study a language</w:t>
      </w:r>
      <w:bookmarkEnd w:id="471"/>
    </w:p>
    <w:p w14:paraId="1C4C0E57" w14:textId="7EDCBACE" w:rsidR="00B44405" w:rsidRPr="003F46ED" w:rsidRDefault="00B44405" w:rsidP="003D5C4F">
      <w:pPr>
        <w:pBdr>
          <w:top w:val="single" w:sz="4" w:space="1" w:color="auto"/>
          <w:left w:val="single" w:sz="4" w:space="4" w:color="auto"/>
          <w:bottom w:val="single" w:sz="4" w:space="12" w:color="auto"/>
          <w:right w:val="single" w:sz="4" w:space="1" w:color="auto"/>
        </w:pBdr>
        <w:spacing w:before="600"/>
      </w:pPr>
      <w:bookmarkStart w:id="472" w:name="_Toc402180679"/>
      <w:r w:rsidRPr="003F46ED">
        <w:t>Complex combination of personal and strategic reasons</w:t>
      </w:r>
      <w:bookmarkEnd w:id="472"/>
    </w:p>
    <w:p w14:paraId="2CCEF134" w14:textId="77777777" w:rsidR="00B44405" w:rsidRPr="003F46ED" w:rsidRDefault="00B44405" w:rsidP="00F74E23">
      <w:pPr>
        <w:pStyle w:val="ListParagraph"/>
        <w:numPr>
          <w:ilvl w:val="0"/>
          <w:numId w:val="12"/>
        </w:numPr>
        <w:pBdr>
          <w:top w:val="single" w:sz="4" w:space="1" w:color="auto"/>
          <w:left w:val="single" w:sz="4" w:space="4" w:color="auto"/>
          <w:bottom w:val="single" w:sz="4" w:space="12" w:color="auto"/>
          <w:right w:val="single" w:sz="4" w:space="1" w:color="auto"/>
        </w:pBdr>
        <w:ind w:left="360"/>
      </w:pPr>
      <w:bookmarkStart w:id="473" w:name="_Toc402180680"/>
      <w:r w:rsidRPr="003F46ED">
        <w:t>commitment, interest and enjoyment</w:t>
      </w:r>
      <w:bookmarkEnd w:id="473"/>
    </w:p>
    <w:p w14:paraId="1A082A50" w14:textId="77777777" w:rsidR="00B44405" w:rsidRPr="003F46ED" w:rsidRDefault="00B44405" w:rsidP="00F74E23">
      <w:pPr>
        <w:pStyle w:val="ListParagraph"/>
        <w:numPr>
          <w:ilvl w:val="0"/>
          <w:numId w:val="12"/>
        </w:numPr>
        <w:pBdr>
          <w:top w:val="single" w:sz="4" w:space="1" w:color="auto"/>
          <w:left w:val="single" w:sz="4" w:space="4" w:color="auto"/>
          <w:bottom w:val="single" w:sz="4" w:space="12" w:color="auto"/>
          <w:right w:val="single" w:sz="4" w:space="1" w:color="auto"/>
        </w:pBdr>
        <w:ind w:left="360"/>
      </w:pPr>
      <w:bookmarkStart w:id="474" w:name="_Toc402180681"/>
      <w:r w:rsidRPr="003F46ED">
        <w:t>perceptions of cognitive advantage, e.g. effective thinking</w:t>
      </w:r>
      <w:bookmarkEnd w:id="474"/>
    </w:p>
    <w:p w14:paraId="464C1169" w14:textId="77777777" w:rsidR="00B44405" w:rsidRPr="003F46ED" w:rsidRDefault="00B44405" w:rsidP="00F74E23">
      <w:pPr>
        <w:pStyle w:val="ListParagraph"/>
        <w:numPr>
          <w:ilvl w:val="0"/>
          <w:numId w:val="12"/>
        </w:numPr>
        <w:pBdr>
          <w:top w:val="single" w:sz="4" w:space="1" w:color="auto"/>
          <w:left w:val="single" w:sz="4" w:space="4" w:color="auto"/>
          <w:bottom w:val="single" w:sz="4" w:space="12" w:color="auto"/>
          <w:right w:val="single" w:sz="4" w:space="1" w:color="auto"/>
        </w:pBdr>
        <w:ind w:left="360"/>
      </w:pPr>
      <w:bookmarkStart w:id="475" w:name="_Toc402180682"/>
      <w:r w:rsidRPr="003F46ED">
        <w:t>better cross-cultural communication and understanding</w:t>
      </w:r>
      <w:bookmarkEnd w:id="475"/>
    </w:p>
    <w:p w14:paraId="6F44B485" w14:textId="77777777" w:rsidR="00B44405" w:rsidRPr="003F46ED" w:rsidRDefault="00B44405" w:rsidP="00F74E23">
      <w:pPr>
        <w:pStyle w:val="ListParagraph"/>
        <w:numPr>
          <w:ilvl w:val="0"/>
          <w:numId w:val="12"/>
        </w:numPr>
        <w:pBdr>
          <w:top w:val="single" w:sz="4" w:space="1" w:color="auto"/>
          <w:left w:val="single" w:sz="4" w:space="4" w:color="auto"/>
          <w:bottom w:val="single" w:sz="4" w:space="12" w:color="auto"/>
          <w:right w:val="single" w:sz="4" w:space="1" w:color="auto"/>
        </w:pBdr>
        <w:ind w:left="360"/>
      </w:pPr>
      <w:bookmarkStart w:id="476" w:name="_Toc402180683"/>
      <w:r w:rsidRPr="003F46ED">
        <w:t>future travel plans</w:t>
      </w:r>
      <w:bookmarkEnd w:id="476"/>
    </w:p>
    <w:p w14:paraId="39CE482E" w14:textId="77777777" w:rsidR="00B44405" w:rsidRPr="003F46ED" w:rsidRDefault="00B44405" w:rsidP="00F74E23">
      <w:pPr>
        <w:pStyle w:val="ListParagraph"/>
        <w:numPr>
          <w:ilvl w:val="0"/>
          <w:numId w:val="12"/>
        </w:numPr>
        <w:pBdr>
          <w:top w:val="single" w:sz="4" w:space="1" w:color="auto"/>
          <w:left w:val="single" w:sz="4" w:space="4" w:color="auto"/>
          <w:bottom w:val="single" w:sz="4" w:space="12" w:color="auto"/>
          <w:right w:val="single" w:sz="4" w:space="1" w:color="auto"/>
        </w:pBdr>
        <w:ind w:left="360"/>
      </w:pPr>
      <w:bookmarkStart w:id="477" w:name="_Toc402180684"/>
      <w:r w:rsidRPr="003F46ED">
        <w:t>learning challenge</w:t>
      </w:r>
      <w:bookmarkEnd w:id="477"/>
    </w:p>
    <w:p w14:paraId="39B3DBE9" w14:textId="77777777" w:rsidR="00B44405" w:rsidRPr="003F46ED" w:rsidRDefault="00B44405" w:rsidP="00F74E23">
      <w:pPr>
        <w:pStyle w:val="ListParagraph"/>
        <w:numPr>
          <w:ilvl w:val="0"/>
          <w:numId w:val="12"/>
        </w:numPr>
        <w:pBdr>
          <w:top w:val="single" w:sz="4" w:space="1" w:color="auto"/>
          <w:left w:val="single" w:sz="4" w:space="4" w:color="auto"/>
          <w:bottom w:val="single" w:sz="4" w:space="12" w:color="auto"/>
          <w:right w:val="single" w:sz="4" w:space="1" w:color="auto"/>
        </w:pBdr>
        <w:ind w:left="360"/>
      </w:pPr>
      <w:bookmarkStart w:id="478" w:name="_Toc402180685"/>
      <w:r w:rsidRPr="003F46ED">
        <w:t>future career and studies</w:t>
      </w:r>
      <w:bookmarkEnd w:id="478"/>
    </w:p>
    <w:p w14:paraId="44085342" w14:textId="77777777" w:rsidR="00B44405" w:rsidRPr="003F46ED" w:rsidRDefault="00B44405" w:rsidP="00F74E23">
      <w:pPr>
        <w:pStyle w:val="ListParagraph"/>
        <w:numPr>
          <w:ilvl w:val="0"/>
          <w:numId w:val="12"/>
        </w:numPr>
        <w:pBdr>
          <w:top w:val="single" w:sz="4" w:space="1" w:color="auto"/>
          <w:left w:val="single" w:sz="4" w:space="4" w:color="auto"/>
          <w:bottom w:val="single" w:sz="4" w:space="12" w:color="auto"/>
          <w:right w:val="single" w:sz="4" w:space="1" w:color="auto"/>
        </w:pBdr>
        <w:ind w:left="360"/>
      </w:pPr>
      <w:bookmarkStart w:id="479" w:name="_Toc402180686"/>
      <w:r w:rsidRPr="003F46ED">
        <w:t>quality teaching, programmes and learning experience</w:t>
      </w:r>
      <w:bookmarkEnd w:id="479"/>
    </w:p>
    <w:p w14:paraId="0E6EEE1C" w14:textId="77777777" w:rsidR="00B44405" w:rsidRPr="003F46ED" w:rsidRDefault="00B44405" w:rsidP="00F74E23">
      <w:pPr>
        <w:pStyle w:val="ListParagraph"/>
        <w:numPr>
          <w:ilvl w:val="0"/>
          <w:numId w:val="12"/>
        </w:numPr>
        <w:pBdr>
          <w:top w:val="single" w:sz="4" w:space="1" w:color="auto"/>
          <w:left w:val="single" w:sz="4" w:space="4" w:color="auto"/>
          <w:bottom w:val="single" w:sz="4" w:space="12" w:color="auto"/>
          <w:right w:val="single" w:sz="4" w:space="1" w:color="auto"/>
        </w:pBdr>
        <w:ind w:left="360"/>
      </w:pPr>
      <w:bookmarkStart w:id="480" w:name="_Toc402180687"/>
      <w:r w:rsidRPr="003F46ED">
        <w:t>progression and achievement in language learning</w:t>
      </w:r>
      <w:bookmarkEnd w:id="480"/>
    </w:p>
    <w:p w14:paraId="72362C05" w14:textId="31620586" w:rsidR="00F827D5" w:rsidRDefault="00B44405" w:rsidP="00F74E23">
      <w:pPr>
        <w:pStyle w:val="ListParagraph"/>
        <w:numPr>
          <w:ilvl w:val="0"/>
          <w:numId w:val="12"/>
        </w:numPr>
        <w:pBdr>
          <w:top w:val="single" w:sz="4" w:space="1" w:color="auto"/>
          <w:left w:val="single" w:sz="4" w:space="4" w:color="auto"/>
          <w:bottom w:val="single" w:sz="4" w:space="12" w:color="auto"/>
          <w:right w:val="single" w:sz="4" w:space="1" w:color="auto"/>
        </w:pBdr>
        <w:ind w:left="357" w:hanging="357"/>
        <w:contextualSpacing w:val="0"/>
        <w:rPr>
          <w:sz w:val="18"/>
          <w:szCs w:val="18"/>
        </w:rPr>
      </w:pPr>
      <w:bookmarkStart w:id="481" w:name="_Toc402180688"/>
      <w:proofErr w:type="spellStart"/>
      <w:r w:rsidRPr="003F46ED">
        <w:t>ATAR</w:t>
      </w:r>
      <w:proofErr w:type="spellEnd"/>
      <w:r w:rsidRPr="003F46ED">
        <w:t xml:space="preserve"> bonuses for language study</w:t>
      </w:r>
      <w:bookmarkEnd w:id="481"/>
      <w:r w:rsidR="00C21833">
        <w:t xml:space="preserve"> </w:t>
      </w:r>
    </w:p>
    <w:p w14:paraId="72ABB0E0" w14:textId="77777777" w:rsidR="0091348F" w:rsidRPr="0091348F" w:rsidRDefault="0091348F" w:rsidP="0091348F">
      <w:pPr>
        <w:pBdr>
          <w:top w:val="single" w:sz="4" w:space="1" w:color="auto"/>
          <w:left w:val="single" w:sz="4" w:space="4" w:color="auto"/>
          <w:bottom w:val="single" w:sz="4" w:space="12" w:color="auto"/>
          <w:right w:val="single" w:sz="4" w:space="1" w:color="auto"/>
        </w:pBdr>
        <w:rPr>
          <w:sz w:val="18"/>
          <w:szCs w:val="18"/>
        </w:rPr>
      </w:pPr>
    </w:p>
    <w:p w14:paraId="2F264EED" w14:textId="24C87BB1" w:rsidR="00B44405" w:rsidRPr="00F64D68" w:rsidRDefault="006C1E78" w:rsidP="00F827D5">
      <w:pPr>
        <w:pStyle w:val="H5inverse"/>
      </w:pPr>
      <w:bookmarkStart w:id="482" w:name="_Toc402180678"/>
      <w:bookmarkStart w:id="483" w:name="_Toc402180689"/>
      <w:r w:rsidRPr="00F64D68">
        <w:br w:type="column"/>
      </w:r>
      <w:r w:rsidR="00B44405" w:rsidRPr="00F64D68">
        <w:lastRenderedPageBreak/>
        <w:t>Reasons for those who do not study a language</w:t>
      </w:r>
      <w:bookmarkEnd w:id="482"/>
    </w:p>
    <w:p w14:paraId="40DECC6A" w14:textId="77777777" w:rsidR="00B44405" w:rsidRPr="003F46ED" w:rsidRDefault="00B44405" w:rsidP="00C21833">
      <w:pPr>
        <w:pBdr>
          <w:top w:val="single" w:sz="4" w:space="1" w:color="auto"/>
          <w:left w:val="single" w:sz="4" w:space="4" w:color="auto"/>
          <w:bottom w:val="single" w:sz="4" w:space="1" w:color="auto"/>
          <w:right w:val="single" w:sz="4" w:space="4" w:color="auto"/>
        </w:pBdr>
      </w:pPr>
      <w:r w:rsidRPr="003F46ED">
        <w:t>Lack of direct access to preferred language at school can single-handedly kill demand.</w:t>
      </w:r>
      <w:bookmarkEnd w:id="483"/>
    </w:p>
    <w:p w14:paraId="3E54D4D3" w14:textId="77777777" w:rsidR="00B44405" w:rsidRPr="003F46ED" w:rsidRDefault="00B44405" w:rsidP="00C1202C">
      <w:pPr>
        <w:pBdr>
          <w:top w:val="single" w:sz="4" w:space="1" w:color="auto"/>
          <w:left w:val="single" w:sz="4" w:space="4" w:color="auto"/>
          <w:bottom w:val="single" w:sz="4" w:space="1" w:color="auto"/>
          <w:right w:val="single" w:sz="4" w:space="4" w:color="auto"/>
        </w:pBdr>
      </w:pPr>
      <w:bookmarkStart w:id="484" w:name="_Toc402180690"/>
      <w:r w:rsidRPr="003F46ED">
        <w:t>Combination of mainly strategic reasons (where there is access to language study at Years 11 and 12)</w:t>
      </w:r>
      <w:bookmarkEnd w:id="484"/>
    </w:p>
    <w:p w14:paraId="57758615" w14:textId="77777777" w:rsidR="00B44405" w:rsidRPr="003F46ED" w:rsidRDefault="00B44405" w:rsidP="00F666F6">
      <w:pPr>
        <w:pStyle w:val="ListParagraph"/>
        <w:numPr>
          <w:ilvl w:val="0"/>
          <w:numId w:val="13"/>
        </w:numPr>
        <w:pBdr>
          <w:top w:val="single" w:sz="4" w:space="1" w:color="auto"/>
          <w:left w:val="single" w:sz="4" w:space="4" w:color="auto"/>
          <w:bottom w:val="single" w:sz="4" w:space="1" w:color="auto"/>
          <w:right w:val="single" w:sz="4" w:space="4" w:color="auto"/>
        </w:pBdr>
        <w:ind w:left="360"/>
      </w:pPr>
      <w:bookmarkStart w:id="485" w:name="_Toc402180691"/>
      <w:r w:rsidRPr="003F46ED">
        <w:t>low expectations for achievement</w:t>
      </w:r>
      <w:bookmarkEnd w:id="485"/>
    </w:p>
    <w:p w14:paraId="52A5AEE4" w14:textId="77777777" w:rsidR="00B44405" w:rsidRPr="003F46ED" w:rsidRDefault="00B44405" w:rsidP="00F666F6">
      <w:pPr>
        <w:pStyle w:val="ListParagraph"/>
        <w:numPr>
          <w:ilvl w:val="0"/>
          <w:numId w:val="13"/>
        </w:numPr>
        <w:pBdr>
          <w:top w:val="single" w:sz="4" w:space="1" w:color="auto"/>
          <w:left w:val="single" w:sz="4" w:space="4" w:color="auto"/>
          <w:bottom w:val="single" w:sz="4" w:space="1" w:color="auto"/>
          <w:right w:val="single" w:sz="4" w:space="4" w:color="auto"/>
        </w:pBdr>
        <w:ind w:left="360"/>
      </w:pPr>
      <w:bookmarkStart w:id="486" w:name="_Toc402180692"/>
      <w:r w:rsidRPr="003F46ED">
        <w:t xml:space="preserve">maximise </w:t>
      </w:r>
      <w:proofErr w:type="spellStart"/>
      <w:r w:rsidRPr="003F46ED">
        <w:t>ATAR</w:t>
      </w:r>
      <w:bookmarkEnd w:id="486"/>
      <w:proofErr w:type="spellEnd"/>
    </w:p>
    <w:p w14:paraId="393343CF" w14:textId="77777777" w:rsidR="00B44405" w:rsidRPr="003F46ED" w:rsidRDefault="00B44405" w:rsidP="00F666F6">
      <w:pPr>
        <w:pStyle w:val="ListParagraph"/>
        <w:numPr>
          <w:ilvl w:val="0"/>
          <w:numId w:val="13"/>
        </w:numPr>
        <w:pBdr>
          <w:top w:val="single" w:sz="4" w:space="1" w:color="auto"/>
          <w:left w:val="single" w:sz="4" w:space="4" w:color="auto"/>
          <w:bottom w:val="single" w:sz="4" w:space="1" w:color="auto"/>
          <w:right w:val="single" w:sz="4" w:space="4" w:color="auto"/>
        </w:pBdr>
        <w:ind w:left="360"/>
      </w:pPr>
      <w:bookmarkStart w:id="487" w:name="_Toc402180693"/>
      <w:r w:rsidRPr="003F46ED">
        <w:t>no room within subject combination</w:t>
      </w:r>
      <w:bookmarkEnd w:id="487"/>
    </w:p>
    <w:p w14:paraId="7EBD3403" w14:textId="77777777" w:rsidR="00B44405" w:rsidRPr="003F46ED" w:rsidRDefault="00B44405" w:rsidP="00F666F6">
      <w:pPr>
        <w:pStyle w:val="ListParagraph"/>
        <w:numPr>
          <w:ilvl w:val="0"/>
          <w:numId w:val="13"/>
        </w:numPr>
        <w:pBdr>
          <w:top w:val="single" w:sz="4" w:space="1" w:color="auto"/>
          <w:left w:val="single" w:sz="4" w:space="4" w:color="auto"/>
          <w:bottom w:val="single" w:sz="4" w:space="1" w:color="auto"/>
          <w:right w:val="single" w:sz="4" w:space="4" w:color="auto"/>
        </w:pBdr>
        <w:ind w:left="360"/>
      </w:pPr>
      <w:bookmarkStart w:id="488" w:name="_Toc402180694"/>
      <w:r w:rsidRPr="003F46ED">
        <w:t>perceived difficulty and workload</w:t>
      </w:r>
      <w:bookmarkEnd w:id="488"/>
    </w:p>
    <w:p w14:paraId="3B8152CC" w14:textId="77777777" w:rsidR="00B44405" w:rsidRPr="003F46ED" w:rsidRDefault="00B44405" w:rsidP="00F666F6">
      <w:pPr>
        <w:pStyle w:val="ListParagraph"/>
        <w:numPr>
          <w:ilvl w:val="0"/>
          <w:numId w:val="13"/>
        </w:numPr>
        <w:pBdr>
          <w:top w:val="single" w:sz="4" w:space="1" w:color="auto"/>
          <w:left w:val="single" w:sz="4" w:space="4" w:color="auto"/>
          <w:bottom w:val="single" w:sz="4" w:space="1" w:color="auto"/>
          <w:right w:val="single" w:sz="4" w:space="4" w:color="auto"/>
        </w:pBdr>
        <w:ind w:left="360"/>
      </w:pPr>
      <w:bookmarkStart w:id="489" w:name="_Toc402180695"/>
      <w:r w:rsidRPr="003F46ED">
        <w:t>perceived disadvantage</w:t>
      </w:r>
      <w:bookmarkEnd w:id="489"/>
    </w:p>
    <w:p w14:paraId="6B5231C0" w14:textId="77777777" w:rsidR="00B44405" w:rsidRPr="003F46ED" w:rsidRDefault="00B44405" w:rsidP="00F666F6">
      <w:pPr>
        <w:pStyle w:val="ListParagraph"/>
        <w:numPr>
          <w:ilvl w:val="0"/>
          <w:numId w:val="13"/>
        </w:numPr>
        <w:pBdr>
          <w:top w:val="single" w:sz="4" w:space="1" w:color="auto"/>
          <w:left w:val="single" w:sz="4" w:space="4" w:color="auto"/>
          <w:bottom w:val="single" w:sz="4" w:space="1" w:color="auto"/>
          <w:right w:val="single" w:sz="4" w:space="4" w:color="auto"/>
        </w:pBdr>
        <w:ind w:left="360"/>
      </w:pPr>
      <w:bookmarkStart w:id="490" w:name="_Toc402180696"/>
      <w:r w:rsidRPr="003F46ED">
        <w:t>lack of utility</w:t>
      </w:r>
      <w:bookmarkEnd w:id="490"/>
    </w:p>
    <w:p w14:paraId="4B4B8431" w14:textId="77777777" w:rsidR="00B44405" w:rsidRPr="003F46ED" w:rsidRDefault="00B44405" w:rsidP="00F666F6">
      <w:pPr>
        <w:pStyle w:val="ListParagraph"/>
        <w:numPr>
          <w:ilvl w:val="0"/>
          <w:numId w:val="13"/>
        </w:numPr>
        <w:pBdr>
          <w:top w:val="single" w:sz="4" w:space="1" w:color="auto"/>
          <w:left w:val="single" w:sz="4" w:space="4" w:color="auto"/>
          <w:bottom w:val="single" w:sz="4" w:space="1" w:color="auto"/>
          <w:right w:val="single" w:sz="4" w:space="4" w:color="auto"/>
        </w:pBdr>
        <w:ind w:left="360"/>
      </w:pPr>
      <w:bookmarkStart w:id="491" w:name="_Toc402180697"/>
      <w:r w:rsidRPr="003F46ED">
        <w:t>lack of continuity</w:t>
      </w:r>
      <w:bookmarkEnd w:id="491"/>
      <w:r w:rsidRPr="003F46ED">
        <w:t xml:space="preserve"> </w:t>
      </w:r>
    </w:p>
    <w:p w14:paraId="2B1B25CB" w14:textId="77777777" w:rsidR="00B44405" w:rsidRPr="003F46ED" w:rsidRDefault="00B44405" w:rsidP="00C1202C">
      <w:pPr>
        <w:pBdr>
          <w:top w:val="single" w:sz="4" w:space="1" w:color="auto"/>
          <w:left w:val="single" w:sz="4" w:space="4" w:color="auto"/>
          <w:bottom w:val="single" w:sz="4" w:space="1" w:color="auto"/>
          <w:right w:val="single" w:sz="4" w:space="4" w:color="auto"/>
        </w:pBdr>
      </w:pPr>
      <w:bookmarkStart w:id="492" w:name="_Toc402180698"/>
      <w:r w:rsidRPr="003F46ED">
        <w:t>Other important reasons</w:t>
      </w:r>
      <w:bookmarkEnd w:id="492"/>
    </w:p>
    <w:p w14:paraId="4B8595FE" w14:textId="77777777" w:rsidR="00B44405" w:rsidRPr="003F46ED" w:rsidRDefault="00B44405" w:rsidP="00F666F6">
      <w:pPr>
        <w:pStyle w:val="ListParagraph"/>
        <w:numPr>
          <w:ilvl w:val="0"/>
          <w:numId w:val="14"/>
        </w:numPr>
        <w:pBdr>
          <w:top w:val="single" w:sz="4" w:space="1" w:color="auto"/>
          <w:left w:val="single" w:sz="4" w:space="4" w:color="auto"/>
          <w:bottom w:val="single" w:sz="4" w:space="1" w:color="auto"/>
          <w:right w:val="single" w:sz="4" w:space="4" w:color="auto"/>
        </w:pBdr>
        <w:ind w:left="360"/>
      </w:pPr>
      <w:bookmarkStart w:id="493" w:name="_Toc402180699"/>
      <w:r w:rsidRPr="003F46ED">
        <w:t>lack of interest and enjoyment</w:t>
      </w:r>
      <w:bookmarkEnd w:id="493"/>
    </w:p>
    <w:p w14:paraId="070A06D0" w14:textId="77777777" w:rsidR="00F827D5" w:rsidRDefault="00B44405" w:rsidP="00F666F6">
      <w:pPr>
        <w:pStyle w:val="ListParagraph"/>
        <w:numPr>
          <w:ilvl w:val="0"/>
          <w:numId w:val="14"/>
        </w:numPr>
        <w:pBdr>
          <w:top w:val="single" w:sz="4" w:space="1" w:color="auto"/>
          <w:left w:val="single" w:sz="4" w:space="4" w:color="auto"/>
          <w:bottom w:val="single" w:sz="4" w:space="1" w:color="auto"/>
          <w:right w:val="single" w:sz="4" w:space="4" w:color="auto"/>
        </w:pBdr>
        <w:ind w:left="360"/>
      </w:pPr>
      <w:bookmarkStart w:id="494" w:name="_Toc402180700"/>
      <w:r w:rsidRPr="003F46ED">
        <w:t>non-engaging teaching and programmes</w:t>
      </w:r>
      <w:bookmarkEnd w:id="494"/>
    </w:p>
    <w:p w14:paraId="5ED8026B" w14:textId="4E50D5DA" w:rsidR="00B44405" w:rsidRPr="003F46ED" w:rsidRDefault="00B44405" w:rsidP="00F74E23">
      <w:pPr>
        <w:pBdr>
          <w:top w:val="single" w:sz="4" w:space="1" w:color="auto"/>
          <w:left w:val="single" w:sz="4" w:space="4" w:color="auto"/>
          <w:bottom w:val="single" w:sz="4" w:space="1" w:color="auto"/>
          <w:right w:val="single" w:sz="4" w:space="4" w:color="auto"/>
        </w:pBdr>
      </w:pPr>
    </w:p>
    <w:p w14:paraId="6718C6F3" w14:textId="77777777" w:rsidR="00527947" w:rsidRPr="003F46ED" w:rsidRDefault="00527947" w:rsidP="00B44405">
      <w:pPr>
        <w:pStyle w:val="Heading3"/>
        <w:sectPr w:rsidR="00527947" w:rsidRPr="003F46ED" w:rsidSect="00F827D5">
          <w:type w:val="continuous"/>
          <w:pgSz w:w="11900" w:h="16840"/>
          <w:pgMar w:top="1985" w:right="1134" w:bottom="1440" w:left="1134" w:header="709" w:footer="709" w:gutter="0"/>
          <w:cols w:num="2" w:sep="1" w:space="284"/>
          <w:docGrid w:linePitch="299"/>
        </w:sectPr>
      </w:pPr>
      <w:bookmarkStart w:id="495" w:name="_Toc402180701"/>
    </w:p>
    <w:p w14:paraId="67C39E33" w14:textId="06BEF710" w:rsidR="007B1D45" w:rsidRPr="003F46ED" w:rsidRDefault="00436A2E" w:rsidP="002F005A">
      <w:pPr>
        <w:pStyle w:val="Heading3"/>
        <w:spacing w:before="600"/>
      </w:pPr>
      <w:r w:rsidRPr="003F46ED">
        <w:lastRenderedPageBreak/>
        <w:t>Reasons why students choose languages are complex</w:t>
      </w:r>
      <w:bookmarkEnd w:id="495"/>
    </w:p>
    <w:p w14:paraId="47E194BF" w14:textId="77777777" w:rsidR="007B1D45" w:rsidRPr="003F46ED" w:rsidRDefault="00436A2E" w:rsidP="00B30583">
      <w:bookmarkStart w:id="496" w:name="_Toc402180702"/>
      <w:r w:rsidRPr="003F46ED">
        <w:t>Based on the student survey, those who chose to study languages in senior secondary (</w:t>
      </w:r>
      <w:r w:rsidRPr="003F46ED">
        <w:rPr>
          <w:i/>
        </w:rPr>
        <w:t>n=144</w:t>
      </w:r>
      <w:r w:rsidRPr="003F46ED">
        <w:t>) were motivated mainly by perceptions of cognitive advantage</w:t>
      </w:r>
      <w:r w:rsidR="00FF26D2" w:rsidRPr="003F46ED">
        <w:t xml:space="preserve"> (i.e. more effective thinking)</w:t>
      </w:r>
      <w:r w:rsidRPr="003F46ED">
        <w:t xml:space="preserve"> and a desire for better cross-cultural communication and understanding</w:t>
      </w:r>
      <w:r w:rsidR="00FF26D2" w:rsidRPr="003F46ED">
        <w:t xml:space="preserve"> (Rothman, Zhao &amp; Lonsdale, 2014)</w:t>
      </w:r>
      <w:r w:rsidRPr="003F46ED">
        <w:t>. However, they also considered other strategic factors related to career and study pathways. For these respondents, high levels of enjoyment correlate with high levels of achievement, perceptions of ease and a quality learning experience</w:t>
      </w:r>
      <w:r w:rsidR="00FF26D2" w:rsidRPr="003F46ED">
        <w:t xml:space="preserve"> (Rothman, Zhao &amp; Lonsdale, 2014)</w:t>
      </w:r>
      <w:r w:rsidRPr="003F46ED">
        <w:t>.</w:t>
      </w:r>
      <w:bookmarkEnd w:id="496"/>
      <w:r w:rsidRPr="003F46ED">
        <w:t xml:space="preserve"> </w:t>
      </w:r>
    </w:p>
    <w:p w14:paraId="08947F34" w14:textId="77777777" w:rsidR="007B1D45" w:rsidRPr="003F46ED" w:rsidRDefault="00436A2E" w:rsidP="00B30583">
      <w:bookmarkStart w:id="497" w:name="_Toc402180703"/>
      <w:r w:rsidRPr="003F46ED">
        <w:t xml:space="preserve">This is consistent with </w:t>
      </w:r>
      <w:r w:rsidR="00846803" w:rsidRPr="003F46ED">
        <w:t>the</w:t>
      </w:r>
      <w:r w:rsidRPr="003F46ED">
        <w:t xml:space="preserve"> Japanese case study results that identify commitment, interest and future travel</w:t>
      </w:r>
      <w:r w:rsidR="00D81D2D" w:rsidRPr="003F46ED">
        <w:t xml:space="preserve"> plans</w:t>
      </w:r>
      <w:r w:rsidRPr="003F46ED">
        <w:t xml:space="preserve"> as reasons to continue. </w:t>
      </w:r>
      <w:r w:rsidR="00564E2B" w:rsidRPr="003F46ED">
        <w:t>Sixty four</w:t>
      </w:r>
      <w:r w:rsidRPr="003F46ED">
        <w:t xml:space="preserve"> per cent of Japanese language continuers surveyed (</w:t>
      </w:r>
      <w:r w:rsidRPr="003F46ED">
        <w:rPr>
          <w:i/>
        </w:rPr>
        <w:t>n=161</w:t>
      </w:r>
      <w:r w:rsidRPr="003F46ED">
        <w:t>) were so committed to the language that it was not an option to discontinue</w:t>
      </w:r>
      <w:r w:rsidR="00846803" w:rsidRPr="003F46ED">
        <w:t xml:space="preserve"> (Spence-Brown, 2014)</w:t>
      </w:r>
      <w:r w:rsidRPr="003F46ED">
        <w:t xml:space="preserve">. </w:t>
      </w:r>
      <w:r w:rsidR="00846803" w:rsidRPr="003F46ED">
        <w:t>The</w:t>
      </w:r>
      <w:r w:rsidRPr="003F46ED">
        <w:t xml:space="preserve"> results also suggest the importance to students of engaging with authentic cultural content</w:t>
      </w:r>
      <w:r w:rsidR="00D81D2D" w:rsidRPr="003F46ED">
        <w:t>,</w:t>
      </w:r>
      <w:r w:rsidRPr="003F46ED">
        <w:t xml:space="preserve"> especially popular culture. Students who continue think they will achieve good results </w:t>
      </w:r>
      <w:r w:rsidR="00BE3AD0" w:rsidRPr="003F46ED">
        <w:t>– </w:t>
      </w:r>
      <w:r w:rsidRPr="003F46ED">
        <w:t>either due to their own abilities or factors like bonus marks</w:t>
      </w:r>
      <w:r w:rsidR="00BE3AD0" w:rsidRPr="003F46ED">
        <w:t xml:space="preserve"> – </w:t>
      </w:r>
      <w:r w:rsidRPr="003F46ED">
        <w:t>and see the language as useful to their daily life and future career</w:t>
      </w:r>
      <w:r w:rsidR="00AC4EE2" w:rsidRPr="003F46ED">
        <w:t xml:space="preserve"> (Spence-Brown, 2014)</w:t>
      </w:r>
      <w:r w:rsidRPr="003F46ED">
        <w:t>.</w:t>
      </w:r>
      <w:bookmarkEnd w:id="497"/>
      <w:r w:rsidRPr="003F46ED">
        <w:t xml:space="preserve"> </w:t>
      </w:r>
    </w:p>
    <w:p w14:paraId="19202167" w14:textId="77777777" w:rsidR="007B1D45" w:rsidRPr="003F46ED" w:rsidRDefault="00436A2E" w:rsidP="00B30583">
      <w:bookmarkStart w:id="498" w:name="_Toc402180704"/>
      <w:r w:rsidRPr="003F46ED">
        <w:t xml:space="preserve">Importantly, both the student and Spence-Brown surveys show that the </w:t>
      </w:r>
      <w:proofErr w:type="spellStart"/>
      <w:r w:rsidRPr="003F46ED">
        <w:t>ATAR</w:t>
      </w:r>
      <w:proofErr w:type="spellEnd"/>
      <w:r w:rsidRPr="003F46ED">
        <w:t xml:space="preserve"> was not generally a major consideration</w:t>
      </w:r>
      <w:r w:rsidR="00623533" w:rsidRPr="003F46ED">
        <w:t xml:space="preserve"> (Rothman, Zhao &amp; Lonsdale, 2014; Spence-Brown, 2014)</w:t>
      </w:r>
      <w:r w:rsidRPr="003F46ED">
        <w:t xml:space="preserve">. However, it was more of a consideration where bonus marks </w:t>
      </w:r>
      <w:r w:rsidR="00623533" w:rsidRPr="003F46ED">
        <w:t xml:space="preserve">exist, </w:t>
      </w:r>
      <w:r w:rsidR="00210DDC" w:rsidRPr="003F46ED">
        <w:t xml:space="preserve">e.g. ranking fifth as </w:t>
      </w:r>
      <w:r w:rsidR="00623533" w:rsidRPr="003F46ED">
        <w:t xml:space="preserve">a </w:t>
      </w:r>
      <w:r w:rsidR="00210DDC" w:rsidRPr="003F46ED">
        <w:t xml:space="preserve">consideration for </w:t>
      </w:r>
      <w:r w:rsidR="00EB5C58" w:rsidRPr="003F46ED">
        <w:t>Qld</w:t>
      </w:r>
      <w:r w:rsidR="00210DDC" w:rsidRPr="003F46ED">
        <w:t xml:space="preserve"> but only 17</w:t>
      </w:r>
      <w:r w:rsidR="00210DDC" w:rsidRPr="003F46ED">
        <w:rPr>
          <w:vertAlign w:val="superscript"/>
        </w:rPr>
        <w:t xml:space="preserve">th </w:t>
      </w:r>
      <w:r w:rsidR="00623533" w:rsidRPr="003F46ED">
        <w:t xml:space="preserve">in </w:t>
      </w:r>
      <w:r w:rsidR="007C4CC3" w:rsidRPr="003F46ED">
        <w:t>NSW</w:t>
      </w:r>
      <w:r w:rsidR="00623533" w:rsidRPr="003F46ED">
        <w:t xml:space="preserve"> (Spence-Brown, 2014)</w:t>
      </w:r>
      <w:r w:rsidR="00210DDC" w:rsidRPr="003F46ED">
        <w:t>.</w:t>
      </w:r>
      <w:r w:rsidRPr="003F46ED">
        <w:t xml:space="preserve"> These results are consistent with the</w:t>
      </w:r>
      <w:r w:rsidR="00623533" w:rsidRPr="003F46ED">
        <w:t xml:space="preserve"> findings of the</w:t>
      </w:r>
      <w:r w:rsidRPr="003F46ED">
        <w:t xml:space="preserve"> literature review </w:t>
      </w:r>
      <w:r w:rsidR="006E175A" w:rsidRPr="003F46ED">
        <w:t>(</w:t>
      </w:r>
      <w:r w:rsidR="00623533" w:rsidRPr="003F46ED">
        <w:t>Kohler &amp; Curnow, 2014</w:t>
      </w:r>
      <w:r w:rsidR="006E175A" w:rsidRPr="003F46ED">
        <w:t>)</w:t>
      </w:r>
      <w:r w:rsidRPr="003F46ED">
        <w:t>.</w:t>
      </w:r>
      <w:bookmarkEnd w:id="498"/>
      <w:r w:rsidRPr="003F46ED">
        <w:t xml:space="preserve"> </w:t>
      </w:r>
    </w:p>
    <w:p w14:paraId="373A95A0" w14:textId="77777777" w:rsidR="007B1D45" w:rsidRPr="003F46ED" w:rsidRDefault="00436A2E" w:rsidP="00B30583">
      <w:pPr>
        <w:rPr>
          <w:rFonts w:ascii="Calibri" w:hAnsi="Calibri"/>
        </w:rPr>
      </w:pPr>
      <w:bookmarkStart w:id="499" w:name="_Toc402180705"/>
      <w:r w:rsidRPr="003F46ED">
        <w:lastRenderedPageBreak/>
        <w:t xml:space="preserve">While reasons of enjoyment and interest are clear, </w:t>
      </w:r>
      <w:r w:rsidR="003D7B4E" w:rsidRPr="003F46ED">
        <w:t>research</w:t>
      </w:r>
      <w:r w:rsidR="00542265" w:rsidRPr="003F46ED">
        <w:t xml:space="preserve"> from as early as 1994</w:t>
      </w:r>
      <w:r w:rsidR="003D7B4E" w:rsidRPr="003F46ED">
        <w:t xml:space="preserve"> suggests that </w:t>
      </w:r>
      <w:r w:rsidRPr="003F46ED">
        <w:t xml:space="preserve">instrumentalist reasons based on the </w:t>
      </w:r>
      <w:r w:rsidRPr="003F46ED">
        <w:rPr>
          <w:i/>
        </w:rPr>
        <w:t>utility</w:t>
      </w:r>
      <w:r w:rsidRPr="003F46ED">
        <w:t xml:space="preserve"> of languages (e.g. get good marks, relevant to work and useful</w:t>
      </w:r>
      <w:r w:rsidR="00C64E22" w:rsidRPr="003F46ED">
        <w:t xml:space="preserve"> in daily life</w:t>
      </w:r>
      <w:r w:rsidRPr="003F46ED">
        <w:t xml:space="preserve">) </w:t>
      </w:r>
      <w:r w:rsidR="005368C9" w:rsidRPr="003F46ED">
        <w:t>can be</w:t>
      </w:r>
      <w:r w:rsidRPr="003F46ED">
        <w:t xml:space="preserve"> just as significant</w:t>
      </w:r>
      <w:r w:rsidR="00144179" w:rsidRPr="003F46ED">
        <w:rPr>
          <w:rFonts w:ascii="Calibri" w:hAnsi="Calibri"/>
        </w:rPr>
        <w:t xml:space="preserve"> (</w:t>
      </w:r>
      <w:proofErr w:type="spellStart"/>
      <w:r w:rsidR="00144179" w:rsidRPr="003F46ED">
        <w:rPr>
          <w:rFonts w:ascii="Calibri" w:hAnsi="Calibri"/>
        </w:rPr>
        <w:t>Ainley</w:t>
      </w:r>
      <w:proofErr w:type="spellEnd"/>
      <w:r w:rsidR="00144179" w:rsidRPr="003F46ED">
        <w:rPr>
          <w:rFonts w:ascii="Calibri" w:hAnsi="Calibri"/>
        </w:rPr>
        <w:t xml:space="preserve"> et al., 1994)</w:t>
      </w:r>
      <w:r w:rsidR="00F267B8" w:rsidRPr="003F46ED">
        <w:rPr>
          <w:rFonts w:ascii="Calibri" w:hAnsi="Calibri"/>
        </w:rPr>
        <w:t>.</w:t>
      </w:r>
      <w:r w:rsidR="00144179" w:rsidRPr="003F46ED">
        <w:rPr>
          <w:rFonts w:ascii="Calibri" w:hAnsi="Calibri"/>
        </w:rPr>
        <w:t xml:space="preserve"> The </w:t>
      </w:r>
      <w:r w:rsidR="004B0F9D" w:rsidRPr="003F46ED">
        <w:rPr>
          <w:rFonts w:ascii="Calibri" w:hAnsi="Calibri"/>
        </w:rPr>
        <w:t xml:space="preserve">student survey </w:t>
      </w:r>
      <w:r w:rsidR="00100023" w:rsidRPr="003F46ED">
        <w:rPr>
          <w:rFonts w:ascii="Calibri" w:hAnsi="Calibri"/>
        </w:rPr>
        <w:t>result</w:t>
      </w:r>
      <w:r w:rsidR="00144179" w:rsidRPr="003F46ED">
        <w:rPr>
          <w:rFonts w:ascii="Calibri" w:hAnsi="Calibri"/>
        </w:rPr>
        <w:t>s indicate similar patterns</w:t>
      </w:r>
      <w:r w:rsidR="0035615B" w:rsidRPr="003F46ED">
        <w:rPr>
          <w:rFonts w:ascii="Calibri" w:hAnsi="Calibri"/>
        </w:rPr>
        <w:t xml:space="preserve"> along the lines of intrinsic and extrinsic factors</w:t>
      </w:r>
      <w:r w:rsidR="00144179" w:rsidRPr="003F46ED">
        <w:rPr>
          <w:rFonts w:ascii="Calibri" w:hAnsi="Calibri"/>
        </w:rPr>
        <w:t xml:space="preserve"> (</w:t>
      </w:r>
      <w:r w:rsidR="004B0F9D" w:rsidRPr="003F46ED">
        <w:t>Rothman, Zhao &amp; Lonsdale, 2014</w:t>
      </w:r>
      <w:r w:rsidR="0002778E" w:rsidRPr="003F46ED">
        <w:rPr>
          <w:rFonts w:ascii="Calibri" w:hAnsi="Calibri"/>
        </w:rPr>
        <w:t>) as captured in Table 4.2</w:t>
      </w:r>
      <w:r w:rsidR="008C3092" w:rsidRPr="003F46ED">
        <w:rPr>
          <w:rFonts w:ascii="Calibri" w:hAnsi="Calibri"/>
        </w:rPr>
        <w:t xml:space="preserve"> below</w:t>
      </w:r>
      <w:r w:rsidR="00344D82" w:rsidRPr="003F46ED">
        <w:rPr>
          <w:rFonts w:ascii="Calibri" w:hAnsi="Calibri"/>
        </w:rPr>
        <w:t>.</w:t>
      </w:r>
      <w:bookmarkEnd w:id="499"/>
      <w:r w:rsidR="00144179" w:rsidRPr="003F46ED">
        <w:rPr>
          <w:rFonts w:ascii="Calibri" w:hAnsi="Calibri"/>
        </w:rPr>
        <w:t xml:space="preserve"> </w:t>
      </w:r>
    </w:p>
    <w:p w14:paraId="00AB7724" w14:textId="283677AD" w:rsidR="00DF57D7" w:rsidRPr="003F46ED" w:rsidRDefault="00DF57D7" w:rsidP="00BA49C9">
      <w:pPr>
        <w:pStyle w:val="Caption"/>
      </w:pPr>
      <w:bookmarkStart w:id="500" w:name="_Toc402180706"/>
      <w:r w:rsidRPr="00BF296E">
        <w:rPr>
          <w:b/>
        </w:rPr>
        <w:t>Table 4.2: Students’ reasons for studying a language in Year</w:t>
      </w:r>
      <w:r w:rsidR="00095E6D" w:rsidRPr="00BF296E">
        <w:rPr>
          <w:b/>
        </w:rPr>
        <w:t>s</w:t>
      </w:r>
      <w:r w:rsidRPr="00BF296E">
        <w:rPr>
          <w:b/>
        </w:rPr>
        <w:t xml:space="preserve"> 11 and 12 based on the student survey</w:t>
      </w:r>
      <w:r w:rsidRPr="003F46ED">
        <w:t xml:space="preserve">. </w:t>
      </w:r>
      <w:r w:rsidR="00F74E23">
        <w:br/>
      </w:r>
      <w:r w:rsidRPr="003F46ED">
        <w:t>Note: the number of missing responses varies by survey item.</w:t>
      </w:r>
      <w:bookmarkEnd w:id="500"/>
    </w:p>
    <w:p w14:paraId="143C721C" w14:textId="51E79B64" w:rsidR="00B44405" w:rsidRPr="00BF296E" w:rsidRDefault="00B44405" w:rsidP="0091348F">
      <w:pPr>
        <w:spacing w:after="0"/>
        <w:rPr>
          <w:b/>
        </w:rPr>
      </w:pPr>
      <w:r w:rsidRPr="00BF296E">
        <w:rPr>
          <w:b/>
        </w:rPr>
        <w:t>Extrinsic motivation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746"/>
        <w:gridCol w:w="1020"/>
        <w:gridCol w:w="1022"/>
        <w:gridCol w:w="1022"/>
        <w:gridCol w:w="1022"/>
        <w:gridCol w:w="1016"/>
      </w:tblGrid>
      <w:tr w:rsidR="00CA364C" w:rsidRPr="003F46ED" w14:paraId="7F5B5FDA" w14:textId="77777777" w:rsidTr="00B44405">
        <w:trPr>
          <w:cantSplit/>
          <w:tblHeader/>
        </w:trPr>
        <w:tc>
          <w:tcPr>
            <w:tcW w:w="2409" w:type="pct"/>
            <w:shd w:val="clear" w:color="auto" w:fill="000000" w:themeFill="text1"/>
            <w:vAlign w:val="bottom"/>
          </w:tcPr>
          <w:p w14:paraId="4D066370" w14:textId="77777777" w:rsidR="00CA364C" w:rsidRPr="003F46ED" w:rsidRDefault="00CA364C" w:rsidP="00B30583"/>
        </w:tc>
        <w:tc>
          <w:tcPr>
            <w:tcW w:w="518" w:type="pct"/>
            <w:shd w:val="clear" w:color="auto" w:fill="000000" w:themeFill="text1"/>
            <w:vAlign w:val="bottom"/>
          </w:tcPr>
          <w:p w14:paraId="0921A4D8" w14:textId="77777777" w:rsidR="00CA364C" w:rsidRPr="003F46ED" w:rsidRDefault="00CA364C" w:rsidP="00B30583">
            <w:r w:rsidRPr="003F46ED">
              <w:t>Not at all</w:t>
            </w:r>
          </w:p>
          <w:p w14:paraId="6ABDB9A6" w14:textId="77777777" w:rsidR="00CA364C" w:rsidRPr="003F46ED" w:rsidRDefault="00CA364C" w:rsidP="00B30583">
            <w:r w:rsidRPr="003F46ED">
              <w:t>(%)</w:t>
            </w:r>
          </w:p>
        </w:tc>
        <w:tc>
          <w:tcPr>
            <w:tcW w:w="519" w:type="pct"/>
            <w:shd w:val="clear" w:color="auto" w:fill="000000" w:themeFill="text1"/>
            <w:vAlign w:val="bottom"/>
          </w:tcPr>
          <w:p w14:paraId="0B880494" w14:textId="77777777" w:rsidR="00CA364C" w:rsidRPr="003F46ED" w:rsidRDefault="00CA364C" w:rsidP="00B30583">
            <w:r w:rsidRPr="003F46ED">
              <w:t>Minor extent</w:t>
            </w:r>
          </w:p>
          <w:p w14:paraId="7C244B1F" w14:textId="77777777" w:rsidR="00CA364C" w:rsidRPr="003F46ED" w:rsidRDefault="00CA364C" w:rsidP="00B30583">
            <w:r w:rsidRPr="003F46ED">
              <w:t>(%)</w:t>
            </w:r>
          </w:p>
        </w:tc>
        <w:tc>
          <w:tcPr>
            <w:tcW w:w="519" w:type="pct"/>
            <w:shd w:val="clear" w:color="auto" w:fill="000000" w:themeFill="text1"/>
            <w:vAlign w:val="bottom"/>
          </w:tcPr>
          <w:p w14:paraId="1762EEA8" w14:textId="77777777" w:rsidR="00CA364C" w:rsidRPr="003F46ED" w:rsidRDefault="00CA364C" w:rsidP="00B30583">
            <w:r w:rsidRPr="003F46ED">
              <w:t>Mod. Extent</w:t>
            </w:r>
          </w:p>
          <w:p w14:paraId="496A6963" w14:textId="77777777" w:rsidR="00CA364C" w:rsidRPr="003F46ED" w:rsidRDefault="00CA364C" w:rsidP="00B30583">
            <w:r w:rsidRPr="003F46ED">
              <w:t>(%)</w:t>
            </w:r>
          </w:p>
        </w:tc>
        <w:tc>
          <w:tcPr>
            <w:tcW w:w="519" w:type="pct"/>
            <w:shd w:val="clear" w:color="auto" w:fill="000000" w:themeFill="text1"/>
            <w:vAlign w:val="bottom"/>
          </w:tcPr>
          <w:p w14:paraId="1259EA50" w14:textId="77777777" w:rsidR="00CA364C" w:rsidRPr="003F46ED" w:rsidRDefault="00CA364C" w:rsidP="00B30583">
            <w:r w:rsidRPr="003F46ED">
              <w:t>Major extent</w:t>
            </w:r>
          </w:p>
          <w:p w14:paraId="1E7EAF65" w14:textId="77777777" w:rsidR="00CA364C" w:rsidRPr="003F46ED" w:rsidRDefault="00CA364C" w:rsidP="00B30583">
            <w:r w:rsidRPr="003F46ED">
              <w:t>(%)</w:t>
            </w:r>
          </w:p>
        </w:tc>
        <w:tc>
          <w:tcPr>
            <w:tcW w:w="517" w:type="pct"/>
            <w:shd w:val="clear" w:color="auto" w:fill="000000" w:themeFill="text1"/>
            <w:vAlign w:val="bottom"/>
          </w:tcPr>
          <w:p w14:paraId="7D1B6F3C" w14:textId="77777777" w:rsidR="00CA364C" w:rsidRPr="003F46ED" w:rsidRDefault="00CA364C" w:rsidP="00B30583">
            <w:r w:rsidRPr="003F46ED">
              <w:t>Count</w:t>
            </w:r>
          </w:p>
          <w:p w14:paraId="20873DD2" w14:textId="77777777" w:rsidR="00CA364C" w:rsidRPr="003F46ED" w:rsidRDefault="00CA364C" w:rsidP="00B30583">
            <w:r w:rsidRPr="003F46ED">
              <w:t>(n)</w:t>
            </w:r>
          </w:p>
        </w:tc>
      </w:tr>
      <w:tr w:rsidR="00CA364C" w:rsidRPr="003F46ED" w14:paraId="3FBD68BE" w14:textId="77777777" w:rsidTr="00B44405">
        <w:trPr>
          <w:cantSplit/>
        </w:trPr>
        <w:tc>
          <w:tcPr>
            <w:tcW w:w="2409" w:type="pct"/>
            <w:vAlign w:val="bottom"/>
          </w:tcPr>
          <w:p w14:paraId="22DF2142" w14:textId="77777777" w:rsidR="00CA364C" w:rsidRPr="003F46ED" w:rsidRDefault="00CA364C" w:rsidP="00B30583">
            <w:r w:rsidRPr="003F46ED">
              <w:t>Many of my friends were in my language classes.</w:t>
            </w:r>
          </w:p>
        </w:tc>
        <w:tc>
          <w:tcPr>
            <w:tcW w:w="518" w:type="pct"/>
            <w:vAlign w:val="center"/>
          </w:tcPr>
          <w:p w14:paraId="650B94FA" w14:textId="77777777" w:rsidR="00CA364C" w:rsidRPr="003F46ED" w:rsidRDefault="00CA364C" w:rsidP="00B30583">
            <w:r w:rsidRPr="003F46ED">
              <w:t>22.9</w:t>
            </w:r>
          </w:p>
        </w:tc>
        <w:tc>
          <w:tcPr>
            <w:tcW w:w="519" w:type="pct"/>
            <w:vAlign w:val="center"/>
          </w:tcPr>
          <w:p w14:paraId="085F16E9" w14:textId="77777777" w:rsidR="00CA364C" w:rsidRPr="003F46ED" w:rsidRDefault="00CA364C" w:rsidP="00B30583">
            <w:r w:rsidRPr="003F46ED">
              <w:t>38.9</w:t>
            </w:r>
          </w:p>
        </w:tc>
        <w:tc>
          <w:tcPr>
            <w:tcW w:w="519" w:type="pct"/>
            <w:vAlign w:val="center"/>
          </w:tcPr>
          <w:p w14:paraId="42FEA530" w14:textId="77777777" w:rsidR="00CA364C" w:rsidRPr="003F46ED" w:rsidRDefault="00CA364C" w:rsidP="00B30583">
            <w:r w:rsidRPr="003F46ED">
              <w:t>27.8</w:t>
            </w:r>
          </w:p>
        </w:tc>
        <w:tc>
          <w:tcPr>
            <w:tcW w:w="519" w:type="pct"/>
            <w:vAlign w:val="center"/>
          </w:tcPr>
          <w:p w14:paraId="3E13F349" w14:textId="77777777" w:rsidR="00CA364C" w:rsidRPr="003F46ED" w:rsidRDefault="00CA364C" w:rsidP="00B30583">
            <w:r w:rsidRPr="003F46ED">
              <w:t>10.4</w:t>
            </w:r>
          </w:p>
        </w:tc>
        <w:tc>
          <w:tcPr>
            <w:tcW w:w="517" w:type="pct"/>
            <w:vAlign w:val="center"/>
          </w:tcPr>
          <w:p w14:paraId="1E6910FC" w14:textId="77777777" w:rsidR="00CA364C" w:rsidRPr="003F46ED" w:rsidRDefault="00CA364C" w:rsidP="00B30583">
            <w:r w:rsidRPr="003F46ED">
              <w:t>144</w:t>
            </w:r>
          </w:p>
        </w:tc>
      </w:tr>
      <w:tr w:rsidR="00CA364C" w:rsidRPr="003F46ED" w14:paraId="67EFD25E" w14:textId="77777777" w:rsidTr="00B44405">
        <w:trPr>
          <w:cantSplit/>
        </w:trPr>
        <w:tc>
          <w:tcPr>
            <w:tcW w:w="2409" w:type="pct"/>
            <w:vAlign w:val="bottom"/>
          </w:tcPr>
          <w:p w14:paraId="606808A7" w14:textId="77777777" w:rsidR="00CA364C" w:rsidRPr="003F46ED" w:rsidRDefault="00CA364C" w:rsidP="00B30583">
            <w:r w:rsidRPr="003F46ED">
              <w:t>It was important for my parents that I studied a language at school.</w:t>
            </w:r>
          </w:p>
        </w:tc>
        <w:tc>
          <w:tcPr>
            <w:tcW w:w="518" w:type="pct"/>
            <w:vAlign w:val="center"/>
          </w:tcPr>
          <w:p w14:paraId="1220E163" w14:textId="77777777" w:rsidR="00CA364C" w:rsidRPr="003F46ED" w:rsidRDefault="00CA364C" w:rsidP="00B30583">
            <w:r w:rsidRPr="003F46ED">
              <w:t>54.9</w:t>
            </w:r>
          </w:p>
        </w:tc>
        <w:tc>
          <w:tcPr>
            <w:tcW w:w="519" w:type="pct"/>
            <w:vAlign w:val="center"/>
          </w:tcPr>
          <w:p w14:paraId="127349F7" w14:textId="77777777" w:rsidR="00CA364C" w:rsidRPr="003F46ED" w:rsidRDefault="00CA364C" w:rsidP="00B30583">
            <w:r w:rsidRPr="003F46ED">
              <w:t>24.3</w:t>
            </w:r>
          </w:p>
        </w:tc>
        <w:tc>
          <w:tcPr>
            <w:tcW w:w="519" w:type="pct"/>
            <w:vAlign w:val="center"/>
          </w:tcPr>
          <w:p w14:paraId="6BE948A4" w14:textId="77777777" w:rsidR="00CA364C" w:rsidRPr="003F46ED" w:rsidRDefault="00CA364C" w:rsidP="00B30583">
            <w:r w:rsidRPr="003F46ED">
              <w:t>13.2</w:t>
            </w:r>
          </w:p>
        </w:tc>
        <w:tc>
          <w:tcPr>
            <w:tcW w:w="519" w:type="pct"/>
            <w:vAlign w:val="center"/>
          </w:tcPr>
          <w:p w14:paraId="6F94B974" w14:textId="77777777" w:rsidR="00CA364C" w:rsidRPr="003F46ED" w:rsidRDefault="00CA364C" w:rsidP="00B30583">
            <w:r w:rsidRPr="003F46ED">
              <w:t>7.6</w:t>
            </w:r>
          </w:p>
        </w:tc>
        <w:tc>
          <w:tcPr>
            <w:tcW w:w="517" w:type="pct"/>
            <w:vAlign w:val="center"/>
          </w:tcPr>
          <w:p w14:paraId="379B9D57" w14:textId="77777777" w:rsidR="00CA364C" w:rsidRPr="003F46ED" w:rsidRDefault="00CA364C" w:rsidP="00B30583">
            <w:r w:rsidRPr="003F46ED">
              <w:t>144</w:t>
            </w:r>
          </w:p>
        </w:tc>
      </w:tr>
      <w:tr w:rsidR="00CA364C" w:rsidRPr="003F46ED" w14:paraId="62EA66D5" w14:textId="77777777" w:rsidTr="00B44405">
        <w:trPr>
          <w:cantSplit/>
        </w:trPr>
        <w:tc>
          <w:tcPr>
            <w:tcW w:w="2409" w:type="pct"/>
            <w:vAlign w:val="bottom"/>
          </w:tcPr>
          <w:p w14:paraId="76665017" w14:textId="77777777" w:rsidR="00CA364C" w:rsidRPr="003F46ED" w:rsidRDefault="00CA364C" w:rsidP="00B30583">
            <w:r w:rsidRPr="003F46ED">
              <w:t>My decision to study a language at school was influenced by my career plans.</w:t>
            </w:r>
          </w:p>
        </w:tc>
        <w:tc>
          <w:tcPr>
            <w:tcW w:w="518" w:type="pct"/>
            <w:vAlign w:val="center"/>
          </w:tcPr>
          <w:p w14:paraId="4E1B6A6E" w14:textId="77777777" w:rsidR="00CA364C" w:rsidRPr="003F46ED" w:rsidRDefault="00CA364C" w:rsidP="00B30583">
            <w:r w:rsidRPr="003F46ED">
              <w:t>38.2</w:t>
            </w:r>
          </w:p>
        </w:tc>
        <w:tc>
          <w:tcPr>
            <w:tcW w:w="519" w:type="pct"/>
            <w:vAlign w:val="center"/>
          </w:tcPr>
          <w:p w14:paraId="0CCEE358" w14:textId="77777777" w:rsidR="00CA364C" w:rsidRPr="003F46ED" w:rsidRDefault="00CA364C" w:rsidP="00B30583">
            <w:r w:rsidRPr="003F46ED">
              <w:t>23.6</w:t>
            </w:r>
          </w:p>
        </w:tc>
        <w:tc>
          <w:tcPr>
            <w:tcW w:w="519" w:type="pct"/>
            <w:vAlign w:val="center"/>
          </w:tcPr>
          <w:p w14:paraId="77F4513A" w14:textId="77777777" w:rsidR="00CA364C" w:rsidRPr="003F46ED" w:rsidRDefault="00CA364C" w:rsidP="00B30583">
            <w:r w:rsidRPr="003F46ED">
              <w:t>21.5</w:t>
            </w:r>
          </w:p>
        </w:tc>
        <w:tc>
          <w:tcPr>
            <w:tcW w:w="519" w:type="pct"/>
            <w:vAlign w:val="center"/>
          </w:tcPr>
          <w:p w14:paraId="72DD08FD" w14:textId="77777777" w:rsidR="00CA364C" w:rsidRPr="003F46ED" w:rsidRDefault="00CA364C" w:rsidP="00B30583">
            <w:r w:rsidRPr="003F46ED">
              <w:t>16.7</w:t>
            </w:r>
          </w:p>
        </w:tc>
        <w:tc>
          <w:tcPr>
            <w:tcW w:w="517" w:type="pct"/>
            <w:vAlign w:val="center"/>
          </w:tcPr>
          <w:p w14:paraId="24AED9E8" w14:textId="77777777" w:rsidR="00CA364C" w:rsidRPr="003F46ED" w:rsidRDefault="00CA364C" w:rsidP="00B30583">
            <w:r w:rsidRPr="003F46ED">
              <w:t>144</w:t>
            </w:r>
          </w:p>
        </w:tc>
      </w:tr>
      <w:tr w:rsidR="00CA364C" w:rsidRPr="003F46ED" w14:paraId="4127688F" w14:textId="77777777" w:rsidTr="00B44405">
        <w:trPr>
          <w:cantSplit/>
        </w:trPr>
        <w:tc>
          <w:tcPr>
            <w:tcW w:w="2409" w:type="pct"/>
            <w:vAlign w:val="bottom"/>
          </w:tcPr>
          <w:p w14:paraId="5577D324" w14:textId="77777777" w:rsidR="00CA364C" w:rsidRPr="003F46ED" w:rsidRDefault="00CA364C" w:rsidP="00B30583">
            <w:r w:rsidRPr="003F46ED">
              <w:t>I was inspired to study a language because of a multilingual person who I admire.</w:t>
            </w:r>
          </w:p>
        </w:tc>
        <w:tc>
          <w:tcPr>
            <w:tcW w:w="518" w:type="pct"/>
            <w:vAlign w:val="center"/>
          </w:tcPr>
          <w:p w14:paraId="70EBFD24" w14:textId="77777777" w:rsidR="00CA364C" w:rsidRPr="003F46ED" w:rsidRDefault="00CA364C" w:rsidP="00B30583">
            <w:r w:rsidRPr="003F46ED">
              <w:t>38.9</w:t>
            </w:r>
          </w:p>
        </w:tc>
        <w:tc>
          <w:tcPr>
            <w:tcW w:w="519" w:type="pct"/>
            <w:vAlign w:val="center"/>
          </w:tcPr>
          <w:p w14:paraId="285B51F4" w14:textId="77777777" w:rsidR="00CA364C" w:rsidRPr="003F46ED" w:rsidRDefault="00CA364C" w:rsidP="00B30583">
            <w:r w:rsidRPr="003F46ED">
              <w:t>33.3</w:t>
            </w:r>
          </w:p>
        </w:tc>
        <w:tc>
          <w:tcPr>
            <w:tcW w:w="519" w:type="pct"/>
            <w:vAlign w:val="center"/>
          </w:tcPr>
          <w:p w14:paraId="5263CB7E" w14:textId="77777777" w:rsidR="00CA364C" w:rsidRPr="003F46ED" w:rsidRDefault="00CA364C" w:rsidP="00B30583">
            <w:r w:rsidRPr="003F46ED">
              <w:t>14.6</w:t>
            </w:r>
          </w:p>
        </w:tc>
        <w:tc>
          <w:tcPr>
            <w:tcW w:w="519" w:type="pct"/>
            <w:vAlign w:val="center"/>
          </w:tcPr>
          <w:p w14:paraId="5982700C" w14:textId="77777777" w:rsidR="00CA364C" w:rsidRPr="003F46ED" w:rsidRDefault="00CA364C" w:rsidP="00B30583">
            <w:r w:rsidRPr="003F46ED">
              <w:t>13.2</w:t>
            </w:r>
          </w:p>
        </w:tc>
        <w:tc>
          <w:tcPr>
            <w:tcW w:w="517" w:type="pct"/>
            <w:vAlign w:val="center"/>
          </w:tcPr>
          <w:p w14:paraId="7C115CF0" w14:textId="77777777" w:rsidR="00CA364C" w:rsidRPr="003F46ED" w:rsidRDefault="00CA364C" w:rsidP="00B30583">
            <w:r w:rsidRPr="003F46ED">
              <w:t>144</w:t>
            </w:r>
          </w:p>
        </w:tc>
      </w:tr>
      <w:tr w:rsidR="00CA364C" w:rsidRPr="003F46ED" w14:paraId="4B13AC2C" w14:textId="77777777" w:rsidTr="00B44405">
        <w:trPr>
          <w:cantSplit/>
        </w:trPr>
        <w:tc>
          <w:tcPr>
            <w:tcW w:w="2409" w:type="pct"/>
            <w:vAlign w:val="bottom"/>
          </w:tcPr>
          <w:p w14:paraId="1FE31C14" w14:textId="77777777" w:rsidR="00CA364C" w:rsidRPr="003F46ED" w:rsidRDefault="00CA364C" w:rsidP="00B30583">
            <w:r w:rsidRPr="003F46ED">
              <w:t>If a person can speak more than one language, they will, on average, be more effective thinkers.</w:t>
            </w:r>
          </w:p>
        </w:tc>
        <w:tc>
          <w:tcPr>
            <w:tcW w:w="518" w:type="pct"/>
            <w:vAlign w:val="center"/>
          </w:tcPr>
          <w:p w14:paraId="66B8F4D8" w14:textId="77777777" w:rsidR="00CA364C" w:rsidRPr="003F46ED" w:rsidRDefault="00CA364C" w:rsidP="00B30583">
            <w:r w:rsidRPr="003F46ED">
              <w:t>1.9</w:t>
            </w:r>
          </w:p>
        </w:tc>
        <w:tc>
          <w:tcPr>
            <w:tcW w:w="519" w:type="pct"/>
            <w:vAlign w:val="center"/>
          </w:tcPr>
          <w:p w14:paraId="6095EA8B" w14:textId="77777777" w:rsidR="00CA364C" w:rsidRPr="003F46ED" w:rsidRDefault="00CA364C" w:rsidP="00B30583">
            <w:r w:rsidRPr="003F46ED">
              <w:t>13.5</w:t>
            </w:r>
          </w:p>
        </w:tc>
        <w:tc>
          <w:tcPr>
            <w:tcW w:w="519" w:type="pct"/>
            <w:vAlign w:val="center"/>
          </w:tcPr>
          <w:p w14:paraId="7253BBCC" w14:textId="77777777" w:rsidR="00CA364C" w:rsidRPr="003F46ED" w:rsidRDefault="00CA364C" w:rsidP="00B30583">
            <w:r w:rsidRPr="003F46ED">
              <w:t>46.2</w:t>
            </w:r>
          </w:p>
        </w:tc>
        <w:tc>
          <w:tcPr>
            <w:tcW w:w="519" w:type="pct"/>
            <w:vAlign w:val="center"/>
          </w:tcPr>
          <w:p w14:paraId="11587121" w14:textId="77777777" w:rsidR="00CA364C" w:rsidRPr="003F46ED" w:rsidRDefault="00CA364C" w:rsidP="00B30583">
            <w:r w:rsidRPr="003F46ED">
              <w:t>38.5</w:t>
            </w:r>
          </w:p>
        </w:tc>
        <w:tc>
          <w:tcPr>
            <w:tcW w:w="517" w:type="pct"/>
            <w:vAlign w:val="center"/>
          </w:tcPr>
          <w:p w14:paraId="08F8C7BF" w14:textId="77777777" w:rsidR="00CA364C" w:rsidRPr="003F46ED" w:rsidRDefault="00CA364C" w:rsidP="00B30583">
            <w:r w:rsidRPr="003F46ED">
              <w:t>104</w:t>
            </w:r>
          </w:p>
        </w:tc>
      </w:tr>
      <w:tr w:rsidR="00CA364C" w:rsidRPr="003F46ED" w14:paraId="647557D8" w14:textId="77777777" w:rsidTr="00B44405">
        <w:trPr>
          <w:cantSplit/>
        </w:trPr>
        <w:tc>
          <w:tcPr>
            <w:tcW w:w="2409" w:type="pct"/>
            <w:vAlign w:val="bottom"/>
          </w:tcPr>
          <w:p w14:paraId="4CC10041" w14:textId="77777777" w:rsidR="00CA364C" w:rsidRPr="003F46ED" w:rsidRDefault="00CA364C" w:rsidP="00B30583">
            <w:r w:rsidRPr="003F46ED">
              <w:t xml:space="preserve">I chose to study a language in Year 12 because the language bonus would help my </w:t>
            </w:r>
            <w:proofErr w:type="spellStart"/>
            <w:r w:rsidRPr="003F46ED">
              <w:t>ATAR</w:t>
            </w:r>
            <w:proofErr w:type="spellEnd"/>
            <w:r w:rsidRPr="003F46ED">
              <w:t>/OP score.</w:t>
            </w:r>
          </w:p>
        </w:tc>
        <w:tc>
          <w:tcPr>
            <w:tcW w:w="518" w:type="pct"/>
            <w:vAlign w:val="center"/>
          </w:tcPr>
          <w:p w14:paraId="2333A983" w14:textId="77777777" w:rsidR="00CA364C" w:rsidRPr="003F46ED" w:rsidRDefault="00CA364C" w:rsidP="00B30583">
            <w:r w:rsidRPr="003F46ED">
              <w:t>45.0</w:t>
            </w:r>
          </w:p>
        </w:tc>
        <w:tc>
          <w:tcPr>
            <w:tcW w:w="519" w:type="pct"/>
            <w:vAlign w:val="center"/>
          </w:tcPr>
          <w:p w14:paraId="0FFACFA6" w14:textId="77777777" w:rsidR="00CA364C" w:rsidRPr="003F46ED" w:rsidRDefault="00CA364C" w:rsidP="00B30583">
            <w:r w:rsidRPr="003F46ED">
              <w:t>30.0</w:t>
            </w:r>
          </w:p>
        </w:tc>
        <w:tc>
          <w:tcPr>
            <w:tcW w:w="519" w:type="pct"/>
            <w:vAlign w:val="center"/>
          </w:tcPr>
          <w:p w14:paraId="23FCCA9B" w14:textId="77777777" w:rsidR="00CA364C" w:rsidRPr="003F46ED" w:rsidRDefault="00CA364C" w:rsidP="00B30583">
            <w:r w:rsidRPr="003F46ED">
              <w:t>12.5</w:t>
            </w:r>
          </w:p>
        </w:tc>
        <w:tc>
          <w:tcPr>
            <w:tcW w:w="519" w:type="pct"/>
            <w:vAlign w:val="center"/>
          </w:tcPr>
          <w:p w14:paraId="33F551BC" w14:textId="77777777" w:rsidR="00CA364C" w:rsidRPr="003F46ED" w:rsidRDefault="00CA364C" w:rsidP="00B30583">
            <w:r w:rsidRPr="003F46ED">
              <w:t>12.5</w:t>
            </w:r>
          </w:p>
        </w:tc>
        <w:tc>
          <w:tcPr>
            <w:tcW w:w="517" w:type="pct"/>
            <w:vAlign w:val="center"/>
          </w:tcPr>
          <w:p w14:paraId="654D6054" w14:textId="77777777" w:rsidR="00CA364C" w:rsidRPr="003F46ED" w:rsidRDefault="00CA364C" w:rsidP="00B30583">
            <w:r w:rsidRPr="003F46ED">
              <w:t>40</w:t>
            </w:r>
          </w:p>
        </w:tc>
      </w:tr>
    </w:tbl>
    <w:p w14:paraId="45866149" w14:textId="61EBF42B" w:rsidR="00A01094" w:rsidRPr="00BF296E" w:rsidRDefault="00A01094" w:rsidP="0091348F">
      <w:pPr>
        <w:spacing w:before="240" w:after="0"/>
        <w:rPr>
          <w:b/>
        </w:rPr>
      </w:pPr>
      <w:r w:rsidRPr="00BF296E">
        <w:rPr>
          <w:b/>
        </w:rPr>
        <w:t>Intrinsic motivation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748"/>
        <w:gridCol w:w="1020"/>
        <w:gridCol w:w="1022"/>
        <w:gridCol w:w="1022"/>
        <w:gridCol w:w="1022"/>
        <w:gridCol w:w="1014"/>
      </w:tblGrid>
      <w:tr w:rsidR="00B44405" w:rsidRPr="003F46ED" w14:paraId="11A32C64" w14:textId="77777777" w:rsidTr="00A01094">
        <w:trPr>
          <w:cantSplit/>
          <w:tblHeader/>
        </w:trPr>
        <w:tc>
          <w:tcPr>
            <w:tcW w:w="2410" w:type="pct"/>
            <w:shd w:val="clear" w:color="auto" w:fill="000000" w:themeFill="text1"/>
            <w:vAlign w:val="bottom"/>
          </w:tcPr>
          <w:p w14:paraId="57F4BEA8" w14:textId="77777777" w:rsidR="00B44405" w:rsidRPr="003F46ED" w:rsidRDefault="00B44405" w:rsidP="009F427B">
            <w:bookmarkStart w:id="501" w:name="_Toc402180707"/>
          </w:p>
        </w:tc>
        <w:tc>
          <w:tcPr>
            <w:tcW w:w="518" w:type="pct"/>
            <w:shd w:val="clear" w:color="auto" w:fill="000000" w:themeFill="text1"/>
            <w:vAlign w:val="bottom"/>
          </w:tcPr>
          <w:p w14:paraId="63430C0B" w14:textId="77777777" w:rsidR="00B44405" w:rsidRPr="003F46ED" w:rsidRDefault="00B44405" w:rsidP="009F427B">
            <w:r w:rsidRPr="003F46ED">
              <w:t>Not at all</w:t>
            </w:r>
          </w:p>
          <w:p w14:paraId="1E31FA1C" w14:textId="77777777" w:rsidR="00B44405" w:rsidRPr="003F46ED" w:rsidRDefault="00B44405" w:rsidP="009F427B">
            <w:r w:rsidRPr="003F46ED">
              <w:t>(%)</w:t>
            </w:r>
          </w:p>
        </w:tc>
        <w:tc>
          <w:tcPr>
            <w:tcW w:w="519" w:type="pct"/>
            <w:shd w:val="clear" w:color="auto" w:fill="000000" w:themeFill="text1"/>
            <w:vAlign w:val="bottom"/>
          </w:tcPr>
          <w:p w14:paraId="7E54BE2A" w14:textId="77777777" w:rsidR="00B44405" w:rsidRPr="003F46ED" w:rsidRDefault="00B44405" w:rsidP="009F427B">
            <w:r w:rsidRPr="003F46ED">
              <w:t>Minor extent</w:t>
            </w:r>
          </w:p>
          <w:p w14:paraId="141041BA" w14:textId="77777777" w:rsidR="00B44405" w:rsidRPr="003F46ED" w:rsidRDefault="00B44405" w:rsidP="009F427B">
            <w:r w:rsidRPr="003F46ED">
              <w:t>(%)</w:t>
            </w:r>
          </w:p>
        </w:tc>
        <w:tc>
          <w:tcPr>
            <w:tcW w:w="519" w:type="pct"/>
            <w:shd w:val="clear" w:color="auto" w:fill="000000" w:themeFill="text1"/>
            <w:vAlign w:val="bottom"/>
          </w:tcPr>
          <w:p w14:paraId="4EB648C6" w14:textId="77777777" w:rsidR="00B44405" w:rsidRPr="003F46ED" w:rsidRDefault="00B44405" w:rsidP="009F427B">
            <w:r w:rsidRPr="003F46ED">
              <w:t>Mod. Extent</w:t>
            </w:r>
          </w:p>
          <w:p w14:paraId="4212A35B" w14:textId="77777777" w:rsidR="00B44405" w:rsidRPr="003F46ED" w:rsidRDefault="00B44405" w:rsidP="009F427B">
            <w:r w:rsidRPr="003F46ED">
              <w:t>(%)</w:t>
            </w:r>
          </w:p>
        </w:tc>
        <w:tc>
          <w:tcPr>
            <w:tcW w:w="519" w:type="pct"/>
            <w:shd w:val="clear" w:color="auto" w:fill="000000" w:themeFill="text1"/>
            <w:vAlign w:val="bottom"/>
          </w:tcPr>
          <w:p w14:paraId="6011A237" w14:textId="77777777" w:rsidR="00B44405" w:rsidRPr="003F46ED" w:rsidRDefault="00B44405" w:rsidP="009F427B">
            <w:r w:rsidRPr="003F46ED">
              <w:t>Major extent</w:t>
            </w:r>
          </w:p>
          <w:p w14:paraId="1F88EEC0" w14:textId="77777777" w:rsidR="00B44405" w:rsidRPr="003F46ED" w:rsidRDefault="00B44405" w:rsidP="009F427B">
            <w:r w:rsidRPr="003F46ED">
              <w:t>(%)</w:t>
            </w:r>
          </w:p>
        </w:tc>
        <w:tc>
          <w:tcPr>
            <w:tcW w:w="516" w:type="pct"/>
            <w:shd w:val="clear" w:color="auto" w:fill="000000" w:themeFill="text1"/>
            <w:vAlign w:val="bottom"/>
          </w:tcPr>
          <w:p w14:paraId="633BFC43" w14:textId="77777777" w:rsidR="00B44405" w:rsidRPr="003F46ED" w:rsidRDefault="00B44405" w:rsidP="009F427B">
            <w:r w:rsidRPr="003F46ED">
              <w:t>Count</w:t>
            </w:r>
          </w:p>
          <w:p w14:paraId="0F497F3E" w14:textId="77777777" w:rsidR="00B44405" w:rsidRPr="003F46ED" w:rsidRDefault="00B44405" w:rsidP="009F427B">
            <w:r w:rsidRPr="003F46ED">
              <w:t>(n)</w:t>
            </w:r>
          </w:p>
        </w:tc>
      </w:tr>
      <w:tr w:rsidR="00B44405" w:rsidRPr="003F46ED" w14:paraId="5B95EC1A" w14:textId="77777777" w:rsidTr="0091348F">
        <w:trPr>
          <w:cantSplit/>
          <w:trHeight w:val="1017"/>
        </w:trPr>
        <w:tc>
          <w:tcPr>
            <w:tcW w:w="2410" w:type="pct"/>
            <w:vAlign w:val="bottom"/>
          </w:tcPr>
          <w:p w14:paraId="6333EF61" w14:textId="77777777" w:rsidR="00B44405" w:rsidRPr="003F46ED" w:rsidRDefault="00B44405" w:rsidP="009F427B">
            <w:r w:rsidRPr="003F46ED">
              <w:t>I thought learning a language might be useful in my daily life (e.g. in communicating with friends, watching movies, travelling or researching hobbies).</w:t>
            </w:r>
          </w:p>
        </w:tc>
        <w:tc>
          <w:tcPr>
            <w:tcW w:w="518" w:type="pct"/>
            <w:vAlign w:val="center"/>
          </w:tcPr>
          <w:p w14:paraId="5A7349A2" w14:textId="77777777" w:rsidR="00B44405" w:rsidRPr="003F46ED" w:rsidRDefault="00B44405" w:rsidP="009F427B">
            <w:r w:rsidRPr="003F46ED">
              <w:t>9.6</w:t>
            </w:r>
          </w:p>
        </w:tc>
        <w:tc>
          <w:tcPr>
            <w:tcW w:w="519" w:type="pct"/>
            <w:vAlign w:val="center"/>
          </w:tcPr>
          <w:p w14:paraId="13DCAD30" w14:textId="77777777" w:rsidR="00B44405" w:rsidRPr="003F46ED" w:rsidRDefault="00B44405" w:rsidP="009F427B">
            <w:r w:rsidRPr="003F46ED">
              <w:t>31.7</w:t>
            </w:r>
          </w:p>
        </w:tc>
        <w:tc>
          <w:tcPr>
            <w:tcW w:w="519" w:type="pct"/>
            <w:vAlign w:val="center"/>
          </w:tcPr>
          <w:p w14:paraId="13ECBC0B" w14:textId="77777777" w:rsidR="00B44405" w:rsidRPr="003F46ED" w:rsidRDefault="00B44405" w:rsidP="009F427B">
            <w:r w:rsidRPr="003F46ED">
              <w:t>26.0</w:t>
            </w:r>
          </w:p>
        </w:tc>
        <w:tc>
          <w:tcPr>
            <w:tcW w:w="519" w:type="pct"/>
            <w:vAlign w:val="center"/>
          </w:tcPr>
          <w:p w14:paraId="7BF6AEE9" w14:textId="77777777" w:rsidR="00B44405" w:rsidRPr="003F46ED" w:rsidRDefault="00B44405" w:rsidP="009F427B">
            <w:r w:rsidRPr="003F46ED">
              <w:t>32.7</w:t>
            </w:r>
          </w:p>
        </w:tc>
        <w:tc>
          <w:tcPr>
            <w:tcW w:w="516" w:type="pct"/>
            <w:vAlign w:val="center"/>
          </w:tcPr>
          <w:p w14:paraId="41A11456" w14:textId="77777777" w:rsidR="00B44405" w:rsidRPr="003F46ED" w:rsidRDefault="00B44405" w:rsidP="009F427B">
            <w:r w:rsidRPr="003F46ED">
              <w:t>104</w:t>
            </w:r>
          </w:p>
        </w:tc>
      </w:tr>
      <w:tr w:rsidR="00B44405" w:rsidRPr="003F46ED" w14:paraId="75EE9CA8" w14:textId="77777777" w:rsidTr="00A01094">
        <w:trPr>
          <w:cantSplit/>
        </w:trPr>
        <w:tc>
          <w:tcPr>
            <w:tcW w:w="2410" w:type="pct"/>
            <w:vAlign w:val="bottom"/>
          </w:tcPr>
          <w:p w14:paraId="218F7884" w14:textId="77777777" w:rsidR="00B44405" w:rsidRPr="003F46ED" w:rsidRDefault="00B44405" w:rsidP="009F427B">
            <w:r w:rsidRPr="003F46ED">
              <w:t>I thought learning a language would help me get skills to understand people from different backgrounds.</w:t>
            </w:r>
          </w:p>
        </w:tc>
        <w:tc>
          <w:tcPr>
            <w:tcW w:w="518" w:type="pct"/>
            <w:vAlign w:val="center"/>
          </w:tcPr>
          <w:p w14:paraId="180F15FB" w14:textId="77777777" w:rsidR="00B44405" w:rsidRPr="003F46ED" w:rsidRDefault="00B44405" w:rsidP="009F427B">
            <w:r w:rsidRPr="003F46ED">
              <w:t>6.7</w:t>
            </w:r>
          </w:p>
        </w:tc>
        <w:tc>
          <w:tcPr>
            <w:tcW w:w="519" w:type="pct"/>
            <w:vAlign w:val="center"/>
          </w:tcPr>
          <w:p w14:paraId="15CAF03D" w14:textId="77777777" w:rsidR="00B44405" w:rsidRPr="003F46ED" w:rsidRDefault="00B44405" w:rsidP="009F427B">
            <w:r w:rsidRPr="003F46ED">
              <w:t>15.4</w:t>
            </w:r>
          </w:p>
        </w:tc>
        <w:tc>
          <w:tcPr>
            <w:tcW w:w="519" w:type="pct"/>
            <w:vAlign w:val="center"/>
          </w:tcPr>
          <w:p w14:paraId="256F1487" w14:textId="77777777" w:rsidR="00B44405" w:rsidRPr="003F46ED" w:rsidRDefault="00B44405" w:rsidP="009F427B">
            <w:r w:rsidRPr="003F46ED">
              <w:t>27.9</w:t>
            </w:r>
          </w:p>
        </w:tc>
        <w:tc>
          <w:tcPr>
            <w:tcW w:w="519" w:type="pct"/>
            <w:vAlign w:val="center"/>
          </w:tcPr>
          <w:p w14:paraId="317333A5" w14:textId="77777777" w:rsidR="00B44405" w:rsidRPr="003F46ED" w:rsidRDefault="00B44405" w:rsidP="009F427B">
            <w:r w:rsidRPr="003F46ED">
              <w:t>50.0</w:t>
            </w:r>
          </w:p>
        </w:tc>
        <w:tc>
          <w:tcPr>
            <w:tcW w:w="516" w:type="pct"/>
            <w:vAlign w:val="center"/>
          </w:tcPr>
          <w:p w14:paraId="2B91080D" w14:textId="77777777" w:rsidR="00B44405" w:rsidRPr="003F46ED" w:rsidRDefault="00B44405" w:rsidP="009F427B">
            <w:r w:rsidRPr="003F46ED">
              <w:t>104</w:t>
            </w:r>
          </w:p>
        </w:tc>
      </w:tr>
    </w:tbl>
    <w:p w14:paraId="366EAA2B" w14:textId="77777777" w:rsidR="007B1D45" w:rsidRPr="003F46ED" w:rsidRDefault="00144179" w:rsidP="00B30583">
      <w:r w:rsidRPr="003F46ED">
        <w:t xml:space="preserve">The mix of intrinsic and instrumentalist factors is unique to languages, indicating that student demand for this learning area reflects an intricate web of subject choice considerations. With mathematics, it is clear </w:t>
      </w:r>
      <w:r w:rsidRPr="003F46ED">
        <w:lastRenderedPageBreak/>
        <w:t>that students study</w:t>
      </w:r>
      <w:r w:rsidR="00124A6F" w:rsidRPr="003F46ED">
        <w:t xml:space="preserve"> primarily</w:t>
      </w:r>
      <w:r w:rsidR="00FE2E2D" w:rsidRPr="003F46ED">
        <w:t xml:space="preserve"> </w:t>
      </w:r>
      <w:r w:rsidRPr="003F46ED">
        <w:t xml:space="preserve">for instrumentalist reasons. For the humanities and social sciences, the opposite is true, i.e. students study </w:t>
      </w:r>
      <w:r w:rsidR="00124A6F" w:rsidRPr="003F46ED">
        <w:t xml:space="preserve">mainly </w:t>
      </w:r>
      <w:r w:rsidRPr="003F46ED">
        <w:t>for intrinsic reasons such as enjoyment and interest (</w:t>
      </w:r>
      <w:proofErr w:type="spellStart"/>
      <w:r w:rsidRPr="003F46ED">
        <w:t>Ainley</w:t>
      </w:r>
      <w:proofErr w:type="spellEnd"/>
      <w:r w:rsidRPr="003F46ED">
        <w:t xml:space="preserve"> et al., 1994).</w:t>
      </w:r>
      <w:r w:rsidR="008F67DD" w:rsidRPr="003F46ED">
        <w:t xml:space="preserve"> However, </w:t>
      </w:r>
      <w:r w:rsidR="00F64C8B" w:rsidRPr="003F46ED">
        <w:t>the social factors that have led to this complex web of demand factors for languages in Australia</w:t>
      </w:r>
      <w:r w:rsidR="008F67DD" w:rsidRPr="003F46ED">
        <w:t xml:space="preserve"> remain fuzzy at best</w:t>
      </w:r>
      <w:r w:rsidR="00F64C8B" w:rsidRPr="003F46ED">
        <w:t xml:space="preserve">. </w:t>
      </w:r>
      <w:r w:rsidR="00F7262F" w:rsidRPr="003F46ED">
        <w:t>It appears that a</w:t>
      </w:r>
      <w:r w:rsidR="00F64C8B" w:rsidRPr="003F46ED">
        <w:t xml:space="preserve"> coherent</w:t>
      </w:r>
      <w:r w:rsidR="006418B8" w:rsidRPr="003F46ED">
        <w:t>, nuanced</w:t>
      </w:r>
      <w:r w:rsidR="00F64C8B" w:rsidRPr="003F46ED">
        <w:t xml:space="preserve"> narrative for the value and utility of languages is yet to be fully understood, consistently promoted, and embraced by Australian</w:t>
      </w:r>
      <w:r w:rsidR="006418B8" w:rsidRPr="003F46ED">
        <w:t xml:space="preserve"> educators and the broader</w:t>
      </w:r>
      <w:r w:rsidR="00F64C8B" w:rsidRPr="003F46ED">
        <w:t xml:space="preserve"> society.</w:t>
      </w:r>
      <w:bookmarkEnd w:id="501"/>
    </w:p>
    <w:p w14:paraId="15B66D63" w14:textId="77777777" w:rsidR="007B1D45" w:rsidRPr="003F46ED" w:rsidRDefault="00436A2E" w:rsidP="00076CCC">
      <w:pPr>
        <w:pStyle w:val="Heading3"/>
      </w:pPr>
      <w:bookmarkStart w:id="502" w:name="_Toc402180708"/>
      <w:r w:rsidRPr="003F46ED">
        <w:t>Reasons why students do not choose languages are clearer</w:t>
      </w:r>
      <w:bookmarkEnd w:id="502"/>
    </w:p>
    <w:p w14:paraId="178821F8" w14:textId="77777777" w:rsidR="007B1D45" w:rsidRPr="003F46ED" w:rsidRDefault="00436A2E" w:rsidP="00B30583">
      <w:bookmarkStart w:id="503" w:name="_Toc402180709"/>
      <w:r w:rsidRPr="003F46ED">
        <w:t>Student survey results indicate that those who did not study languages at Years 11 and 12 were motivated largely by strategic factors, citing reasons to do with perceived utility, rather than the importance, of a language</w:t>
      </w:r>
      <w:r w:rsidR="002B4B7C" w:rsidRPr="003F46ED">
        <w:t xml:space="preserve"> (Rothman, Zhao &amp; Lonsdale, 2014)</w:t>
      </w:r>
      <w:r w:rsidR="003F667F" w:rsidRPr="003F46ED">
        <w:t xml:space="preserve"> as seen in Table 4.3.</w:t>
      </w:r>
      <w:bookmarkEnd w:id="503"/>
    </w:p>
    <w:p w14:paraId="20F3549B" w14:textId="128F1E3F" w:rsidR="00FB26A3" w:rsidRPr="003F46ED" w:rsidRDefault="00FB26A3" w:rsidP="00B30583">
      <w:r w:rsidRPr="003F46ED">
        <w:br w:type="page"/>
      </w:r>
    </w:p>
    <w:p w14:paraId="3201795A" w14:textId="38164281" w:rsidR="00DF57D7" w:rsidRPr="0091348F" w:rsidRDefault="00DF57D7" w:rsidP="00BA49C9">
      <w:pPr>
        <w:pStyle w:val="Caption"/>
      </w:pPr>
      <w:bookmarkStart w:id="504" w:name="_Toc402180710"/>
      <w:r w:rsidRPr="00BF296E">
        <w:rPr>
          <w:b/>
        </w:rPr>
        <w:lastRenderedPageBreak/>
        <w:t>Table 4.3: Students’ reasons for not studying a language in Year</w:t>
      </w:r>
      <w:r w:rsidR="00095E6D" w:rsidRPr="00BF296E">
        <w:rPr>
          <w:b/>
        </w:rPr>
        <w:t>s</w:t>
      </w:r>
      <w:r w:rsidRPr="00BF296E">
        <w:rPr>
          <w:b/>
        </w:rPr>
        <w:t xml:space="preserve"> 11 and 12 based on the student survey</w:t>
      </w:r>
      <w:r w:rsidRPr="003F46ED">
        <w:t>.</w:t>
      </w:r>
      <w:r w:rsidR="0091348F">
        <w:t xml:space="preserve"> </w:t>
      </w:r>
      <w:r w:rsidRPr="003F46ED">
        <w:t>Note: the number of missing responses varies by survey item.</w:t>
      </w:r>
      <w:bookmarkEnd w:id="5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779"/>
        <w:gridCol w:w="1035"/>
        <w:gridCol w:w="1005"/>
        <w:gridCol w:w="1032"/>
        <w:gridCol w:w="755"/>
      </w:tblGrid>
      <w:tr w:rsidR="003F667F" w:rsidRPr="003F46ED" w14:paraId="63C61E65" w14:textId="77777777" w:rsidTr="00A01094">
        <w:trPr>
          <w:cantSplit/>
          <w:tblHeader/>
        </w:trPr>
        <w:tc>
          <w:tcPr>
            <w:tcW w:w="0" w:type="auto"/>
            <w:shd w:val="clear" w:color="auto" w:fill="000000" w:themeFill="text1"/>
            <w:vAlign w:val="bottom"/>
          </w:tcPr>
          <w:p w14:paraId="7D9950A0" w14:textId="08B99DA2" w:rsidR="003F667F" w:rsidRPr="003F46ED" w:rsidRDefault="00A01094" w:rsidP="00B30583">
            <w:r w:rsidRPr="003F46ED">
              <w:t>Reason</w:t>
            </w:r>
          </w:p>
        </w:tc>
        <w:tc>
          <w:tcPr>
            <w:tcW w:w="0" w:type="auto"/>
            <w:shd w:val="clear" w:color="auto" w:fill="000000" w:themeFill="text1"/>
            <w:vAlign w:val="bottom"/>
          </w:tcPr>
          <w:p w14:paraId="7DB70FA5" w14:textId="77777777" w:rsidR="003F667F" w:rsidRPr="003F46ED" w:rsidRDefault="003F667F" w:rsidP="00B30583">
            <w:r w:rsidRPr="003F46ED">
              <w:t>Not at all</w:t>
            </w:r>
          </w:p>
          <w:p w14:paraId="72E02127" w14:textId="77777777" w:rsidR="003F667F" w:rsidRPr="003F46ED" w:rsidRDefault="003F667F" w:rsidP="00B30583">
            <w:r w:rsidRPr="003F46ED">
              <w:t>(%)</w:t>
            </w:r>
          </w:p>
        </w:tc>
        <w:tc>
          <w:tcPr>
            <w:tcW w:w="0" w:type="auto"/>
            <w:shd w:val="clear" w:color="auto" w:fill="000000" w:themeFill="text1"/>
            <w:vAlign w:val="bottom"/>
          </w:tcPr>
          <w:p w14:paraId="1B64CAE2" w14:textId="77777777" w:rsidR="003F667F" w:rsidRPr="003F46ED" w:rsidRDefault="003F667F" w:rsidP="00B30583">
            <w:r w:rsidRPr="003F46ED">
              <w:t>Minor extent</w:t>
            </w:r>
          </w:p>
          <w:p w14:paraId="04C8015E" w14:textId="77777777" w:rsidR="003F667F" w:rsidRPr="003F46ED" w:rsidRDefault="003F667F" w:rsidP="00B30583">
            <w:r w:rsidRPr="003F46ED">
              <w:t>(%)</w:t>
            </w:r>
          </w:p>
        </w:tc>
        <w:tc>
          <w:tcPr>
            <w:tcW w:w="0" w:type="auto"/>
            <w:shd w:val="clear" w:color="auto" w:fill="000000" w:themeFill="text1"/>
            <w:vAlign w:val="bottom"/>
          </w:tcPr>
          <w:p w14:paraId="07E92EA5" w14:textId="77777777" w:rsidR="003F667F" w:rsidRPr="003F46ED" w:rsidRDefault="003F667F" w:rsidP="00B30583">
            <w:r w:rsidRPr="003F46ED">
              <w:t xml:space="preserve">Mod. Extent </w:t>
            </w:r>
          </w:p>
          <w:p w14:paraId="17AF2BF6" w14:textId="77777777" w:rsidR="003F667F" w:rsidRPr="003F46ED" w:rsidRDefault="003F667F" w:rsidP="00B30583">
            <w:r w:rsidRPr="003F46ED">
              <w:t>(%)</w:t>
            </w:r>
          </w:p>
        </w:tc>
        <w:tc>
          <w:tcPr>
            <w:tcW w:w="0" w:type="auto"/>
            <w:shd w:val="clear" w:color="auto" w:fill="000000" w:themeFill="text1"/>
            <w:vAlign w:val="bottom"/>
          </w:tcPr>
          <w:p w14:paraId="363642CD" w14:textId="77777777" w:rsidR="003F667F" w:rsidRPr="003F46ED" w:rsidRDefault="003F667F" w:rsidP="00B30583">
            <w:r w:rsidRPr="003F46ED">
              <w:t>Major extent</w:t>
            </w:r>
          </w:p>
          <w:p w14:paraId="5AAD826B" w14:textId="77777777" w:rsidR="003F667F" w:rsidRPr="003F46ED" w:rsidRDefault="003F667F" w:rsidP="00B30583">
            <w:r w:rsidRPr="003F46ED">
              <w:t>(%)</w:t>
            </w:r>
          </w:p>
        </w:tc>
        <w:tc>
          <w:tcPr>
            <w:tcW w:w="0" w:type="auto"/>
            <w:shd w:val="clear" w:color="auto" w:fill="000000" w:themeFill="text1"/>
            <w:vAlign w:val="bottom"/>
          </w:tcPr>
          <w:p w14:paraId="4D713BCE" w14:textId="77777777" w:rsidR="003F667F" w:rsidRPr="003F46ED" w:rsidRDefault="003F667F" w:rsidP="00B30583">
            <w:r w:rsidRPr="003F46ED">
              <w:t>Count</w:t>
            </w:r>
          </w:p>
          <w:p w14:paraId="0C102E1F" w14:textId="77777777" w:rsidR="003F667F" w:rsidRPr="003F46ED" w:rsidRDefault="003F667F" w:rsidP="00B30583">
            <w:r w:rsidRPr="003F46ED">
              <w:t>(n)</w:t>
            </w:r>
          </w:p>
        </w:tc>
      </w:tr>
      <w:tr w:rsidR="003F667F" w:rsidRPr="003F46ED" w14:paraId="1307E2D7" w14:textId="77777777" w:rsidTr="00A01094">
        <w:trPr>
          <w:cantSplit/>
        </w:trPr>
        <w:tc>
          <w:tcPr>
            <w:tcW w:w="0" w:type="auto"/>
            <w:shd w:val="clear" w:color="auto" w:fill="auto"/>
            <w:vAlign w:val="bottom"/>
          </w:tcPr>
          <w:p w14:paraId="4288FF4E" w14:textId="77777777" w:rsidR="003F667F" w:rsidRPr="003F46ED" w:rsidRDefault="003F667F" w:rsidP="00B30583">
            <w:r w:rsidRPr="003F46ED">
              <w:t>I needed to take other subjects for the tertiary education course I was interested in.</w:t>
            </w:r>
          </w:p>
        </w:tc>
        <w:tc>
          <w:tcPr>
            <w:tcW w:w="0" w:type="auto"/>
            <w:shd w:val="clear" w:color="auto" w:fill="auto"/>
            <w:vAlign w:val="center"/>
          </w:tcPr>
          <w:p w14:paraId="1CB71B6B" w14:textId="77777777" w:rsidR="003F667F" w:rsidRPr="003F46ED" w:rsidRDefault="003F667F" w:rsidP="00B30583">
            <w:r w:rsidRPr="003F46ED">
              <w:t>28.3</w:t>
            </w:r>
          </w:p>
        </w:tc>
        <w:tc>
          <w:tcPr>
            <w:tcW w:w="0" w:type="auto"/>
            <w:shd w:val="clear" w:color="auto" w:fill="auto"/>
            <w:vAlign w:val="center"/>
          </w:tcPr>
          <w:p w14:paraId="37A3A7AC" w14:textId="77777777" w:rsidR="003F667F" w:rsidRPr="003F46ED" w:rsidRDefault="003F667F" w:rsidP="00B30583">
            <w:r w:rsidRPr="003F46ED">
              <w:t>22.5</w:t>
            </w:r>
          </w:p>
        </w:tc>
        <w:tc>
          <w:tcPr>
            <w:tcW w:w="0" w:type="auto"/>
            <w:shd w:val="clear" w:color="auto" w:fill="auto"/>
            <w:vAlign w:val="center"/>
          </w:tcPr>
          <w:p w14:paraId="1C64361F" w14:textId="77777777" w:rsidR="003F667F" w:rsidRPr="003F46ED" w:rsidRDefault="003F667F" w:rsidP="00B30583">
            <w:r w:rsidRPr="003F46ED">
              <w:t>24.2</w:t>
            </w:r>
          </w:p>
        </w:tc>
        <w:tc>
          <w:tcPr>
            <w:tcW w:w="0" w:type="auto"/>
            <w:shd w:val="clear" w:color="auto" w:fill="auto"/>
            <w:vAlign w:val="center"/>
          </w:tcPr>
          <w:p w14:paraId="4B7D056C" w14:textId="77777777" w:rsidR="003F667F" w:rsidRPr="003F46ED" w:rsidRDefault="003F667F" w:rsidP="00B30583">
            <w:r w:rsidRPr="003F46ED">
              <w:t>25.0</w:t>
            </w:r>
          </w:p>
        </w:tc>
        <w:tc>
          <w:tcPr>
            <w:tcW w:w="0" w:type="auto"/>
            <w:shd w:val="clear" w:color="auto" w:fill="auto"/>
            <w:vAlign w:val="center"/>
          </w:tcPr>
          <w:p w14:paraId="1645E8FD" w14:textId="77777777" w:rsidR="003F667F" w:rsidRPr="003F46ED" w:rsidRDefault="003F667F" w:rsidP="00B30583">
            <w:r w:rsidRPr="003F46ED">
              <w:t>120</w:t>
            </w:r>
          </w:p>
        </w:tc>
      </w:tr>
      <w:tr w:rsidR="003F667F" w:rsidRPr="003F46ED" w14:paraId="6DCA9424" w14:textId="77777777" w:rsidTr="00A01094">
        <w:trPr>
          <w:cantSplit/>
        </w:trPr>
        <w:tc>
          <w:tcPr>
            <w:tcW w:w="0" w:type="auto"/>
            <w:shd w:val="clear" w:color="auto" w:fill="auto"/>
            <w:vAlign w:val="bottom"/>
          </w:tcPr>
          <w:p w14:paraId="30961D09" w14:textId="77777777" w:rsidR="003F667F" w:rsidRPr="003F46ED" w:rsidRDefault="003F667F" w:rsidP="00B30583">
            <w:r w:rsidRPr="003F46ED">
              <w:t>I chose not to study a language as an elective because I thought other subjects would be easier.</w:t>
            </w:r>
          </w:p>
        </w:tc>
        <w:tc>
          <w:tcPr>
            <w:tcW w:w="0" w:type="auto"/>
            <w:shd w:val="clear" w:color="auto" w:fill="auto"/>
            <w:vAlign w:val="center"/>
          </w:tcPr>
          <w:p w14:paraId="09E4AE53" w14:textId="77777777" w:rsidR="003F667F" w:rsidRPr="003F46ED" w:rsidRDefault="003F667F" w:rsidP="00B30583">
            <w:r w:rsidRPr="003F46ED">
              <w:t>42.9</w:t>
            </w:r>
          </w:p>
        </w:tc>
        <w:tc>
          <w:tcPr>
            <w:tcW w:w="0" w:type="auto"/>
            <w:shd w:val="clear" w:color="auto" w:fill="auto"/>
            <w:vAlign w:val="center"/>
          </w:tcPr>
          <w:p w14:paraId="250067A4" w14:textId="77777777" w:rsidR="003F667F" w:rsidRPr="003F46ED" w:rsidRDefault="003F667F" w:rsidP="00B30583">
            <w:r w:rsidRPr="003F46ED">
              <w:t>19.3</w:t>
            </w:r>
          </w:p>
        </w:tc>
        <w:tc>
          <w:tcPr>
            <w:tcW w:w="0" w:type="auto"/>
            <w:shd w:val="clear" w:color="auto" w:fill="auto"/>
            <w:vAlign w:val="center"/>
          </w:tcPr>
          <w:p w14:paraId="1B94CEFB" w14:textId="77777777" w:rsidR="003F667F" w:rsidRPr="003F46ED" w:rsidRDefault="003F667F" w:rsidP="00B30583">
            <w:r w:rsidRPr="003F46ED">
              <w:t>24.4</w:t>
            </w:r>
          </w:p>
        </w:tc>
        <w:tc>
          <w:tcPr>
            <w:tcW w:w="0" w:type="auto"/>
            <w:shd w:val="clear" w:color="auto" w:fill="auto"/>
            <w:vAlign w:val="center"/>
          </w:tcPr>
          <w:p w14:paraId="36D522D7" w14:textId="77777777" w:rsidR="003F667F" w:rsidRPr="003F46ED" w:rsidRDefault="003F667F" w:rsidP="00B30583">
            <w:r w:rsidRPr="003F46ED">
              <w:t>13.4</w:t>
            </w:r>
          </w:p>
        </w:tc>
        <w:tc>
          <w:tcPr>
            <w:tcW w:w="0" w:type="auto"/>
            <w:shd w:val="clear" w:color="auto" w:fill="auto"/>
            <w:vAlign w:val="center"/>
          </w:tcPr>
          <w:p w14:paraId="29A659AA" w14:textId="77777777" w:rsidR="003F667F" w:rsidRPr="003F46ED" w:rsidRDefault="003F667F" w:rsidP="00B30583">
            <w:r w:rsidRPr="003F46ED">
              <w:t>119</w:t>
            </w:r>
          </w:p>
        </w:tc>
      </w:tr>
      <w:tr w:rsidR="003F667F" w:rsidRPr="003F46ED" w14:paraId="5E0C7DBF" w14:textId="77777777" w:rsidTr="00A01094">
        <w:trPr>
          <w:cantSplit/>
        </w:trPr>
        <w:tc>
          <w:tcPr>
            <w:tcW w:w="0" w:type="auto"/>
            <w:shd w:val="clear" w:color="auto" w:fill="auto"/>
            <w:vAlign w:val="bottom"/>
          </w:tcPr>
          <w:p w14:paraId="0FA20A90" w14:textId="77777777" w:rsidR="003F667F" w:rsidRPr="003F46ED" w:rsidRDefault="003F667F" w:rsidP="00B30583">
            <w:r w:rsidRPr="003F46ED">
              <w:t>I chose not to study a language as an elective because I thought other subjects would be more useful for my future studies.</w:t>
            </w:r>
          </w:p>
        </w:tc>
        <w:tc>
          <w:tcPr>
            <w:tcW w:w="0" w:type="auto"/>
            <w:shd w:val="clear" w:color="auto" w:fill="auto"/>
            <w:vAlign w:val="center"/>
          </w:tcPr>
          <w:p w14:paraId="567BF5ED" w14:textId="77777777" w:rsidR="003F667F" w:rsidRPr="003F46ED" w:rsidRDefault="003F667F" w:rsidP="00B30583">
            <w:r w:rsidRPr="003F46ED">
              <w:t>14.3</w:t>
            </w:r>
          </w:p>
        </w:tc>
        <w:tc>
          <w:tcPr>
            <w:tcW w:w="0" w:type="auto"/>
            <w:shd w:val="clear" w:color="auto" w:fill="auto"/>
            <w:vAlign w:val="center"/>
          </w:tcPr>
          <w:p w14:paraId="6C96671A" w14:textId="77777777" w:rsidR="003F667F" w:rsidRPr="003F46ED" w:rsidRDefault="003F667F" w:rsidP="00B30583">
            <w:r w:rsidRPr="003F46ED">
              <w:t>19.3</w:t>
            </w:r>
          </w:p>
        </w:tc>
        <w:tc>
          <w:tcPr>
            <w:tcW w:w="0" w:type="auto"/>
            <w:shd w:val="clear" w:color="auto" w:fill="auto"/>
            <w:vAlign w:val="center"/>
          </w:tcPr>
          <w:p w14:paraId="60FE40C3" w14:textId="77777777" w:rsidR="003F667F" w:rsidRPr="003F46ED" w:rsidRDefault="003F667F" w:rsidP="00B30583">
            <w:r w:rsidRPr="003F46ED">
              <w:t>30.3</w:t>
            </w:r>
          </w:p>
        </w:tc>
        <w:tc>
          <w:tcPr>
            <w:tcW w:w="0" w:type="auto"/>
            <w:shd w:val="clear" w:color="auto" w:fill="auto"/>
            <w:vAlign w:val="center"/>
          </w:tcPr>
          <w:p w14:paraId="15075D79" w14:textId="77777777" w:rsidR="003F667F" w:rsidRPr="003F46ED" w:rsidRDefault="003F667F" w:rsidP="00B30583">
            <w:r w:rsidRPr="003F46ED">
              <w:t>36.1</w:t>
            </w:r>
          </w:p>
        </w:tc>
        <w:tc>
          <w:tcPr>
            <w:tcW w:w="0" w:type="auto"/>
            <w:shd w:val="clear" w:color="auto" w:fill="auto"/>
            <w:vAlign w:val="center"/>
          </w:tcPr>
          <w:p w14:paraId="56999C42" w14:textId="77777777" w:rsidR="003F667F" w:rsidRPr="003F46ED" w:rsidRDefault="003F667F" w:rsidP="00B30583">
            <w:r w:rsidRPr="003F46ED">
              <w:t>119</w:t>
            </w:r>
          </w:p>
        </w:tc>
      </w:tr>
      <w:tr w:rsidR="003F667F" w:rsidRPr="003F46ED" w14:paraId="4BFEA880" w14:textId="77777777" w:rsidTr="00A01094">
        <w:trPr>
          <w:cantSplit/>
        </w:trPr>
        <w:tc>
          <w:tcPr>
            <w:tcW w:w="0" w:type="auto"/>
            <w:shd w:val="clear" w:color="auto" w:fill="auto"/>
            <w:vAlign w:val="bottom"/>
          </w:tcPr>
          <w:p w14:paraId="2040E633" w14:textId="77777777" w:rsidR="003F667F" w:rsidRPr="003F46ED" w:rsidRDefault="003F667F" w:rsidP="00B30583">
            <w:r w:rsidRPr="003F46ED">
              <w:t>I chose not to study a language as an elective because I thought other subjects would be more useful for my future career.</w:t>
            </w:r>
          </w:p>
        </w:tc>
        <w:tc>
          <w:tcPr>
            <w:tcW w:w="0" w:type="auto"/>
            <w:shd w:val="clear" w:color="auto" w:fill="auto"/>
            <w:vAlign w:val="center"/>
          </w:tcPr>
          <w:p w14:paraId="74CBF5E3" w14:textId="77777777" w:rsidR="003F667F" w:rsidRPr="003F46ED" w:rsidRDefault="003F667F" w:rsidP="00B30583">
            <w:r w:rsidRPr="003F46ED">
              <w:t>19.3</w:t>
            </w:r>
          </w:p>
        </w:tc>
        <w:tc>
          <w:tcPr>
            <w:tcW w:w="0" w:type="auto"/>
            <w:shd w:val="clear" w:color="auto" w:fill="auto"/>
            <w:vAlign w:val="center"/>
          </w:tcPr>
          <w:p w14:paraId="4FA4EA9E" w14:textId="77777777" w:rsidR="003F667F" w:rsidRPr="003F46ED" w:rsidRDefault="003F667F" w:rsidP="00B30583">
            <w:r w:rsidRPr="003F46ED">
              <w:t>15.1</w:t>
            </w:r>
          </w:p>
        </w:tc>
        <w:tc>
          <w:tcPr>
            <w:tcW w:w="0" w:type="auto"/>
            <w:shd w:val="clear" w:color="auto" w:fill="auto"/>
            <w:vAlign w:val="center"/>
          </w:tcPr>
          <w:p w14:paraId="04C991A2" w14:textId="77777777" w:rsidR="003F667F" w:rsidRPr="003F46ED" w:rsidRDefault="003F667F" w:rsidP="00B30583">
            <w:r w:rsidRPr="003F46ED">
              <w:t>33.6</w:t>
            </w:r>
          </w:p>
        </w:tc>
        <w:tc>
          <w:tcPr>
            <w:tcW w:w="0" w:type="auto"/>
            <w:shd w:val="clear" w:color="auto" w:fill="auto"/>
            <w:vAlign w:val="center"/>
          </w:tcPr>
          <w:p w14:paraId="43E4AC59" w14:textId="77777777" w:rsidR="003F667F" w:rsidRPr="003F46ED" w:rsidRDefault="003F667F" w:rsidP="00B30583">
            <w:r w:rsidRPr="003F46ED">
              <w:t>31.9</w:t>
            </w:r>
          </w:p>
        </w:tc>
        <w:tc>
          <w:tcPr>
            <w:tcW w:w="0" w:type="auto"/>
            <w:shd w:val="clear" w:color="auto" w:fill="auto"/>
            <w:vAlign w:val="center"/>
          </w:tcPr>
          <w:p w14:paraId="36B4AA86" w14:textId="77777777" w:rsidR="003F667F" w:rsidRPr="003F46ED" w:rsidRDefault="003F667F" w:rsidP="00B30583">
            <w:r w:rsidRPr="003F46ED">
              <w:t>119</w:t>
            </w:r>
          </w:p>
        </w:tc>
      </w:tr>
      <w:tr w:rsidR="003F667F" w:rsidRPr="003F46ED" w14:paraId="5E406C8B" w14:textId="77777777" w:rsidTr="00A01094">
        <w:trPr>
          <w:cantSplit/>
        </w:trPr>
        <w:tc>
          <w:tcPr>
            <w:tcW w:w="0" w:type="auto"/>
            <w:shd w:val="clear" w:color="auto" w:fill="auto"/>
            <w:vAlign w:val="bottom"/>
          </w:tcPr>
          <w:p w14:paraId="03931DD5" w14:textId="77777777" w:rsidR="003F667F" w:rsidRPr="003F46ED" w:rsidRDefault="003F667F" w:rsidP="00B30583">
            <w:r w:rsidRPr="003F46ED">
              <w:t>It was important for my parents that I studied a language at school.</w:t>
            </w:r>
          </w:p>
        </w:tc>
        <w:tc>
          <w:tcPr>
            <w:tcW w:w="0" w:type="auto"/>
            <w:shd w:val="clear" w:color="auto" w:fill="auto"/>
            <w:vAlign w:val="center"/>
          </w:tcPr>
          <w:p w14:paraId="3DEC1400" w14:textId="77777777" w:rsidR="003F667F" w:rsidRPr="003F46ED" w:rsidRDefault="003F667F" w:rsidP="00B30583">
            <w:r w:rsidRPr="003F46ED">
              <w:t>81.2</w:t>
            </w:r>
          </w:p>
        </w:tc>
        <w:tc>
          <w:tcPr>
            <w:tcW w:w="0" w:type="auto"/>
            <w:shd w:val="clear" w:color="auto" w:fill="auto"/>
            <w:vAlign w:val="center"/>
          </w:tcPr>
          <w:p w14:paraId="24C81081" w14:textId="77777777" w:rsidR="003F667F" w:rsidRPr="003F46ED" w:rsidRDefault="003F667F" w:rsidP="00B30583">
            <w:r w:rsidRPr="003F46ED">
              <w:t>11.1</w:t>
            </w:r>
          </w:p>
        </w:tc>
        <w:tc>
          <w:tcPr>
            <w:tcW w:w="0" w:type="auto"/>
            <w:shd w:val="clear" w:color="auto" w:fill="auto"/>
            <w:vAlign w:val="center"/>
          </w:tcPr>
          <w:p w14:paraId="2A2DE9CD" w14:textId="77777777" w:rsidR="003F667F" w:rsidRPr="003F46ED" w:rsidRDefault="003F667F" w:rsidP="00B30583">
            <w:r w:rsidRPr="003F46ED">
              <w:t>6.0</w:t>
            </w:r>
          </w:p>
        </w:tc>
        <w:tc>
          <w:tcPr>
            <w:tcW w:w="0" w:type="auto"/>
            <w:shd w:val="clear" w:color="auto" w:fill="auto"/>
            <w:vAlign w:val="center"/>
          </w:tcPr>
          <w:p w14:paraId="3E6F1525" w14:textId="77777777" w:rsidR="003F667F" w:rsidRPr="003F46ED" w:rsidRDefault="003F667F" w:rsidP="00B30583">
            <w:r w:rsidRPr="003F46ED">
              <w:t>1.7</w:t>
            </w:r>
          </w:p>
        </w:tc>
        <w:tc>
          <w:tcPr>
            <w:tcW w:w="0" w:type="auto"/>
            <w:shd w:val="clear" w:color="auto" w:fill="auto"/>
            <w:vAlign w:val="center"/>
          </w:tcPr>
          <w:p w14:paraId="468B04B5" w14:textId="77777777" w:rsidR="003F667F" w:rsidRPr="003F46ED" w:rsidRDefault="003F667F" w:rsidP="00B30583">
            <w:r w:rsidRPr="003F46ED">
              <w:t>117</w:t>
            </w:r>
          </w:p>
        </w:tc>
      </w:tr>
      <w:tr w:rsidR="003F667F" w:rsidRPr="003F46ED" w14:paraId="002F9DF5" w14:textId="77777777" w:rsidTr="00A01094">
        <w:trPr>
          <w:cantSplit/>
        </w:trPr>
        <w:tc>
          <w:tcPr>
            <w:tcW w:w="0" w:type="auto"/>
            <w:shd w:val="clear" w:color="auto" w:fill="auto"/>
            <w:vAlign w:val="bottom"/>
          </w:tcPr>
          <w:p w14:paraId="6890F3B3" w14:textId="77777777" w:rsidR="003F667F" w:rsidRPr="003F46ED" w:rsidRDefault="003F667F" w:rsidP="00B30583">
            <w:r w:rsidRPr="003F46ED">
              <w:t>I was interested in studying a language while at school.</w:t>
            </w:r>
          </w:p>
        </w:tc>
        <w:tc>
          <w:tcPr>
            <w:tcW w:w="0" w:type="auto"/>
            <w:shd w:val="clear" w:color="auto" w:fill="auto"/>
            <w:vAlign w:val="center"/>
          </w:tcPr>
          <w:p w14:paraId="1BE206C0" w14:textId="77777777" w:rsidR="003F667F" w:rsidRPr="003F46ED" w:rsidRDefault="003F667F" w:rsidP="00B30583">
            <w:r w:rsidRPr="003F46ED">
              <w:t>26.1</w:t>
            </w:r>
          </w:p>
        </w:tc>
        <w:tc>
          <w:tcPr>
            <w:tcW w:w="0" w:type="auto"/>
            <w:shd w:val="clear" w:color="auto" w:fill="auto"/>
            <w:vAlign w:val="center"/>
          </w:tcPr>
          <w:p w14:paraId="4929BCBB" w14:textId="77777777" w:rsidR="003F667F" w:rsidRPr="003F46ED" w:rsidRDefault="003F667F" w:rsidP="00B30583">
            <w:r w:rsidRPr="003F46ED">
              <w:t>29.4</w:t>
            </w:r>
          </w:p>
        </w:tc>
        <w:tc>
          <w:tcPr>
            <w:tcW w:w="0" w:type="auto"/>
            <w:shd w:val="clear" w:color="auto" w:fill="auto"/>
            <w:vAlign w:val="center"/>
          </w:tcPr>
          <w:p w14:paraId="613A28A0" w14:textId="77777777" w:rsidR="003F667F" w:rsidRPr="003F46ED" w:rsidRDefault="003F667F" w:rsidP="00B30583">
            <w:r w:rsidRPr="003F46ED">
              <w:t>26.1</w:t>
            </w:r>
          </w:p>
        </w:tc>
        <w:tc>
          <w:tcPr>
            <w:tcW w:w="0" w:type="auto"/>
            <w:shd w:val="clear" w:color="auto" w:fill="auto"/>
            <w:vAlign w:val="center"/>
          </w:tcPr>
          <w:p w14:paraId="0F356209" w14:textId="77777777" w:rsidR="003F667F" w:rsidRPr="003F46ED" w:rsidRDefault="003F667F" w:rsidP="00B30583">
            <w:r w:rsidRPr="003F46ED">
              <w:t>18.5</w:t>
            </w:r>
          </w:p>
        </w:tc>
        <w:tc>
          <w:tcPr>
            <w:tcW w:w="0" w:type="auto"/>
            <w:shd w:val="clear" w:color="auto" w:fill="auto"/>
            <w:vAlign w:val="center"/>
          </w:tcPr>
          <w:p w14:paraId="0DFEB9EE" w14:textId="77777777" w:rsidR="003F667F" w:rsidRPr="003F46ED" w:rsidRDefault="003F667F" w:rsidP="00B30583">
            <w:r w:rsidRPr="003F46ED">
              <w:t>119</w:t>
            </w:r>
          </w:p>
        </w:tc>
      </w:tr>
      <w:tr w:rsidR="003F667F" w:rsidRPr="003F46ED" w14:paraId="06D11DA4" w14:textId="77777777" w:rsidTr="00A01094">
        <w:trPr>
          <w:cantSplit/>
        </w:trPr>
        <w:tc>
          <w:tcPr>
            <w:tcW w:w="0" w:type="auto"/>
            <w:shd w:val="clear" w:color="auto" w:fill="auto"/>
            <w:vAlign w:val="bottom"/>
          </w:tcPr>
          <w:p w14:paraId="3DCB5FD9" w14:textId="77777777" w:rsidR="003F667F" w:rsidRPr="003F46ED" w:rsidRDefault="003F667F" w:rsidP="00B30583">
            <w:r w:rsidRPr="003F46ED">
              <w:t>I chose not to study a language as an elective because I thought other subjects would be more enjoyable.</w:t>
            </w:r>
          </w:p>
        </w:tc>
        <w:tc>
          <w:tcPr>
            <w:tcW w:w="0" w:type="auto"/>
            <w:shd w:val="clear" w:color="auto" w:fill="auto"/>
            <w:vAlign w:val="center"/>
          </w:tcPr>
          <w:p w14:paraId="3E28E93E" w14:textId="77777777" w:rsidR="003F667F" w:rsidRPr="003F46ED" w:rsidRDefault="003F667F" w:rsidP="00B30583">
            <w:r w:rsidRPr="003F46ED">
              <w:t>31.9</w:t>
            </w:r>
          </w:p>
        </w:tc>
        <w:tc>
          <w:tcPr>
            <w:tcW w:w="0" w:type="auto"/>
            <w:shd w:val="clear" w:color="auto" w:fill="auto"/>
            <w:vAlign w:val="center"/>
          </w:tcPr>
          <w:p w14:paraId="4288B67B" w14:textId="77777777" w:rsidR="003F667F" w:rsidRPr="003F46ED" w:rsidRDefault="003F667F" w:rsidP="00B30583">
            <w:r w:rsidRPr="003F46ED">
              <w:t>20.2</w:t>
            </w:r>
          </w:p>
        </w:tc>
        <w:tc>
          <w:tcPr>
            <w:tcW w:w="0" w:type="auto"/>
            <w:shd w:val="clear" w:color="auto" w:fill="auto"/>
            <w:vAlign w:val="center"/>
          </w:tcPr>
          <w:p w14:paraId="11CD670D" w14:textId="77777777" w:rsidR="003F667F" w:rsidRPr="003F46ED" w:rsidRDefault="003F667F" w:rsidP="00B30583">
            <w:r w:rsidRPr="003F46ED">
              <w:t>24.4</w:t>
            </w:r>
          </w:p>
        </w:tc>
        <w:tc>
          <w:tcPr>
            <w:tcW w:w="0" w:type="auto"/>
            <w:shd w:val="clear" w:color="auto" w:fill="auto"/>
            <w:vAlign w:val="center"/>
          </w:tcPr>
          <w:p w14:paraId="0FF71373" w14:textId="77777777" w:rsidR="003F667F" w:rsidRPr="003F46ED" w:rsidRDefault="003F667F" w:rsidP="00B30583">
            <w:r w:rsidRPr="003F46ED">
              <w:t>23.5</w:t>
            </w:r>
          </w:p>
        </w:tc>
        <w:tc>
          <w:tcPr>
            <w:tcW w:w="0" w:type="auto"/>
            <w:shd w:val="clear" w:color="auto" w:fill="auto"/>
            <w:vAlign w:val="center"/>
          </w:tcPr>
          <w:p w14:paraId="14B1DF53" w14:textId="77777777" w:rsidR="003F667F" w:rsidRPr="003F46ED" w:rsidRDefault="003F667F" w:rsidP="00B30583">
            <w:r w:rsidRPr="003F46ED">
              <w:t>119</w:t>
            </w:r>
          </w:p>
        </w:tc>
      </w:tr>
      <w:tr w:rsidR="003F667F" w:rsidRPr="003F46ED" w14:paraId="5E30B8A8" w14:textId="77777777" w:rsidTr="00A01094">
        <w:trPr>
          <w:cantSplit/>
        </w:trPr>
        <w:tc>
          <w:tcPr>
            <w:tcW w:w="0" w:type="auto"/>
            <w:shd w:val="clear" w:color="auto" w:fill="auto"/>
            <w:vAlign w:val="bottom"/>
          </w:tcPr>
          <w:p w14:paraId="1F6ACFAE" w14:textId="77777777" w:rsidR="003F667F" w:rsidRPr="003F46ED" w:rsidRDefault="003F667F" w:rsidP="00B30583">
            <w:r w:rsidRPr="003F46ED">
              <w:t xml:space="preserve">I chose subjects in Year 12 which maximised my </w:t>
            </w:r>
            <w:proofErr w:type="spellStart"/>
            <w:r w:rsidRPr="003F46ED">
              <w:t>ATAR</w:t>
            </w:r>
            <w:proofErr w:type="spellEnd"/>
            <w:r w:rsidRPr="003F46ED">
              <w:t>/OP.</w:t>
            </w:r>
          </w:p>
        </w:tc>
        <w:tc>
          <w:tcPr>
            <w:tcW w:w="0" w:type="auto"/>
            <w:shd w:val="clear" w:color="auto" w:fill="auto"/>
            <w:vAlign w:val="center"/>
          </w:tcPr>
          <w:p w14:paraId="5FAE1B67" w14:textId="77777777" w:rsidR="003F667F" w:rsidRPr="003F46ED" w:rsidRDefault="003F667F" w:rsidP="00B30583">
            <w:r w:rsidRPr="003F46ED">
              <w:t>33.1</w:t>
            </w:r>
          </w:p>
        </w:tc>
        <w:tc>
          <w:tcPr>
            <w:tcW w:w="0" w:type="auto"/>
            <w:shd w:val="clear" w:color="auto" w:fill="auto"/>
            <w:vAlign w:val="center"/>
          </w:tcPr>
          <w:p w14:paraId="355E2C6A" w14:textId="77777777" w:rsidR="003F667F" w:rsidRPr="003F46ED" w:rsidRDefault="003F667F" w:rsidP="00B30583">
            <w:r w:rsidRPr="003F46ED">
              <w:t>20.3</w:t>
            </w:r>
          </w:p>
        </w:tc>
        <w:tc>
          <w:tcPr>
            <w:tcW w:w="0" w:type="auto"/>
            <w:shd w:val="clear" w:color="auto" w:fill="auto"/>
            <w:vAlign w:val="center"/>
          </w:tcPr>
          <w:p w14:paraId="78DAAADB" w14:textId="77777777" w:rsidR="003F667F" w:rsidRPr="003F46ED" w:rsidRDefault="003F667F" w:rsidP="00B30583">
            <w:r w:rsidRPr="003F46ED">
              <w:t>29.7</w:t>
            </w:r>
          </w:p>
        </w:tc>
        <w:tc>
          <w:tcPr>
            <w:tcW w:w="0" w:type="auto"/>
            <w:shd w:val="clear" w:color="auto" w:fill="auto"/>
            <w:vAlign w:val="center"/>
          </w:tcPr>
          <w:p w14:paraId="77D99748" w14:textId="77777777" w:rsidR="003F667F" w:rsidRPr="003F46ED" w:rsidRDefault="003F667F" w:rsidP="00B30583">
            <w:r w:rsidRPr="003F46ED">
              <w:t>16.9</w:t>
            </w:r>
          </w:p>
        </w:tc>
        <w:tc>
          <w:tcPr>
            <w:tcW w:w="0" w:type="auto"/>
            <w:shd w:val="clear" w:color="auto" w:fill="auto"/>
            <w:vAlign w:val="center"/>
          </w:tcPr>
          <w:p w14:paraId="718D8B95" w14:textId="77777777" w:rsidR="003F667F" w:rsidRPr="003F46ED" w:rsidRDefault="003F667F" w:rsidP="00B30583">
            <w:r w:rsidRPr="003F46ED">
              <w:t>118</w:t>
            </w:r>
          </w:p>
        </w:tc>
      </w:tr>
      <w:tr w:rsidR="003F667F" w:rsidRPr="003F46ED" w14:paraId="05F10610" w14:textId="77777777" w:rsidTr="00A01094">
        <w:trPr>
          <w:cantSplit/>
        </w:trPr>
        <w:tc>
          <w:tcPr>
            <w:tcW w:w="0" w:type="auto"/>
            <w:shd w:val="clear" w:color="auto" w:fill="auto"/>
            <w:vAlign w:val="bottom"/>
          </w:tcPr>
          <w:p w14:paraId="0E28E3AB" w14:textId="77777777" w:rsidR="003F667F" w:rsidRPr="003F46ED" w:rsidRDefault="003F667F" w:rsidP="00B30583">
            <w:r w:rsidRPr="003F46ED">
              <w:t>I chose not to study a language because English is the global language so I don’t need to learn another language.</w:t>
            </w:r>
          </w:p>
        </w:tc>
        <w:tc>
          <w:tcPr>
            <w:tcW w:w="0" w:type="auto"/>
            <w:shd w:val="clear" w:color="auto" w:fill="auto"/>
            <w:vAlign w:val="center"/>
          </w:tcPr>
          <w:p w14:paraId="51B2DA68" w14:textId="77777777" w:rsidR="003F667F" w:rsidRPr="003F46ED" w:rsidRDefault="003F667F" w:rsidP="00B30583">
            <w:r w:rsidRPr="003F46ED">
              <w:t>65.5</w:t>
            </w:r>
          </w:p>
        </w:tc>
        <w:tc>
          <w:tcPr>
            <w:tcW w:w="0" w:type="auto"/>
            <w:shd w:val="clear" w:color="auto" w:fill="auto"/>
            <w:vAlign w:val="center"/>
          </w:tcPr>
          <w:p w14:paraId="5571A5F7" w14:textId="77777777" w:rsidR="003F667F" w:rsidRPr="003F46ED" w:rsidRDefault="003F667F" w:rsidP="00B30583">
            <w:r w:rsidRPr="003F46ED">
              <w:t>24.4</w:t>
            </w:r>
          </w:p>
        </w:tc>
        <w:tc>
          <w:tcPr>
            <w:tcW w:w="0" w:type="auto"/>
            <w:shd w:val="clear" w:color="auto" w:fill="auto"/>
            <w:vAlign w:val="center"/>
          </w:tcPr>
          <w:p w14:paraId="03F8DAF0" w14:textId="77777777" w:rsidR="003F667F" w:rsidRPr="003F46ED" w:rsidRDefault="003F667F" w:rsidP="00B30583">
            <w:r w:rsidRPr="003F46ED">
              <w:t>7.6</w:t>
            </w:r>
          </w:p>
        </w:tc>
        <w:tc>
          <w:tcPr>
            <w:tcW w:w="0" w:type="auto"/>
            <w:shd w:val="clear" w:color="auto" w:fill="auto"/>
            <w:vAlign w:val="center"/>
          </w:tcPr>
          <w:p w14:paraId="7CF3D35E" w14:textId="77777777" w:rsidR="003F667F" w:rsidRPr="003F46ED" w:rsidRDefault="003F667F" w:rsidP="00B30583">
            <w:r w:rsidRPr="003F46ED">
              <w:t>2.5</w:t>
            </w:r>
          </w:p>
        </w:tc>
        <w:tc>
          <w:tcPr>
            <w:tcW w:w="0" w:type="auto"/>
            <w:shd w:val="clear" w:color="auto" w:fill="auto"/>
            <w:vAlign w:val="center"/>
          </w:tcPr>
          <w:p w14:paraId="3100C778" w14:textId="77777777" w:rsidR="003F667F" w:rsidRPr="003F46ED" w:rsidRDefault="003F667F" w:rsidP="00B30583">
            <w:r w:rsidRPr="003F46ED">
              <w:t>119</w:t>
            </w:r>
          </w:p>
        </w:tc>
      </w:tr>
      <w:tr w:rsidR="003F667F" w:rsidRPr="003F46ED" w14:paraId="08AC5295" w14:textId="77777777" w:rsidTr="00A01094">
        <w:trPr>
          <w:cantSplit/>
        </w:trPr>
        <w:tc>
          <w:tcPr>
            <w:tcW w:w="0" w:type="auto"/>
            <w:shd w:val="clear" w:color="auto" w:fill="auto"/>
            <w:vAlign w:val="bottom"/>
          </w:tcPr>
          <w:p w14:paraId="0A824186" w14:textId="77777777" w:rsidR="003F667F" w:rsidRPr="003F46ED" w:rsidRDefault="003F667F" w:rsidP="00B30583">
            <w:r w:rsidRPr="003F46ED">
              <w:t>I was not able to study a language because there were not enough students to make up a class.</w:t>
            </w:r>
          </w:p>
        </w:tc>
        <w:tc>
          <w:tcPr>
            <w:tcW w:w="0" w:type="auto"/>
            <w:shd w:val="clear" w:color="auto" w:fill="auto"/>
            <w:vAlign w:val="center"/>
          </w:tcPr>
          <w:p w14:paraId="42185D83" w14:textId="77777777" w:rsidR="003F667F" w:rsidRPr="003F46ED" w:rsidRDefault="003F667F" w:rsidP="00B30583">
            <w:r w:rsidRPr="003F46ED">
              <w:t>67.2</w:t>
            </w:r>
          </w:p>
        </w:tc>
        <w:tc>
          <w:tcPr>
            <w:tcW w:w="0" w:type="auto"/>
            <w:shd w:val="clear" w:color="auto" w:fill="auto"/>
            <w:vAlign w:val="center"/>
          </w:tcPr>
          <w:p w14:paraId="3BC84E65" w14:textId="77777777" w:rsidR="003F667F" w:rsidRPr="003F46ED" w:rsidRDefault="003F667F" w:rsidP="00B30583">
            <w:r w:rsidRPr="003F46ED">
              <w:t>10.9</w:t>
            </w:r>
          </w:p>
        </w:tc>
        <w:tc>
          <w:tcPr>
            <w:tcW w:w="0" w:type="auto"/>
            <w:shd w:val="clear" w:color="auto" w:fill="auto"/>
            <w:vAlign w:val="center"/>
          </w:tcPr>
          <w:p w14:paraId="0E745070" w14:textId="77777777" w:rsidR="003F667F" w:rsidRPr="003F46ED" w:rsidRDefault="003F667F" w:rsidP="00B30583">
            <w:r w:rsidRPr="003F46ED">
              <w:t>10.1</w:t>
            </w:r>
          </w:p>
        </w:tc>
        <w:tc>
          <w:tcPr>
            <w:tcW w:w="0" w:type="auto"/>
            <w:shd w:val="clear" w:color="auto" w:fill="auto"/>
            <w:vAlign w:val="center"/>
          </w:tcPr>
          <w:p w14:paraId="1F3E80B4" w14:textId="77777777" w:rsidR="003F667F" w:rsidRPr="003F46ED" w:rsidRDefault="003F667F" w:rsidP="00B30583">
            <w:r w:rsidRPr="003F46ED">
              <w:t>11.8</w:t>
            </w:r>
          </w:p>
        </w:tc>
        <w:tc>
          <w:tcPr>
            <w:tcW w:w="0" w:type="auto"/>
            <w:shd w:val="clear" w:color="auto" w:fill="auto"/>
            <w:vAlign w:val="center"/>
          </w:tcPr>
          <w:p w14:paraId="3BDC2CB8" w14:textId="77777777" w:rsidR="003F667F" w:rsidRPr="003F46ED" w:rsidRDefault="003F667F" w:rsidP="00B30583">
            <w:r w:rsidRPr="003F46ED">
              <w:t>119</w:t>
            </w:r>
          </w:p>
        </w:tc>
      </w:tr>
      <w:tr w:rsidR="003F667F" w:rsidRPr="003F46ED" w14:paraId="23D28073" w14:textId="77777777" w:rsidTr="00A01094">
        <w:trPr>
          <w:cantSplit/>
        </w:trPr>
        <w:tc>
          <w:tcPr>
            <w:tcW w:w="0" w:type="auto"/>
            <w:shd w:val="clear" w:color="auto" w:fill="auto"/>
            <w:vAlign w:val="bottom"/>
          </w:tcPr>
          <w:p w14:paraId="55E8D965" w14:textId="77777777" w:rsidR="003F667F" w:rsidRPr="003F46ED" w:rsidRDefault="003F667F" w:rsidP="00B30583">
            <w:r w:rsidRPr="003F46ED">
              <w:t>I was not able to study a language because there were no teachers in the school available to teach it.</w:t>
            </w:r>
          </w:p>
        </w:tc>
        <w:tc>
          <w:tcPr>
            <w:tcW w:w="0" w:type="auto"/>
            <w:shd w:val="clear" w:color="auto" w:fill="auto"/>
            <w:vAlign w:val="center"/>
          </w:tcPr>
          <w:p w14:paraId="60E8EB87" w14:textId="77777777" w:rsidR="003F667F" w:rsidRPr="003F46ED" w:rsidRDefault="003F667F" w:rsidP="00B30583">
            <w:r w:rsidRPr="003F46ED">
              <w:t>76.7</w:t>
            </w:r>
          </w:p>
        </w:tc>
        <w:tc>
          <w:tcPr>
            <w:tcW w:w="0" w:type="auto"/>
            <w:shd w:val="clear" w:color="auto" w:fill="auto"/>
            <w:vAlign w:val="center"/>
          </w:tcPr>
          <w:p w14:paraId="62A09333" w14:textId="77777777" w:rsidR="003F667F" w:rsidRPr="003F46ED" w:rsidRDefault="003F667F" w:rsidP="00B30583">
            <w:r w:rsidRPr="003F46ED">
              <w:t>9.2</w:t>
            </w:r>
          </w:p>
        </w:tc>
        <w:tc>
          <w:tcPr>
            <w:tcW w:w="0" w:type="auto"/>
            <w:shd w:val="clear" w:color="auto" w:fill="auto"/>
            <w:vAlign w:val="center"/>
          </w:tcPr>
          <w:p w14:paraId="453C00B7" w14:textId="77777777" w:rsidR="003F667F" w:rsidRPr="003F46ED" w:rsidRDefault="003F667F" w:rsidP="00B30583">
            <w:r w:rsidRPr="003F46ED">
              <w:t>5.8</w:t>
            </w:r>
          </w:p>
        </w:tc>
        <w:tc>
          <w:tcPr>
            <w:tcW w:w="0" w:type="auto"/>
            <w:shd w:val="clear" w:color="auto" w:fill="auto"/>
            <w:vAlign w:val="center"/>
          </w:tcPr>
          <w:p w14:paraId="29F4499E" w14:textId="77777777" w:rsidR="003F667F" w:rsidRPr="003F46ED" w:rsidRDefault="003F667F" w:rsidP="00B30583">
            <w:r w:rsidRPr="003F46ED">
              <w:t>8.3</w:t>
            </w:r>
          </w:p>
        </w:tc>
        <w:tc>
          <w:tcPr>
            <w:tcW w:w="0" w:type="auto"/>
            <w:shd w:val="clear" w:color="auto" w:fill="auto"/>
            <w:vAlign w:val="center"/>
          </w:tcPr>
          <w:p w14:paraId="1BB903C6" w14:textId="77777777" w:rsidR="003F667F" w:rsidRPr="003F46ED" w:rsidRDefault="003F667F" w:rsidP="00B30583">
            <w:r w:rsidRPr="003F46ED">
              <w:t>120</w:t>
            </w:r>
          </w:p>
        </w:tc>
      </w:tr>
      <w:tr w:rsidR="003F667F" w:rsidRPr="003F46ED" w14:paraId="698B2009" w14:textId="77777777" w:rsidTr="00A01094">
        <w:trPr>
          <w:cantSplit/>
        </w:trPr>
        <w:tc>
          <w:tcPr>
            <w:tcW w:w="0" w:type="auto"/>
            <w:shd w:val="clear" w:color="auto" w:fill="auto"/>
            <w:vAlign w:val="bottom"/>
          </w:tcPr>
          <w:p w14:paraId="5D96741F" w14:textId="77777777" w:rsidR="003F667F" w:rsidRPr="003F46ED" w:rsidRDefault="003F667F" w:rsidP="00B30583">
            <w:r w:rsidRPr="003F46ED">
              <w:t>I chose not to study a language because the teaching did not engage me.</w:t>
            </w:r>
          </w:p>
        </w:tc>
        <w:tc>
          <w:tcPr>
            <w:tcW w:w="0" w:type="auto"/>
            <w:shd w:val="clear" w:color="auto" w:fill="auto"/>
            <w:vAlign w:val="center"/>
          </w:tcPr>
          <w:p w14:paraId="6FF1B9E0" w14:textId="77777777" w:rsidR="003F667F" w:rsidRPr="003F46ED" w:rsidRDefault="003F667F" w:rsidP="00B30583">
            <w:r w:rsidRPr="003F46ED">
              <w:t>49.6</w:t>
            </w:r>
          </w:p>
        </w:tc>
        <w:tc>
          <w:tcPr>
            <w:tcW w:w="0" w:type="auto"/>
            <w:shd w:val="clear" w:color="auto" w:fill="auto"/>
            <w:vAlign w:val="center"/>
          </w:tcPr>
          <w:p w14:paraId="2774C6CE" w14:textId="77777777" w:rsidR="003F667F" w:rsidRPr="003F46ED" w:rsidRDefault="003F667F" w:rsidP="00B30583">
            <w:r w:rsidRPr="003F46ED">
              <w:t>19.3</w:t>
            </w:r>
          </w:p>
        </w:tc>
        <w:tc>
          <w:tcPr>
            <w:tcW w:w="0" w:type="auto"/>
            <w:shd w:val="clear" w:color="auto" w:fill="auto"/>
            <w:vAlign w:val="center"/>
          </w:tcPr>
          <w:p w14:paraId="45FB8D33" w14:textId="77777777" w:rsidR="003F667F" w:rsidRPr="003F46ED" w:rsidRDefault="003F667F" w:rsidP="00B30583">
            <w:r w:rsidRPr="003F46ED">
              <w:t>13.4</w:t>
            </w:r>
          </w:p>
        </w:tc>
        <w:tc>
          <w:tcPr>
            <w:tcW w:w="0" w:type="auto"/>
            <w:shd w:val="clear" w:color="auto" w:fill="auto"/>
            <w:vAlign w:val="center"/>
          </w:tcPr>
          <w:p w14:paraId="5E64B87D" w14:textId="77777777" w:rsidR="003F667F" w:rsidRPr="003F46ED" w:rsidRDefault="003F667F" w:rsidP="00B30583">
            <w:r w:rsidRPr="003F46ED">
              <w:t>17.6</w:t>
            </w:r>
          </w:p>
        </w:tc>
        <w:tc>
          <w:tcPr>
            <w:tcW w:w="0" w:type="auto"/>
            <w:shd w:val="clear" w:color="auto" w:fill="auto"/>
            <w:vAlign w:val="center"/>
          </w:tcPr>
          <w:p w14:paraId="590680E1" w14:textId="77777777" w:rsidR="003F667F" w:rsidRPr="003F46ED" w:rsidRDefault="003F667F" w:rsidP="00B30583">
            <w:r w:rsidRPr="003F46ED">
              <w:t>119</w:t>
            </w:r>
          </w:p>
        </w:tc>
      </w:tr>
      <w:tr w:rsidR="003F667F" w:rsidRPr="003F46ED" w14:paraId="0196A8B6" w14:textId="77777777" w:rsidTr="00A01094">
        <w:trPr>
          <w:cantSplit/>
        </w:trPr>
        <w:tc>
          <w:tcPr>
            <w:tcW w:w="0" w:type="auto"/>
            <w:shd w:val="clear" w:color="auto" w:fill="auto"/>
            <w:vAlign w:val="bottom"/>
          </w:tcPr>
          <w:p w14:paraId="1958F37B" w14:textId="77777777" w:rsidR="003F667F" w:rsidRPr="003F46ED" w:rsidRDefault="003F667F" w:rsidP="00B30583">
            <w:r w:rsidRPr="003F46ED">
              <w:t>I chose not to study a language because the topics and materials used in previous study did not engage me.</w:t>
            </w:r>
          </w:p>
        </w:tc>
        <w:tc>
          <w:tcPr>
            <w:tcW w:w="0" w:type="auto"/>
            <w:shd w:val="clear" w:color="auto" w:fill="auto"/>
            <w:vAlign w:val="center"/>
          </w:tcPr>
          <w:p w14:paraId="048172FB" w14:textId="77777777" w:rsidR="003F667F" w:rsidRPr="003F46ED" w:rsidRDefault="003F667F" w:rsidP="00B30583">
            <w:r w:rsidRPr="003F46ED">
              <w:t>39.5</w:t>
            </w:r>
          </w:p>
        </w:tc>
        <w:tc>
          <w:tcPr>
            <w:tcW w:w="0" w:type="auto"/>
            <w:shd w:val="clear" w:color="auto" w:fill="auto"/>
            <w:vAlign w:val="center"/>
          </w:tcPr>
          <w:p w14:paraId="7524AA9F" w14:textId="77777777" w:rsidR="003F667F" w:rsidRPr="003F46ED" w:rsidRDefault="003F667F" w:rsidP="00B30583">
            <w:r w:rsidRPr="003F46ED">
              <w:t>29.4</w:t>
            </w:r>
          </w:p>
        </w:tc>
        <w:tc>
          <w:tcPr>
            <w:tcW w:w="0" w:type="auto"/>
            <w:shd w:val="clear" w:color="auto" w:fill="auto"/>
            <w:vAlign w:val="center"/>
          </w:tcPr>
          <w:p w14:paraId="1AB292BF" w14:textId="77777777" w:rsidR="003F667F" w:rsidRPr="003F46ED" w:rsidRDefault="003F667F" w:rsidP="00B30583">
            <w:r w:rsidRPr="003F46ED">
              <w:t>15.1</w:t>
            </w:r>
          </w:p>
        </w:tc>
        <w:tc>
          <w:tcPr>
            <w:tcW w:w="0" w:type="auto"/>
            <w:shd w:val="clear" w:color="auto" w:fill="auto"/>
            <w:vAlign w:val="center"/>
          </w:tcPr>
          <w:p w14:paraId="4FB45BF6" w14:textId="77777777" w:rsidR="003F667F" w:rsidRPr="003F46ED" w:rsidRDefault="003F667F" w:rsidP="00B30583">
            <w:r w:rsidRPr="003F46ED">
              <w:t>16.0</w:t>
            </w:r>
          </w:p>
        </w:tc>
        <w:tc>
          <w:tcPr>
            <w:tcW w:w="0" w:type="auto"/>
            <w:shd w:val="clear" w:color="auto" w:fill="auto"/>
            <w:vAlign w:val="center"/>
          </w:tcPr>
          <w:p w14:paraId="5538DD82" w14:textId="77777777" w:rsidR="003F667F" w:rsidRPr="003F46ED" w:rsidRDefault="003F667F" w:rsidP="00B30583">
            <w:r w:rsidRPr="003F46ED">
              <w:t>119</w:t>
            </w:r>
          </w:p>
        </w:tc>
      </w:tr>
    </w:tbl>
    <w:p w14:paraId="7C52A473" w14:textId="77777777" w:rsidR="007B1D45" w:rsidRPr="003F46ED" w:rsidRDefault="00436A2E" w:rsidP="00B30583">
      <w:bookmarkStart w:id="505" w:name="_Toc402180711"/>
      <w:r w:rsidRPr="003F46ED">
        <w:t xml:space="preserve">Not studying a language is not always due to lack of interest. </w:t>
      </w:r>
      <w:r w:rsidR="000E7D97" w:rsidRPr="003F46ED">
        <w:t xml:space="preserve">Forty five </w:t>
      </w:r>
      <w:r w:rsidRPr="003F46ED">
        <w:t xml:space="preserve">per cent of those who did not study a language were at least moderately interested in it. </w:t>
      </w:r>
      <w:r w:rsidR="000E7D97" w:rsidRPr="003F46ED">
        <w:t xml:space="preserve">However, </w:t>
      </w:r>
      <w:r w:rsidRPr="003F46ED">
        <w:t xml:space="preserve">lack of interest, when it exists, is likely to </w:t>
      </w:r>
      <w:r w:rsidRPr="003F46ED">
        <w:lastRenderedPageBreak/>
        <w:t>lead to non-enrolment. This is related to lack of enjoyment and non-engaging teaching, topics and materials as reasons for not studying languages at Years 11 and 12 (31 per cent at ‘moderate’ to ‘major’ extent)</w:t>
      </w:r>
      <w:r w:rsidR="002B78B3" w:rsidRPr="003F46ED">
        <w:t xml:space="preserve"> (Rothman, Zhao &amp; Lonsdale, 2014)</w:t>
      </w:r>
      <w:r w:rsidRPr="003F46ED">
        <w:t>.</w:t>
      </w:r>
      <w:r w:rsidR="00FC6FAD" w:rsidRPr="003F46ED">
        <w:t xml:space="preserve"> </w:t>
      </w:r>
      <w:r w:rsidRPr="003F46ED">
        <w:t>The top reasons for those who discontinued with Japanese (</w:t>
      </w:r>
      <w:r w:rsidRPr="003F46ED">
        <w:rPr>
          <w:i/>
        </w:rPr>
        <w:t>n=74</w:t>
      </w:r>
      <w:r w:rsidRPr="003F46ED">
        <w:t>) based on Spence-Brown</w:t>
      </w:r>
      <w:r w:rsidR="007D54F3" w:rsidRPr="003F46ED">
        <w:t>’s</w:t>
      </w:r>
      <w:r w:rsidR="002B78B3" w:rsidRPr="003F46ED">
        <w:t xml:space="preserve"> (2014)</w:t>
      </w:r>
      <w:r w:rsidRPr="003F46ED">
        <w:t xml:space="preserve"> </w:t>
      </w:r>
      <w:r w:rsidR="002B78B3" w:rsidRPr="003F46ED">
        <w:t>results</w:t>
      </w:r>
      <w:r w:rsidRPr="003F46ED">
        <w:t xml:space="preserve"> have been captured in Table </w:t>
      </w:r>
      <w:r w:rsidR="00FC6FAD" w:rsidRPr="003F46ED">
        <w:t>4.</w:t>
      </w:r>
      <w:r w:rsidRPr="003F46ED">
        <w:t>1.</w:t>
      </w:r>
      <w:bookmarkEnd w:id="505"/>
      <w:r w:rsidRPr="003F46ED">
        <w:t xml:space="preserve"> </w:t>
      </w:r>
    </w:p>
    <w:p w14:paraId="6C9930EE" w14:textId="77777777" w:rsidR="007B1D45" w:rsidRPr="003F46ED" w:rsidRDefault="00100023" w:rsidP="00B30583">
      <w:pPr>
        <w:rPr>
          <w:bCs/>
        </w:rPr>
      </w:pPr>
      <w:bookmarkStart w:id="506" w:name="_Toc402180712"/>
      <w:r w:rsidRPr="003F46ED">
        <w:t>S</w:t>
      </w:r>
      <w:r w:rsidR="00436A2E" w:rsidRPr="003F46ED">
        <w:t>tudents</w:t>
      </w:r>
      <w:r w:rsidR="00B06EDB" w:rsidRPr="003F46ED">
        <w:t xml:space="preserve"> less inclined to study a language</w:t>
      </w:r>
      <w:r w:rsidR="00436A2E" w:rsidRPr="003F46ED">
        <w:t xml:space="preserve"> tend to view languages as difficult, compounded by the idea that </w:t>
      </w:r>
      <w:r w:rsidR="00B06EDB" w:rsidRPr="003F46ED">
        <w:t>they</w:t>
      </w:r>
      <w:r w:rsidR="00436A2E" w:rsidRPr="003F46ED">
        <w:t xml:space="preserve"> are non-core and less useful than other subjects, requiring more effort for less gain. Students feel that progress is limited at school and that learning in country would be more effective</w:t>
      </w:r>
      <w:r w:rsidR="00D06537" w:rsidRPr="003F46ED">
        <w:t xml:space="preserve"> (Kohler &amp; Curnow, 2014)</w:t>
      </w:r>
      <w:r w:rsidR="00436A2E" w:rsidRPr="003F46ED">
        <w:t>. The literature indicates that in-country study opportunities in the target language might encourage continuation</w:t>
      </w:r>
      <w:r w:rsidR="0091546F" w:rsidRPr="003F46ED">
        <w:t xml:space="preserve"> (Kohler &amp; Curnow, 2014)</w:t>
      </w:r>
      <w:r w:rsidR="00436A2E" w:rsidRPr="003F46ED">
        <w:t>.</w:t>
      </w:r>
      <w:bookmarkEnd w:id="506"/>
      <w:r w:rsidR="00436A2E" w:rsidRPr="003F46ED">
        <w:rPr>
          <w:bCs/>
        </w:rPr>
        <w:t xml:space="preserve"> </w:t>
      </w:r>
    </w:p>
    <w:p w14:paraId="5FA775DF" w14:textId="77777777" w:rsidR="007B1D45" w:rsidRPr="003F46ED" w:rsidRDefault="00436A2E" w:rsidP="00B30583">
      <w:pPr>
        <w:rPr>
          <w:bCs/>
        </w:rPr>
      </w:pPr>
      <w:bookmarkStart w:id="507" w:name="_Toc402180713"/>
      <w:r w:rsidRPr="003F46ED">
        <w:t>Students’ perceptions on this issue are exacerbated by stop-start learning at school, especially when transitioning from primary to secondary</w:t>
      </w:r>
      <w:r w:rsidR="008E231C" w:rsidRPr="003F46ED">
        <w:t xml:space="preserve"> (</w:t>
      </w:r>
      <w:r w:rsidR="00AD7F2C" w:rsidRPr="003F46ED">
        <w:t>Kohler &amp; Curnow, 2014)</w:t>
      </w:r>
      <w:r w:rsidRPr="003F46ED">
        <w:t xml:space="preserve">. </w:t>
      </w:r>
      <w:r w:rsidR="008C0748" w:rsidRPr="003F46ED">
        <w:t xml:space="preserve">Based on </w:t>
      </w:r>
      <w:r w:rsidR="00DA288D" w:rsidRPr="003F46ED">
        <w:t xml:space="preserve">AEF </w:t>
      </w:r>
      <w:r w:rsidR="008C0748" w:rsidRPr="003F46ED">
        <w:t>discussions with Australian Field Study (</w:t>
      </w:r>
      <w:proofErr w:type="spellStart"/>
      <w:r w:rsidR="008C0748" w:rsidRPr="003F46ED">
        <w:t>AFS</w:t>
      </w:r>
      <w:proofErr w:type="spellEnd"/>
      <w:r w:rsidR="008C0748" w:rsidRPr="003F46ED">
        <w:t xml:space="preserve">) Intercultural Programs, </w:t>
      </w:r>
      <w:r w:rsidR="00DA288D" w:rsidRPr="003F46ED">
        <w:t xml:space="preserve">the in-country </w:t>
      </w:r>
      <w:r w:rsidR="00AD7F2C" w:rsidRPr="003F46ED">
        <w:t xml:space="preserve">language study </w:t>
      </w:r>
      <w:r w:rsidR="00DA288D" w:rsidRPr="003F46ED">
        <w:t>option could be developed further, building on current work</w:t>
      </w:r>
      <w:r w:rsidR="000E7D97" w:rsidRPr="003F46ED">
        <w:t xml:space="preserve"> by </w:t>
      </w:r>
      <w:proofErr w:type="spellStart"/>
      <w:r w:rsidR="000E7D97" w:rsidRPr="003F46ED">
        <w:t>AFS</w:t>
      </w:r>
      <w:proofErr w:type="spellEnd"/>
      <w:r w:rsidR="00DA288D" w:rsidRPr="003F46ED">
        <w:t>.</w:t>
      </w:r>
      <w:bookmarkEnd w:id="507"/>
    </w:p>
    <w:p w14:paraId="619C5A99" w14:textId="77777777" w:rsidR="007B1D45" w:rsidRPr="003F46ED" w:rsidRDefault="00436A2E" w:rsidP="00076CCC">
      <w:pPr>
        <w:pStyle w:val="Heading3"/>
      </w:pPr>
      <w:bookmarkStart w:id="508" w:name="_Toc402180714"/>
      <w:r w:rsidRPr="003F46ED">
        <w:t>Encouraging students to choose languages in senior secondary</w:t>
      </w:r>
      <w:bookmarkEnd w:id="508"/>
    </w:p>
    <w:p w14:paraId="7EC11711" w14:textId="77777777" w:rsidR="007B1D45" w:rsidRPr="003F46ED" w:rsidRDefault="00100023" w:rsidP="00B30583">
      <w:bookmarkStart w:id="509" w:name="_Toc402180715"/>
      <w:r w:rsidRPr="003F46ED">
        <w:t>P</w:t>
      </w:r>
      <w:r w:rsidR="00436A2E" w:rsidRPr="003F46ED">
        <w:t>ersonal connection with target language culture is usually stronger in stude</w:t>
      </w:r>
      <w:r w:rsidR="000C75B2" w:rsidRPr="003F46ED">
        <w:t>nts who continue with languages</w:t>
      </w:r>
      <w:r w:rsidR="00436A2E" w:rsidRPr="003F46ED">
        <w:t xml:space="preserve"> while strategic reasons are weaker. The more a student engages in language learning</w:t>
      </w:r>
      <w:r w:rsidR="00492775" w:rsidRPr="003F46ED">
        <w:t>,</w:t>
      </w:r>
      <w:r w:rsidR="00436A2E" w:rsidRPr="003F46ED">
        <w:t xml:space="preserve"> the more likely their reasons will shift from strategic to more personal. </w:t>
      </w:r>
      <w:r w:rsidR="00297023" w:rsidRPr="003F46ED">
        <w:t xml:space="preserve">Hence, </w:t>
      </w:r>
      <w:r w:rsidR="00FE08EA" w:rsidRPr="003F46ED">
        <w:t xml:space="preserve">it is important to start language learning early. And, </w:t>
      </w:r>
      <w:r w:rsidR="00297023" w:rsidRPr="003F46ED">
        <w:t>t</w:t>
      </w:r>
      <w:r w:rsidR="00436A2E" w:rsidRPr="003F46ED">
        <w:t>he older students are when they make the choice to study languages, the more likely they are to continue</w:t>
      </w:r>
      <w:r w:rsidR="00297023" w:rsidRPr="003F46ED">
        <w:t xml:space="preserve"> (Kohler &amp; Curnow, 2014)</w:t>
      </w:r>
      <w:r w:rsidR="00436A2E" w:rsidRPr="003F46ED">
        <w:t>.</w:t>
      </w:r>
      <w:bookmarkEnd w:id="509"/>
    </w:p>
    <w:p w14:paraId="7ADD28E2" w14:textId="77777777" w:rsidR="007B1D45" w:rsidRPr="003F46ED" w:rsidRDefault="00436A2E" w:rsidP="00B30583">
      <w:bookmarkStart w:id="510" w:name="_Toc402180716"/>
      <w:r w:rsidRPr="003F46ED">
        <w:t xml:space="preserve">Research suggests that both strategic and ‘personal’ reasons should be used to encourage language study. Reasons students cite for language study can be influenced by an overarching national narrative, e.g. when languages were promoted as having economic value in the </w:t>
      </w:r>
      <w:proofErr w:type="spellStart"/>
      <w:r w:rsidRPr="003F46ED">
        <w:t>1990s</w:t>
      </w:r>
      <w:proofErr w:type="spellEnd"/>
      <w:r w:rsidRPr="003F46ED">
        <w:t>, students studied a language thinking it would be good for their future career</w:t>
      </w:r>
      <w:r w:rsidR="007B4E37" w:rsidRPr="003F46ED">
        <w:t xml:space="preserve"> (Kohler &amp; Curnow, 2014)</w:t>
      </w:r>
      <w:r w:rsidRPr="003F46ED">
        <w:t xml:space="preserve">. Students are drawn to the utility of a language and research has shown that students retrofit career options </w:t>
      </w:r>
      <w:r w:rsidR="00AC2E7C" w:rsidRPr="003F46ED">
        <w:t>on the basis of</w:t>
      </w:r>
      <w:r w:rsidRPr="003F46ED">
        <w:t xml:space="preserve"> their language abilities</w:t>
      </w:r>
      <w:r w:rsidR="00B06703" w:rsidRPr="003F46ED">
        <w:t xml:space="preserve"> (Kohler &amp; Curnow, 2014)</w:t>
      </w:r>
      <w:r w:rsidRPr="003F46ED">
        <w:t>.</w:t>
      </w:r>
      <w:bookmarkEnd w:id="510"/>
      <w:r w:rsidR="00E56C26" w:rsidRPr="003F46ED">
        <w:t xml:space="preserve"> </w:t>
      </w:r>
    </w:p>
    <w:p w14:paraId="032353D6" w14:textId="77777777" w:rsidR="007B1D45" w:rsidRPr="003F46ED" w:rsidRDefault="008042DA" w:rsidP="00B30583">
      <w:pPr>
        <w:rPr>
          <w:rFonts w:ascii="Calibri" w:hAnsi="Calibri"/>
          <w:bCs/>
        </w:rPr>
      </w:pPr>
      <w:bookmarkStart w:id="511" w:name="_Toc402180717"/>
      <w:r w:rsidRPr="003F46ED">
        <w:t>However, the reasons used should be weighted towards the educational and intercultural benefits of language learning, which are the strongest reasons according to the survey results (Rothman, Zhao &amp; Lonsdale, 2014; Spence-Brown, 2014). These reasons are</w:t>
      </w:r>
      <w:r w:rsidR="00B965BD" w:rsidRPr="003F46ED">
        <w:t xml:space="preserve"> also</w:t>
      </w:r>
      <w:r w:rsidRPr="003F46ED">
        <w:t xml:space="preserve"> likely to resonate with sch</w:t>
      </w:r>
      <w:r w:rsidR="00B965BD" w:rsidRPr="003F46ED">
        <w:t>ool educators</w:t>
      </w:r>
      <w:r w:rsidR="001B3A7D" w:rsidRPr="003F46ED">
        <w:t xml:space="preserve"> much more so than</w:t>
      </w:r>
      <w:r w:rsidRPr="003F46ED">
        <w:t xml:space="preserve"> economic reasons (see</w:t>
      </w:r>
      <w:r w:rsidR="00A715DF" w:rsidRPr="003F46ED">
        <w:t>, for example,</w:t>
      </w:r>
      <w:r w:rsidRPr="003F46ED">
        <w:t xml:space="preserve"> </w:t>
      </w:r>
      <w:proofErr w:type="spellStart"/>
      <w:r w:rsidRPr="003F46ED">
        <w:t>Halse</w:t>
      </w:r>
      <w:proofErr w:type="spellEnd"/>
      <w:r w:rsidRPr="003F46ED">
        <w:t xml:space="preserve">, </w:t>
      </w:r>
      <w:proofErr w:type="spellStart"/>
      <w:r w:rsidRPr="003F46ED">
        <w:t>Kostogriz</w:t>
      </w:r>
      <w:proofErr w:type="spellEnd"/>
      <w:r w:rsidRPr="003F46ED">
        <w:t xml:space="preserve">, </w:t>
      </w:r>
      <w:proofErr w:type="spellStart"/>
      <w:r w:rsidRPr="003F46ED">
        <w:t>Cloonan</w:t>
      </w:r>
      <w:proofErr w:type="spellEnd"/>
      <w:r w:rsidRPr="003F46ED">
        <w:t xml:space="preserve">, Dyer, Toe &amp; </w:t>
      </w:r>
      <w:proofErr w:type="spellStart"/>
      <w:r w:rsidRPr="003F46ED">
        <w:t>Weinmann</w:t>
      </w:r>
      <w:proofErr w:type="spellEnd"/>
      <w:r w:rsidRPr="003F46ED">
        <w:t>, 2013).</w:t>
      </w:r>
      <w:bookmarkEnd w:id="511"/>
    </w:p>
    <w:p w14:paraId="162162F6" w14:textId="77777777" w:rsidR="007B1D45" w:rsidRPr="003F46ED" w:rsidRDefault="00436A2E" w:rsidP="00B30583">
      <w:bookmarkStart w:id="512" w:name="_Toc402180718"/>
      <w:r w:rsidRPr="003F46ED">
        <w:t>The latest research on student motivation for language</w:t>
      </w:r>
      <w:r w:rsidR="00006E41" w:rsidRPr="003F46ED">
        <w:t xml:space="preserve"> learning</w:t>
      </w:r>
      <w:r w:rsidRPr="003F46ED">
        <w:t xml:space="preserve"> links student demand to their </w:t>
      </w:r>
      <w:r w:rsidR="002D0A17" w:rsidRPr="003F46ED">
        <w:t>identity,</w:t>
      </w:r>
      <w:r w:rsidRPr="003F46ED">
        <w:t xml:space="preserve"> background and vision as an ideal language user</w:t>
      </w:r>
      <w:r w:rsidR="003027A7" w:rsidRPr="003F46ED">
        <w:t xml:space="preserve"> (Kohler &amp; Curnow, 2014)</w:t>
      </w:r>
      <w:r w:rsidRPr="003F46ED">
        <w:t>. This suggests the need for an inclusive narrative for languages education in Australia that recognises different learner identities, backgrounds and aspirations.</w:t>
      </w:r>
      <w:bookmarkEnd w:id="512"/>
    </w:p>
    <w:p w14:paraId="7FF6415C" w14:textId="270C9CAE" w:rsidR="00436A2E" w:rsidRPr="003F46ED" w:rsidRDefault="00436A2E" w:rsidP="00F666F6">
      <w:pPr>
        <w:pStyle w:val="Heading3"/>
        <w:numPr>
          <w:ilvl w:val="0"/>
          <w:numId w:val="42"/>
        </w:numPr>
      </w:pPr>
      <w:bookmarkStart w:id="513" w:name="_Toc402180719"/>
      <w:r w:rsidRPr="003F46ED">
        <w:t>School and community</w:t>
      </w:r>
      <w:bookmarkEnd w:id="513"/>
      <w:r w:rsidRPr="003F46ED">
        <w:t xml:space="preserve"> </w:t>
      </w:r>
    </w:p>
    <w:p w14:paraId="7EEA066D" w14:textId="77777777" w:rsidR="007B1D45" w:rsidRPr="00CB5ABC" w:rsidRDefault="00436A2E" w:rsidP="00B30583">
      <w:pPr>
        <w:rPr>
          <w:rFonts w:asciiTheme="majorHAnsi" w:hAnsiTheme="majorHAnsi"/>
          <w:b/>
        </w:rPr>
      </w:pPr>
      <w:bookmarkStart w:id="514" w:name="_Toc402180720"/>
      <w:r w:rsidRPr="00CB5ABC">
        <w:rPr>
          <w:rFonts w:asciiTheme="majorHAnsi" w:hAnsiTheme="majorHAnsi"/>
          <w:b/>
        </w:rPr>
        <w:t xml:space="preserve">Enablers and barriers within a school </w:t>
      </w:r>
      <w:r w:rsidR="00682067" w:rsidRPr="00CB5ABC">
        <w:rPr>
          <w:rFonts w:asciiTheme="majorHAnsi" w:hAnsiTheme="majorHAnsi"/>
          <w:b/>
        </w:rPr>
        <w:t xml:space="preserve">influence </w:t>
      </w:r>
      <w:r w:rsidRPr="00CB5ABC">
        <w:rPr>
          <w:rFonts w:asciiTheme="majorHAnsi" w:hAnsiTheme="majorHAnsi"/>
          <w:b/>
        </w:rPr>
        <w:t>student demand for languages</w:t>
      </w:r>
      <w:bookmarkEnd w:id="514"/>
    </w:p>
    <w:p w14:paraId="33C6B66E" w14:textId="77777777" w:rsidR="007B1D45" w:rsidRPr="003F46ED" w:rsidRDefault="00436A2E" w:rsidP="00076CCC">
      <w:pPr>
        <w:pStyle w:val="Heading4"/>
      </w:pPr>
      <w:bookmarkStart w:id="515" w:name="_Toc402180721"/>
      <w:r w:rsidRPr="003F46ED">
        <w:t>Access</w:t>
      </w:r>
      <w:bookmarkEnd w:id="515"/>
    </w:p>
    <w:p w14:paraId="739DDF1C" w14:textId="77777777" w:rsidR="007B1D45" w:rsidRPr="003F46ED" w:rsidRDefault="003314A0" w:rsidP="00B30583">
      <w:pPr>
        <w:rPr>
          <w:rFonts w:cs="Calibri"/>
        </w:rPr>
      </w:pPr>
      <w:bookmarkStart w:id="516" w:name="_Toc402180722"/>
      <w:r w:rsidRPr="003F46ED">
        <w:rPr>
          <w:rFonts w:cs="Calibri"/>
        </w:rPr>
        <w:t>Lack of access single-handedly stop</w:t>
      </w:r>
      <w:r w:rsidR="00E94929" w:rsidRPr="003F46ED">
        <w:rPr>
          <w:rFonts w:cs="Calibri"/>
        </w:rPr>
        <w:t>s</w:t>
      </w:r>
      <w:r w:rsidRPr="003F46ED">
        <w:rPr>
          <w:rFonts w:cs="Calibri"/>
        </w:rPr>
        <w:t xml:space="preserve"> a student from studying a language. </w:t>
      </w:r>
      <w:r w:rsidRPr="003F46ED">
        <w:t>‘Access’ here refers to an ideal scenario where all students can access their preferred language, type of course (e.g. Beginners, Continuers) and mode of study (e.g. in school). This ideal scenario alone requires considerable and sustained effort by systems, sectors and schools to achieve.</w:t>
      </w:r>
      <w:bookmarkEnd w:id="516"/>
    </w:p>
    <w:p w14:paraId="3101D0C8" w14:textId="77777777" w:rsidR="007B1D45" w:rsidRPr="003F46ED" w:rsidRDefault="003314A0" w:rsidP="00B30583">
      <w:bookmarkStart w:id="517" w:name="_Toc402180723"/>
      <w:r w:rsidRPr="003F46ED">
        <w:lastRenderedPageBreak/>
        <w:t>Lack of access is a problem experienced at a local school level but requires systemic support to address. It is a policy issue. Students in capital cities are more likely to study languages at Years 11 and 12 based on the subject choice literature and the survey results. While this could be in part</w:t>
      </w:r>
      <w:r w:rsidR="00BB4F6F" w:rsidRPr="003F46ED">
        <w:t xml:space="preserve"> a demand issue – </w:t>
      </w:r>
      <w:r w:rsidRPr="003F46ED">
        <w:t>lack of student demand means a school</w:t>
      </w:r>
      <w:r w:rsidR="00BB4F6F" w:rsidRPr="003F46ED">
        <w:t xml:space="preserve"> does not offer language study – </w:t>
      </w:r>
      <w:r w:rsidRPr="003F46ED">
        <w:t xml:space="preserve">it is more likely an access issue based on </w:t>
      </w:r>
      <w:r w:rsidR="00FC678B" w:rsidRPr="003F46ED">
        <w:t>the student survey results (</w:t>
      </w:r>
      <w:r w:rsidRPr="003F46ED">
        <w:t xml:space="preserve">Rothman, Zhao &amp; Lonsdale, 2014). </w:t>
      </w:r>
      <w:r w:rsidR="00FC678B" w:rsidRPr="003F46ED">
        <w:t>It appears that e</w:t>
      </w:r>
      <w:r w:rsidRPr="003F46ED">
        <w:t>quitable access to languages remains a challenge in some regional and rural/remote areas (see</w:t>
      </w:r>
      <w:r w:rsidR="00FC678B" w:rsidRPr="003F46ED">
        <w:t>, for example,</w:t>
      </w:r>
      <w:r w:rsidRPr="003F46ED">
        <w:t xml:space="preserve"> Fullarton &amp; </w:t>
      </w:r>
      <w:proofErr w:type="spellStart"/>
      <w:r w:rsidRPr="003F46ED">
        <w:t>Ainley</w:t>
      </w:r>
      <w:proofErr w:type="spellEnd"/>
      <w:r w:rsidRPr="003F46ED">
        <w:t>, 2000).</w:t>
      </w:r>
      <w:bookmarkEnd w:id="517"/>
      <w:r w:rsidRPr="003F46ED">
        <w:t xml:space="preserve"> </w:t>
      </w:r>
    </w:p>
    <w:p w14:paraId="081E7D4E" w14:textId="0A8525A5" w:rsidR="00436A2E" w:rsidRPr="003F46ED" w:rsidRDefault="0033579D" w:rsidP="00B30583">
      <w:bookmarkStart w:id="518" w:name="_Toc402180724"/>
      <w:r w:rsidRPr="003F46ED">
        <w:t>Twelve-and-a-half</w:t>
      </w:r>
      <w:r w:rsidR="003314A0" w:rsidRPr="003F46ED">
        <w:t xml:space="preserve"> per cent of student survey respondents (</w:t>
      </w:r>
      <w:r w:rsidR="003314A0" w:rsidRPr="003F46ED">
        <w:rPr>
          <w:i/>
        </w:rPr>
        <w:t>n=304</w:t>
      </w:r>
      <w:r w:rsidR="003314A0" w:rsidRPr="003F46ED">
        <w:t>) reported that a language was not offered at their school in Years 11 and 12. Where languages were offered, 29 per cent (</w:t>
      </w:r>
      <w:r w:rsidR="003314A0" w:rsidRPr="003F46ED">
        <w:rPr>
          <w:i/>
        </w:rPr>
        <w:t>n=113</w:t>
      </w:r>
      <w:r w:rsidR="003314A0" w:rsidRPr="003F46ED">
        <w:t>)</w:t>
      </w:r>
      <w:r w:rsidR="003314A0" w:rsidRPr="003F46ED">
        <w:rPr>
          <w:i/>
        </w:rPr>
        <w:t xml:space="preserve"> </w:t>
      </w:r>
      <w:r w:rsidR="003314A0" w:rsidRPr="003F46ED">
        <w:t>cited access issues as the main reason for not doing a language</w:t>
      </w:r>
      <w:r w:rsidR="00AB2786" w:rsidRPr="003F46ED">
        <w:t>,</w:t>
      </w:r>
      <w:r w:rsidR="003314A0" w:rsidRPr="003F46ED">
        <w:t xml:space="preserve"> e.g. languages only offered via distance learning, preferred language not offered, lack of continuity into senior secondary and timetable conflicts (Rothman, Zhao &amp; Lonsdale, 2014).</w:t>
      </w:r>
      <w:r w:rsidR="00436A2E" w:rsidRPr="003F46ED">
        <w:t xml:space="preserve"> </w:t>
      </w:r>
      <w:r w:rsidR="00BD31A4" w:rsidRPr="003F46ED">
        <w:t xml:space="preserve">This indicates that students perceive ‘ideal’ access – or quality programming and provision – </w:t>
      </w:r>
      <w:r w:rsidR="00DB56F4" w:rsidRPr="003F46ED">
        <w:t>as</w:t>
      </w:r>
      <w:r w:rsidR="00BD31A4" w:rsidRPr="003F46ED">
        <w:t>:</w:t>
      </w:r>
      <w:bookmarkEnd w:id="518"/>
    </w:p>
    <w:p w14:paraId="14B9D309" w14:textId="77777777" w:rsidR="0071738E" w:rsidRPr="003F46ED" w:rsidRDefault="008B4C12" w:rsidP="00F023F0">
      <w:pPr>
        <w:pStyle w:val="ListParagraph"/>
      </w:pPr>
      <w:bookmarkStart w:id="519" w:name="_Toc402180725"/>
      <w:r w:rsidRPr="003F46ED">
        <w:t>d</w:t>
      </w:r>
      <w:r w:rsidR="0071738E" w:rsidRPr="003F46ED">
        <w:t>irect access to language study at school, not distance learning</w:t>
      </w:r>
      <w:bookmarkEnd w:id="519"/>
    </w:p>
    <w:p w14:paraId="37E1AE80" w14:textId="77777777" w:rsidR="0071738E" w:rsidRPr="003F46ED" w:rsidRDefault="0094487D" w:rsidP="00F023F0">
      <w:pPr>
        <w:pStyle w:val="ListParagraph"/>
      </w:pPr>
      <w:bookmarkStart w:id="520" w:name="_Toc402180726"/>
      <w:r w:rsidRPr="003F46ED">
        <w:t>involving ideally</w:t>
      </w:r>
      <w:r w:rsidR="0071738E" w:rsidRPr="003F46ED">
        <w:t xml:space="preserve"> their preferred language</w:t>
      </w:r>
      <w:bookmarkEnd w:id="520"/>
    </w:p>
    <w:p w14:paraId="67F0411C" w14:textId="77777777" w:rsidR="0071738E" w:rsidRPr="003F46ED" w:rsidRDefault="008B4C12" w:rsidP="00F023F0">
      <w:pPr>
        <w:pStyle w:val="ListParagraph"/>
      </w:pPr>
      <w:bookmarkStart w:id="521" w:name="_Toc402180727"/>
      <w:r w:rsidRPr="003F46ED">
        <w:t>t</w:t>
      </w:r>
      <w:r w:rsidR="0071738E" w:rsidRPr="003F46ED">
        <w:t>he ability to continue</w:t>
      </w:r>
      <w:r w:rsidR="0094487D" w:rsidRPr="003F46ED">
        <w:t xml:space="preserve"> with the same language</w:t>
      </w:r>
      <w:r w:rsidR="0071738E" w:rsidRPr="003F46ED">
        <w:t xml:space="preserve"> into senior secondary</w:t>
      </w:r>
      <w:bookmarkEnd w:id="521"/>
    </w:p>
    <w:p w14:paraId="06FEBC7F" w14:textId="77777777" w:rsidR="0071738E" w:rsidRPr="003F46ED" w:rsidRDefault="0094487D" w:rsidP="00F023F0">
      <w:pPr>
        <w:pStyle w:val="ListParagraph"/>
      </w:pPr>
      <w:bookmarkStart w:id="522" w:name="_Toc402180728"/>
      <w:proofErr w:type="gramStart"/>
      <w:r w:rsidRPr="003F46ED">
        <w:t>lack</w:t>
      </w:r>
      <w:proofErr w:type="gramEnd"/>
      <w:r w:rsidRPr="003F46ED">
        <w:t xml:space="preserve"> of </w:t>
      </w:r>
      <w:r w:rsidR="008B4C12" w:rsidRPr="003F46ED">
        <w:t>t</w:t>
      </w:r>
      <w:r w:rsidR="0071738E" w:rsidRPr="003F46ED">
        <w:t>imetabl</w:t>
      </w:r>
      <w:r w:rsidR="00534A72" w:rsidRPr="003F46ED">
        <w:t>ing</w:t>
      </w:r>
      <w:r w:rsidRPr="003F46ED">
        <w:t xml:space="preserve"> clashes</w:t>
      </w:r>
      <w:r w:rsidR="008B4C12" w:rsidRPr="003F46ED">
        <w:t>.</w:t>
      </w:r>
      <w:bookmarkEnd w:id="522"/>
    </w:p>
    <w:p w14:paraId="5446E5C9" w14:textId="77777777" w:rsidR="007B1D45" w:rsidRPr="003F46ED" w:rsidRDefault="004174ED" w:rsidP="00B30583">
      <w:bookmarkStart w:id="523" w:name="_Toc402180729"/>
      <w:r w:rsidRPr="003F46ED">
        <w:t>From</w:t>
      </w:r>
      <w:r w:rsidR="00E67EF4" w:rsidRPr="003F46ED">
        <w:t xml:space="preserve"> these results, i</w:t>
      </w:r>
      <w:r w:rsidR="00EF6B50" w:rsidRPr="003F46ED">
        <w:t>t appears that technology-based delivery of languages</w:t>
      </w:r>
      <w:r w:rsidR="00C21C8B" w:rsidRPr="003F46ED">
        <w:t>, using expert language teachers,</w:t>
      </w:r>
      <w:r w:rsidR="00EF6B50" w:rsidRPr="003F46ED">
        <w:t xml:space="preserve"> must be accompanied by</w:t>
      </w:r>
      <w:r w:rsidR="00512B2B" w:rsidRPr="003F46ED">
        <w:t xml:space="preserve"> a better</w:t>
      </w:r>
      <w:r w:rsidR="00E67EF4" w:rsidRPr="003F46ED">
        <w:t>, evidence-informed</w:t>
      </w:r>
      <w:r w:rsidR="00512B2B" w:rsidRPr="003F46ED">
        <w:t xml:space="preserve"> understanding of the learner experience</w:t>
      </w:r>
      <w:r w:rsidR="00E67EF4" w:rsidRPr="003F46ED">
        <w:t xml:space="preserve"> and impact on student retention</w:t>
      </w:r>
      <w:r w:rsidR="00512B2B" w:rsidRPr="003F46ED">
        <w:t>. Student pe</w:t>
      </w:r>
      <w:r w:rsidR="00104737" w:rsidRPr="003F46ED">
        <w:t>rceptions on such delivery need</w:t>
      </w:r>
      <w:r w:rsidR="00512B2B" w:rsidRPr="003F46ED">
        <w:t xml:space="preserve"> to change if it is to be used as a way to </w:t>
      </w:r>
      <w:r w:rsidR="00E67EF4" w:rsidRPr="003F46ED">
        <w:t>resolve</w:t>
      </w:r>
      <w:r w:rsidR="00512B2B" w:rsidRPr="003F46ED">
        <w:t xml:space="preserve"> </w:t>
      </w:r>
      <w:r w:rsidR="00DC365C" w:rsidRPr="003F46ED">
        <w:t>access issues</w:t>
      </w:r>
      <w:r w:rsidR="00512B2B" w:rsidRPr="003F46ED">
        <w:t>.</w:t>
      </w:r>
      <w:bookmarkEnd w:id="523"/>
    </w:p>
    <w:p w14:paraId="37DED3E6" w14:textId="77777777" w:rsidR="007B1D45" w:rsidRPr="003F46ED" w:rsidRDefault="00F33067" w:rsidP="00B30583">
      <w:bookmarkStart w:id="524" w:name="_Toc402180730"/>
      <w:r w:rsidRPr="003F46ED">
        <w:t xml:space="preserve">Related to the issue of access, or lack thereof, </w:t>
      </w:r>
      <w:r w:rsidR="00240FAF" w:rsidRPr="003F46ED">
        <w:t>is the</w:t>
      </w:r>
      <w:r w:rsidRPr="003F46ED">
        <w:t xml:space="preserve"> common perception of a language teacher shortage in Australia. </w:t>
      </w:r>
      <w:r w:rsidR="00F40375" w:rsidRPr="003F46ED">
        <w:t>Some research connects the closure of language programmes in schools to te</w:t>
      </w:r>
      <w:r w:rsidR="00FC678B" w:rsidRPr="003F46ED">
        <w:t>acher retention and supply (</w:t>
      </w:r>
      <w:r w:rsidR="00F40375" w:rsidRPr="003F46ED">
        <w:t>Kohler &amp; Curnow, 2014). However, t</w:t>
      </w:r>
      <w:r w:rsidRPr="003F46ED">
        <w:t xml:space="preserve">here is lack of </w:t>
      </w:r>
      <w:r w:rsidR="003D3092" w:rsidRPr="003F46ED">
        <w:t>conclusive</w:t>
      </w:r>
      <w:r w:rsidRPr="003F46ED">
        <w:t xml:space="preserve"> evidence </w:t>
      </w:r>
      <w:r w:rsidR="00B86914" w:rsidRPr="003F46ED">
        <w:t>of an actual</w:t>
      </w:r>
      <w:r w:rsidR="003D3092" w:rsidRPr="003F46ED">
        <w:t xml:space="preserve"> shortage</w:t>
      </w:r>
      <w:r w:rsidRPr="003F46ED">
        <w:t>, although</w:t>
      </w:r>
      <w:r w:rsidR="00240FAF" w:rsidRPr="003F46ED">
        <w:t xml:space="preserve"> anecdotal evidence (from </w:t>
      </w:r>
      <w:r w:rsidR="00143D8C" w:rsidRPr="003F46ED">
        <w:t xml:space="preserve">consultations) suggests that it </w:t>
      </w:r>
      <w:r w:rsidR="00F40375" w:rsidRPr="003F46ED">
        <w:t>might be</w:t>
      </w:r>
      <w:r w:rsidR="00143D8C" w:rsidRPr="003F46ED">
        <w:t xml:space="preserve"> more a case of language teachers no</w:t>
      </w:r>
      <w:r w:rsidR="00240FAF" w:rsidRPr="003F46ED">
        <w:t>t willing to work in regional and</w:t>
      </w:r>
      <w:r w:rsidR="00143D8C" w:rsidRPr="003F46ED">
        <w:t xml:space="preserve"> rural/remote areas or take up fractional appointments.</w:t>
      </w:r>
      <w:r w:rsidR="00240FAF" w:rsidRPr="003F46ED">
        <w:t xml:space="preserve"> In Vic,</w:t>
      </w:r>
      <w:r w:rsidR="00EB05F4" w:rsidRPr="003F46ED">
        <w:t xml:space="preserve"> for example,</w:t>
      </w:r>
      <w:r w:rsidR="00240FAF" w:rsidRPr="003F46ED">
        <w:t xml:space="preserve"> </w:t>
      </w:r>
      <w:r w:rsidR="00724318" w:rsidRPr="003F46ED">
        <w:t>a mapping exercise is underway to identify where language programmes exist in schools and how teaching resources can be best mobilised.</w:t>
      </w:r>
      <w:bookmarkEnd w:id="524"/>
    </w:p>
    <w:p w14:paraId="4A8F1495" w14:textId="77777777" w:rsidR="007B1D45" w:rsidRPr="003F46ED" w:rsidRDefault="00436A2E" w:rsidP="00076CCC">
      <w:pPr>
        <w:pStyle w:val="Heading4"/>
      </w:pPr>
      <w:bookmarkStart w:id="525" w:name="_Toc402180731"/>
      <w:r w:rsidRPr="003F46ED">
        <w:t>Quality programmes</w:t>
      </w:r>
      <w:bookmarkEnd w:id="525"/>
    </w:p>
    <w:p w14:paraId="4A0C6E62" w14:textId="77777777" w:rsidR="007B1D45" w:rsidRPr="003F46ED" w:rsidRDefault="007A49DE" w:rsidP="00B30583">
      <w:bookmarkStart w:id="526" w:name="_Toc402180732"/>
      <w:r w:rsidRPr="003F46ED">
        <w:t xml:space="preserve">Principal </w:t>
      </w:r>
      <w:r w:rsidR="00A53408" w:rsidRPr="003F46ED">
        <w:t>survey</w:t>
      </w:r>
      <w:r w:rsidR="00436A2E" w:rsidRPr="003F46ED">
        <w:t xml:space="preserve"> </w:t>
      </w:r>
      <w:r w:rsidRPr="003F46ED">
        <w:t xml:space="preserve">respondents </w:t>
      </w:r>
      <w:r w:rsidR="00436A2E" w:rsidRPr="003F46ED">
        <w:t>noted that languages enrolments are enhanced when the language teacher is enthusiastic and knowledgeable about the language</w:t>
      </w:r>
      <w:r w:rsidR="00A03348" w:rsidRPr="003F46ED">
        <w:t xml:space="preserve"> (Rothman, Zhao &amp; Lonsdale, 2014)</w:t>
      </w:r>
      <w:r w:rsidR="00436A2E" w:rsidRPr="003F46ED">
        <w:t xml:space="preserve">. </w:t>
      </w:r>
      <w:r w:rsidR="00517261" w:rsidRPr="003F46ED">
        <w:t>T</w:t>
      </w:r>
      <w:r w:rsidR="00436A2E" w:rsidRPr="003F46ED">
        <w:t>he</w:t>
      </w:r>
      <w:r w:rsidR="002D654F" w:rsidRPr="003F46ED">
        <w:t xml:space="preserve"> principal</w:t>
      </w:r>
      <w:r w:rsidR="00436A2E" w:rsidRPr="003F46ED">
        <w:t xml:space="preserve"> </w:t>
      </w:r>
      <w:r w:rsidR="00A53408" w:rsidRPr="003F46ED">
        <w:t xml:space="preserve">survey results and the </w:t>
      </w:r>
      <w:r w:rsidR="00436A2E" w:rsidRPr="003F46ED">
        <w:t xml:space="preserve">literature review </w:t>
      </w:r>
      <w:r w:rsidR="00412DA6" w:rsidRPr="003F46ED">
        <w:t>suggest</w:t>
      </w:r>
      <w:r w:rsidR="00436A2E" w:rsidRPr="003F46ED">
        <w:t xml:space="preserve"> that the greatest impediment to languages provision in schools is access to quality teaching</w:t>
      </w:r>
      <w:r w:rsidRPr="003F46ED">
        <w:t xml:space="preserve"> (</w:t>
      </w:r>
      <w:r w:rsidR="00FC678B" w:rsidRPr="003F46ED">
        <w:t xml:space="preserve">Kohler &amp; Curnow, 2014; </w:t>
      </w:r>
      <w:r w:rsidRPr="003F46ED">
        <w:t>Rothman, Zhao &amp; Lonsdale, 2</w:t>
      </w:r>
      <w:r w:rsidR="00FC678B" w:rsidRPr="003F46ED">
        <w:t>014</w:t>
      </w:r>
      <w:r w:rsidRPr="003F46ED">
        <w:t>)</w:t>
      </w:r>
      <w:r w:rsidR="00436A2E" w:rsidRPr="003F46ED">
        <w:t>.</w:t>
      </w:r>
      <w:bookmarkEnd w:id="526"/>
      <w:r w:rsidR="00436A2E" w:rsidRPr="003F46ED">
        <w:t xml:space="preserve"> </w:t>
      </w:r>
    </w:p>
    <w:p w14:paraId="6DDA1ECE" w14:textId="77777777" w:rsidR="007B1D45" w:rsidRPr="003F46ED" w:rsidRDefault="00FA4895" w:rsidP="00B30583">
      <w:bookmarkStart w:id="527" w:name="_Toc402180733"/>
      <w:r w:rsidRPr="003F46ED">
        <w:t>Based on the student survey results, t</w:t>
      </w:r>
      <w:r w:rsidR="00436A2E" w:rsidRPr="003F46ED">
        <w:t>he quality of languages programmes has significant influence on students’ choice to study, or not study, languages</w:t>
      </w:r>
      <w:r w:rsidR="00582148" w:rsidRPr="003F46ED">
        <w:t>: a quality language learning experience correlates with actual enrolment in la</w:t>
      </w:r>
      <w:r w:rsidR="00471932" w:rsidRPr="003F46ED">
        <w:t>nguages in Years 11 and 12 (</w:t>
      </w:r>
      <w:r w:rsidR="00582148" w:rsidRPr="003F46ED">
        <w:t>Rothman, Zhao &amp; Lonsdale, 2014).</w:t>
      </w:r>
      <w:bookmarkEnd w:id="527"/>
      <w:r w:rsidR="00436A2E" w:rsidRPr="003F46ED">
        <w:t xml:space="preserve"> </w:t>
      </w:r>
    </w:p>
    <w:p w14:paraId="6F6F4A5D" w14:textId="59F38249" w:rsidR="00436A2E" w:rsidRPr="003F46ED" w:rsidRDefault="00E55A48" w:rsidP="00B30583">
      <w:bookmarkStart w:id="528" w:name="_Toc402180734"/>
      <w:r w:rsidRPr="003F46ED">
        <w:t>Research has found that</w:t>
      </w:r>
      <w:r w:rsidR="00436A2E" w:rsidRPr="003F46ED">
        <w:t xml:space="preserve"> language teacher</w:t>
      </w:r>
      <w:r w:rsidR="007418D7" w:rsidRPr="003F46ED">
        <w:t>s</w:t>
      </w:r>
      <w:r w:rsidR="00436A2E" w:rsidRPr="003F46ED">
        <w:t xml:space="preserve"> can </w:t>
      </w:r>
      <w:r w:rsidR="008E4AD9" w:rsidRPr="003F46ED">
        <w:t xml:space="preserve">control </w:t>
      </w:r>
      <w:r w:rsidR="007418D7" w:rsidRPr="003F46ED">
        <w:t xml:space="preserve">several </w:t>
      </w:r>
      <w:r w:rsidR="00436A2E" w:rsidRPr="003F46ED">
        <w:t xml:space="preserve">factors known to </w:t>
      </w:r>
      <w:r w:rsidR="003005F7" w:rsidRPr="003F46ED">
        <w:t>enhance</w:t>
      </w:r>
      <w:r w:rsidR="00436A2E" w:rsidRPr="003F46ED">
        <w:t xml:space="preserve"> student engagement i</w:t>
      </w:r>
      <w:r w:rsidR="007418D7" w:rsidRPr="003F46ED">
        <w:t xml:space="preserve">n language learning. </w:t>
      </w:r>
      <w:r w:rsidR="00B77330" w:rsidRPr="003F46ED">
        <w:t>Teachers should</w:t>
      </w:r>
      <w:r w:rsidR="007418D7" w:rsidRPr="003F46ED">
        <w:t>:</w:t>
      </w:r>
      <w:bookmarkEnd w:id="528"/>
      <w:r w:rsidR="00436A2E" w:rsidRPr="003F46ED">
        <w:t xml:space="preserve"> </w:t>
      </w:r>
    </w:p>
    <w:p w14:paraId="1B84B272" w14:textId="77777777" w:rsidR="00436A2E" w:rsidRPr="003F46ED" w:rsidRDefault="00436A2E" w:rsidP="00F023F0">
      <w:pPr>
        <w:pStyle w:val="ListParagraph"/>
      </w:pPr>
      <w:bookmarkStart w:id="529" w:name="_Toc402180735"/>
      <w:r w:rsidRPr="003F46ED">
        <w:lastRenderedPageBreak/>
        <w:t>establish a supportive and stimulating atmosphere in the classroom</w:t>
      </w:r>
      <w:bookmarkEnd w:id="529"/>
      <w:r w:rsidRPr="003F46ED">
        <w:t xml:space="preserve"> </w:t>
      </w:r>
    </w:p>
    <w:p w14:paraId="4CBE7F2D" w14:textId="77777777" w:rsidR="00436A2E" w:rsidRPr="003F46ED" w:rsidRDefault="00436A2E" w:rsidP="00F023F0">
      <w:pPr>
        <w:pStyle w:val="ListParagraph"/>
      </w:pPr>
      <w:bookmarkStart w:id="530" w:name="_Toc402180736"/>
      <w:r w:rsidRPr="003F46ED">
        <w:t>show clear progression for successful learning and</w:t>
      </w:r>
      <w:r w:rsidR="000E4E76" w:rsidRPr="003F46ED">
        <w:t xml:space="preserve"> set</w:t>
      </w:r>
      <w:r w:rsidRPr="003F46ED">
        <w:t xml:space="preserve"> realistic outcomes</w:t>
      </w:r>
      <w:bookmarkEnd w:id="530"/>
    </w:p>
    <w:p w14:paraId="4321D14A" w14:textId="77777777" w:rsidR="00436A2E" w:rsidRPr="003F46ED" w:rsidRDefault="00436A2E" w:rsidP="00F023F0">
      <w:pPr>
        <w:pStyle w:val="ListParagraph"/>
      </w:pPr>
      <w:bookmarkStart w:id="531" w:name="_Toc402180737"/>
      <w:r w:rsidRPr="003F46ED">
        <w:t>develop a goal-oriented approach</w:t>
      </w:r>
      <w:r w:rsidR="000E4E76" w:rsidRPr="003F46ED">
        <w:t>,</w:t>
      </w:r>
      <w:r w:rsidRPr="003F46ED">
        <w:t xml:space="preserve"> with short and longer term goals</w:t>
      </w:r>
      <w:bookmarkEnd w:id="531"/>
    </w:p>
    <w:p w14:paraId="0366EBF6" w14:textId="77777777" w:rsidR="00436A2E" w:rsidRPr="003F46ED" w:rsidRDefault="00436A2E" w:rsidP="00F023F0">
      <w:pPr>
        <w:pStyle w:val="ListParagraph"/>
      </w:pPr>
      <w:bookmarkStart w:id="532" w:name="_Toc402180738"/>
      <w:r w:rsidRPr="003F46ED">
        <w:t>use authentic and engaging materials</w:t>
      </w:r>
      <w:bookmarkEnd w:id="532"/>
    </w:p>
    <w:p w14:paraId="26F5E897" w14:textId="77777777" w:rsidR="007B1D45" w:rsidRPr="003F46ED" w:rsidRDefault="00436A2E" w:rsidP="00F023F0">
      <w:pPr>
        <w:pStyle w:val="ListParagraph"/>
      </w:pPr>
      <w:bookmarkStart w:id="533" w:name="_Toc402180739"/>
      <w:proofErr w:type="gramStart"/>
      <w:r w:rsidRPr="003F46ED">
        <w:t>promote</w:t>
      </w:r>
      <w:proofErr w:type="gramEnd"/>
      <w:r w:rsidRPr="003F46ED">
        <w:t xml:space="preserve"> learner autonomy, self-confidence and self-evaluation</w:t>
      </w:r>
      <w:r w:rsidR="00471932" w:rsidRPr="003F46ED">
        <w:t xml:space="preserve"> (</w:t>
      </w:r>
      <w:r w:rsidR="00C72971" w:rsidRPr="003F46ED">
        <w:t>Kohler &amp; Curnow, 2014)</w:t>
      </w:r>
      <w:r w:rsidRPr="003F46ED">
        <w:t>.</w:t>
      </w:r>
      <w:bookmarkEnd w:id="533"/>
      <w:r w:rsidRPr="003F46ED">
        <w:t xml:space="preserve"> </w:t>
      </w:r>
    </w:p>
    <w:p w14:paraId="72A244F3" w14:textId="77777777" w:rsidR="007B1D45" w:rsidRPr="003F46ED" w:rsidRDefault="00593B77" w:rsidP="00B30583">
      <w:pPr>
        <w:rPr>
          <w:bCs/>
        </w:rPr>
      </w:pPr>
      <w:bookmarkStart w:id="534" w:name="_Toc402180740"/>
      <w:r w:rsidRPr="003F46ED">
        <w:t>In addition,</w:t>
      </w:r>
      <w:r w:rsidR="00756527" w:rsidRPr="003F46ED">
        <w:t xml:space="preserve"> r</w:t>
      </w:r>
      <w:r w:rsidR="00436A2E" w:rsidRPr="003F46ED">
        <w:t xml:space="preserve">ote learning and workload perceived to exceed the requirements </w:t>
      </w:r>
      <w:r w:rsidR="00886F5F" w:rsidRPr="003F46ED">
        <w:t>of</w:t>
      </w:r>
      <w:r w:rsidR="00436A2E" w:rsidRPr="003F46ED">
        <w:t xml:space="preserve"> other subjects </w:t>
      </w:r>
      <w:r w:rsidR="00886F5F" w:rsidRPr="003F46ED">
        <w:t>discourage</w:t>
      </w:r>
      <w:r w:rsidR="00436A2E" w:rsidRPr="003F46ED">
        <w:t xml:space="preserve"> students from choosing </w:t>
      </w:r>
      <w:r w:rsidR="00886F5F" w:rsidRPr="003F46ED">
        <w:t xml:space="preserve">to study </w:t>
      </w:r>
      <w:r w:rsidR="00436A2E" w:rsidRPr="003F46ED">
        <w:t xml:space="preserve">languages in </w:t>
      </w:r>
      <w:r w:rsidR="00886F5F" w:rsidRPr="003F46ED">
        <w:t xml:space="preserve">the </w:t>
      </w:r>
      <w:r w:rsidR="00436A2E" w:rsidRPr="003F46ED">
        <w:t>senior secondary</w:t>
      </w:r>
      <w:r w:rsidR="002248F4" w:rsidRPr="003F46ED">
        <w:t xml:space="preserve"> </w:t>
      </w:r>
      <w:r w:rsidR="00886F5F" w:rsidRPr="003F46ED">
        <w:t xml:space="preserve">years </w:t>
      </w:r>
      <w:r w:rsidR="00471932" w:rsidRPr="003F46ED">
        <w:t>(</w:t>
      </w:r>
      <w:r w:rsidR="002248F4" w:rsidRPr="003F46ED">
        <w:t>Kohler &amp; Curnow, 2014)</w:t>
      </w:r>
      <w:r w:rsidR="00436A2E" w:rsidRPr="003F46ED">
        <w:t xml:space="preserve">. </w:t>
      </w:r>
      <w:r w:rsidR="00436A2E" w:rsidRPr="003F46ED">
        <w:rPr>
          <w:bCs/>
        </w:rPr>
        <w:t>The use of new technologies and imm</w:t>
      </w:r>
      <w:r w:rsidR="00F74D85" w:rsidRPr="003F46ED">
        <w:rPr>
          <w:bCs/>
        </w:rPr>
        <w:t>ersion</w:t>
      </w:r>
      <w:r w:rsidR="00436A2E" w:rsidRPr="003F46ED">
        <w:rPr>
          <w:bCs/>
        </w:rPr>
        <w:t xml:space="preserve"> programmes like </w:t>
      </w:r>
      <w:proofErr w:type="spellStart"/>
      <w:r w:rsidR="00436A2E" w:rsidRPr="003F46ED">
        <w:rPr>
          <w:bCs/>
        </w:rPr>
        <w:t>CLIL</w:t>
      </w:r>
      <w:proofErr w:type="spellEnd"/>
      <w:r w:rsidR="00436A2E" w:rsidRPr="003F46ED">
        <w:rPr>
          <w:bCs/>
        </w:rPr>
        <w:t xml:space="preserve"> can improve student engagement. However, there is </w:t>
      </w:r>
      <w:r w:rsidR="00E47042" w:rsidRPr="003F46ED">
        <w:rPr>
          <w:bCs/>
        </w:rPr>
        <w:t>insufficient</w:t>
      </w:r>
      <w:r w:rsidR="00436A2E" w:rsidRPr="003F46ED">
        <w:rPr>
          <w:bCs/>
        </w:rPr>
        <w:t xml:space="preserve"> evidence to know if these help address retention issues</w:t>
      </w:r>
      <w:r w:rsidR="002248F4" w:rsidRPr="003F46ED">
        <w:rPr>
          <w:bCs/>
        </w:rPr>
        <w:t xml:space="preserve"> </w:t>
      </w:r>
      <w:r w:rsidR="002248F4" w:rsidRPr="003F46ED">
        <w:t>(Kohler &amp; Curnow, 2014)</w:t>
      </w:r>
      <w:r w:rsidR="00436A2E" w:rsidRPr="003F46ED">
        <w:rPr>
          <w:bCs/>
        </w:rPr>
        <w:t>.</w:t>
      </w:r>
      <w:bookmarkEnd w:id="534"/>
      <w:r w:rsidR="00436A2E" w:rsidRPr="003F46ED">
        <w:rPr>
          <w:bCs/>
        </w:rPr>
        <w:t xml:space="preserve"> </w:t>
      </w:r>
    </w:p>
    <w:p w14:paraId="5BB2031F" w14:textId="77777777" w:rsidR="007B1D45" w:rsidRPr="003F46ED" w:rsidRDefault="00436A2E" w:rsidP="00076CCC">
      <w:pPr>
        <w:pStyle w:val="Heading4"/>
      </w:pPr>
      <w:bookmarkStart w:id="535" w:name="_Toc402180741"/>
      <w:r w:rsidRPr="003F46ED">
        <w:t>Time allocation</w:t>
      </w:r>
      <w:bookmarkEnd w:id="535"/>
      <w:r w:rsidRPr="003F46ED">
        <w:t xml:space="preserve"> </w:t>
      </w:r>
    </w:p>
    <w:p w14:paraId="32FEC113" w14:textId="77777777" w:rsidR="007B1D45" w:rsidRPr="003F46ED" w:rsidRDefault="00DF58E5" w:rsidP="00B30583">
      <w:bookmarkStart w:id="536" w:name="_Toc402180742"/>
      <w:r w:rsidRPr="003F46ED">
        <w:t>T</w:t>
      </w:r>
      <w:r w:rsidR="00436A2E" w:rsidRPr="003F46ED">
        <w:t>ime allocations for languages in Australia are minimal compared to other countries</w:t>
      </w:r>
      <w:r w:rsidRPr="003F46ED">
        <w:t xml:space="preserve"> (Kohler &amp; Curnow, 2014)</w:t>
      </w:r>
      <w:r w:rsidR="00436A2E" w:rsidRPr="003F46ED">
        <w:t>.</w:t>
      </w:r>
      <w:r w:rsidR="00DC0DCF" w:rsidRPr="003F46ED">
        <w:t xml:space="preserve"> A snapshot of this has been provided in the previous section.</w:t>
      </w:r>
      <w:r w:rsidR="00436A2E" w:rsidRPr="003F46ED">
        <w:t xml:space="preserve"> </w:t>
      </w:r>
      <w:r w:rsidRPr="003F46ED">
        <w:t>Research</w:t>
      </w:r>
      <w:r w:rsidR="00DC0DCF" w:rsidRPr="003F46ED">
        <w:t xml:space="preserve"> suggests that s</w:t>
      </w:r>
      <w:r w:rsidR="00436A2E" w:rsidRPr="003F46ED">
        <w:t>chools need to provide quality time-on-task for languages to ensure students have a chance to progress in their learning</w:t>
      </w:r>
      <w:r w:rsidR="00AF1091" w:rsidRPr="003F46ED">
        <w:t>, experience success</w:t>
      </w:r>
      <w:r w:rsidR="00436A2E" w:rsidRPr="003F46ED">
        <w:t xml:space="preserve"> and develop a sense of achievement</w:t>
      </w:r>
      <w:r w:rsidRPr="003F46ED">
        <w:t xml:space="preserve"> (Kohler &amp; Curnow, 2014)</w:t>
      </w:r>
      <w:r w:rsidR="00436A2E" w:rsidRPr="003F46ED">
        <w:t>.</w:t>
      </w:r>
      <w:bookmarkEnd w:id="536"/>
      <w:r w:rsidR="00436A2E" w:rsidRPr="003F46ED">
        <w:t xml:space="preserve"> </w:t>
      </w:r>
    </w:p>
    <w:p w14:paraId="5DFD0989" w14:textId="77777777" w:rsidR="007B1D45" w:rsidRPr="003F46ED" w:rsidRDefault="00436A2E" w:rsidP="00076CCC">
      <w:pPr>
        <w:pStyle w:val="Heading4"/>
      </w:pPr>
      <w:bookmarkStart w:id="537" w:name="_Toc402180743"/>
      <w:r w:rsidRPr="003F46ED">
        <w:t>Teacher education</w:t>
      </w:r>
      <w:bookmarkEnd w:id="537"/>
    </w:p>
    <w:p w14:paraId="3F516572" w14:textId="77777777" w:rsidR="007B1D45" w:rsidRPr="003F46ED" w:rsidRDefault="008E4064" w:rsidP="00B30583">
      <w:bookmarkStart w:id="538" w:name="_Toc402180744"/>
      <w:r w:rsidRPr="003F46ED">
        <w:t>Research has identified that in-country study programmes enable teachers to develop their language abilities as well as strengthen their commitment to languages education (Kohler &amp; Curnow, 2014).</w:t>
      </w:r>
      <w:r w:rsidR="00CF0635" w:rsidRPr="003F46ED">
        <w:t xml:space="preserve"> However, </w:t>
      </w:r>
      <w:r w:rsidR="00DF028E" w:rsidRPr="003F46ED">
        <w:t xml:space="preserve">teachers’ </w:t>
      </w:r>
      <w:r w:rsidR="00CF0635" w:rsidRPr="003F46ED">
        <w:t>improved language abilities on their own are insufficient to ensure quality languages teaching</w:t>
      </w:r>
      <w:r w:rsidR="00877B45" w:rsidRPr="003F46ED">
        <w:t xml:space="preserve"> and programmes</w:t>
      </w:r>
      <w:r w:rsidR="00CF0635" w:rsidRPr="003F46ED">
        <w:t>.</w:t>
      </w:r>
      <w:bookmarkEnd w:id="538"/>
    </w:p>
    <w:p w14:paraId="0DDE86D3" w14:textId="77777777" w:rsidR="007B1D45" w:rsidRPr="003F46ED" w:rsidRDefault="00436A2E" w:rsidP="00B30583">
      <w:bookmarkStart w:id="539" w:name="_Toc402180745"/>
      <w:r w:rsidRPr="003F46ED">
        <w:t>P</w:t>
      </w:r>
      <w:r w:rsidR="00E175E8" w:rsidRPr="003F46ED">
        <w:t>rincipal survey respondents</w:t>
      </w:r>
      <w:r w:rsidRPr="003F46ED">
        <w:t xml:space="preserve"> recommend</w:t>
      </w:r>
      <w:r w:rsidR="00E175E8" w:rsidRPr="003F46ED">
        <w:t>ed</w:t>
      </w:r>
      <w:r w:rsidRPr="003F46ED">
        <w:t xml:space="preserve"> that universities better prepare language teachers in classroom management practices</w:t>
      </w:r>
      <w:r w:rsidR="00E175E8" w:rsidRPr="003F46ED">
        <w:t xml:space="preserve"> (Rothman, Zhao &amp; Lonsdale, 2014)</w:t>
      </w:r>
      <w:r w:rsidRPr="003F46ED">
        <w:t>.</w:t>
      </w:r>
      <w:r w:rsidR="00F15B5F" w:rsidRPr="003F46ED">
        <w:t xml:space="preserve"> </w:t>
      </w:r>
      <w:r w:rsidR="006E751F" w:rsidRPr="003F46ED">
        <w:t xml:space="preserve">This demonstrates a perception among principals that some native speakers of the target language are </w:t>
      </w:r>
      <w:r w:rsidR="004F3353" w:rsidRPr="003F46ED">
        <w:t>under prepared</w:t>
      </w:r>
      <w:r w:rsidR="006E751F" w:rsidRPr="003F46ED">
        <w:t xml:space="preserve"> to teach in Australian classrooms.</w:t>
      </w:r>
      <w:bookmarkEnd w:id="539"/>
    </w:p>
    <w:p w14:paraId="38161FF8" w14:textId="77777777" w:rsidR="007B1D45" w:rsidRPr="003F46ED" w:rsidRDefault="00B603E4" w:rsidP="00B30583">
      <w:bookmarkStart w:id="540" w:name="_Toc402180746"/>
      <w:r w:rsidRPr="003F46ED">
        <w:t xml:space="preserve">In primary </w:t>
      </w:r>
      <w:r w:rsidR="00042FC0" w:rsidRPr="003F46ED">
        <w:t xml:space="preserve">teacher </w:t>
      </w:r>
      <w:r w:rsidRPr="003F46ED">
        <w:t xml:space="preserve">education courses, </w:t>
      </w:r>
      <w:proofErr w:type="gramStart"/>
      <w:r w:rsidRPr="003F46ED">
        <w:t xml:space="preserve">languages </w:t>
      </w:r>
      <w:r w:rsidR="00EF4EC6" w:rsidRPr="003F46ED">
        <w:t>is</w:t>
      </w:r>
      <w:proofErr w:type="gramEnd"/>
      <w:r w:rsidRPr="003F46ED">
        <w:t xml:space="preserve"> the only key learning area</w:t>
      </w:r>
      <w:r w:rsidR="004975C5" w:rsidRPr="003F46ED">
        <w:t xml:space="preserve"> that</w:t>
      </w:r>
      <w:r w:rsidRPr="003F46ED">
        <w:t xml:space="preserve"> is an elective or not taught. </w:t>
      </w:r>
      <w:r w:rsidR="004975C5" w:rsidRPr="003F46ED">
        <w:t>In addition, t</w:t>
      </w:r>
      <w:r w:rsidRPr="003F46ED">
        <w:t xml:space="preserve">here are few concurrent language and methodology </w:t>
      </w:r>
      <w:r w:rsidR="00397E31" w:rsidRPr="003F46ED">
        <w:t xml:space="preserve">subjects within teacher education courses. Where such subjects exist, these tend to be common subjects and not </w:t>
      </w:r>
      <w:r w:rsidR="00F6331D" w:rsidRPr="003F46ED">
        <w:t>differentiated according to language</w:t>
      </w:r>
      <w:r w:rsidRPr="003F46ED">
        <w:t xml:space="preserve">. </w:t>
      </w:r>
      <w:r w:rsidR="00F6331D" w:rsidRPr="003F46ED">
        <w:t>Consequently, the literature indicates that</w:t>
      </w:r>
      <w:r w:rsidR="007F26C0" w:rsidRPr="003F46ED">
        <w:t xml:space="preserve"> graduate</w:t>
      </w:r>
      <w:r w:rsidR="00F6331D" w:rsidRPr="003F46ED">
        <w:t xml:space="preserve"> t</w:t>
      </w:r>
      <w:r w:rsidRPr="003F46ED">
        <w:t>eachers are</w:t>
      </w:r>
      <w:r w:rsidR="00284B34" w:rsidRPr="003F46ED">
        <w:t xml:space="preserve"> typically</w:t>
      </w:r>
      <w:r w:rsidRPr="003F46ED">
        <w:t xml:space="preserve"> </w:t>
      </w:r>
      <w:r w:rsidR="00284B34" w:rsidRPr="003F46ED">
        <w:t xml:space="preserve">not </w:t>
      </w:r>
      <w:r w:rsidRPr="003F46ED">
        <w:t xml:space="preserve">well prepared to teach </w:t>
      </w:r>
      <w:r w:rsidR="00F6331D" w:rsidRPr="003F46ED">
        <w:t xml:space="preserve">languages </w:t>
      </w:r>
      <w:r w:rsidR="00397E31" w:rsidRPr="003F46ED">
        <w:t>(Kohler &amp; Curnow, 2014)</w:t>
      </w:r>
      <w:r w:rsidR="00F6331D" w:rsidRPr="003F46ED">
        <w:t>.</w:t>
      </w:r>
      <w:bookmarkEnd w:id="540"/>
    </w:p>
    <w:p w14:paraId="64437C35" w14:textId="77777777" w:rsidR="007B1D45" w:rsidRPr="003F46ED" w:rsidRDefault="000D303D" w:rsidP="00076CCC">
      <w:pPr>
        <w:pStyle w:val="Heading4"/>
      </w:pPr>
      <w:bookmarkStart w:id="541" w:name="_Toc402180747"/>
      <w:r w:rsidRPr="003F46ED">
        <w:t>Whole-</w:t>
      </w:r>
      <w:r w:rsidR="00436A2E" w:rsidRPr="003F46ED">
        <w:t>school commitment</w:t>
      </w:r>
      <w:bookmarkEnd w:id="541"/>
      <w:r w:rsidR="00436A2E" w:rsidRPr="003F46ED">
        <w:t xml:space="preserve"> </w:t>
      </w:r>
    </w:p>
    <w:p w14:paraId="18FD71BC" w14:textId="77777777" w:rsidR="007B1D45" w:rsidRPr="003F46ED" w:rsidRDefault="00436A2E" w:rsidP="00B30583">
      <w:pPr>
        <w:rPr>
          <w:bCs/>
        </w:rPr>
      </w:pPr>
      <w:bookmarkStart w:id="542" w:name="_Toc402180748"/>
      <w:r w:rsidRPr="003F46ED">
        <w:t>Positive school community attitudes and supportive school leadership and culture are all essential to successful languages programmes</w:t>
      </w:r>
      <w:r w:rsidR="00C36004" w:rsidRPr="003F46ED">
        <w:t xml:space="preserve"> (Kohler &amp; Curnow, 2014)</w:t>
      </w:r>
      <w:r w:rsidRPr="003F46ED">
        <w:t xml:space="preserve">. </w:t>
      </w:r>
      <w:r w:rsidRPr="003F46ED">
        <w:rPr>
          <w:bCs/>
        </w:rPr>
        <w:t>The principal survey results indicate that principals (</w:t>
      </w:r>
      <w:r w:rsidRPr="003F46ED">
        <w:rPr>
          <w:bCs/>
          <w:i/>
        </w:rPr>
        <w:t>n=91</w:t>
      </w:r>
      <w:r w:rsidRPr="003F46ED">
        <w:rPr>
          <w:bCs/>
        </w:rPr>
        <w:t>)</w:t>
      </w:r>
      <w:r w:rsidRPr="003F46ED">
        <w:rPr>
          <w:bCs/>
          <w:i/>
        </w:rPr>
        <w:t xml:space="preserve"> </w:t>
      </w:r>
      <w:r w:rsidRPr="003F46ED">
        <w:rPr>
          <w:bCs/>
        </w:rPr>
        <w:t>use a range of strategies to promote language study, including school newsletters, information evenings and formal and informal discussions among teachers, students and parents</w:t>
      </w:r>
      <w:r w:rsidR="00362260" w:rsidRPr="003F46ED">
        <w:rPr>
          <w:bCs/>
        </w:rPr>
        <w:t xml:space="preserve"> (Rothman, Zhao &amp; Lonsdale, 2014)</w:t>
      </w:r>
      <w:r w:rsidRPr="003F46ED">
        <w:rPr>
          <w:bCs/>
        </w:rPr>
        <w:t xml:space="preserve">. </w:t>
      </w:r>
      <w:r w:rsidR="008D6792" w:rsidRPr="003F46ED">
        <w:rPr>
          <w:bCs/>
        </w:rPr>
        <w:t>However, t</w:t>
      </w:r>
      <w:r w:rsidRPr="003F46ED">
        <w:rPr>
          <w:bCs/>
        </w:rPr>
        <w:t>he literature suggest</w:t>
      </w:r>
      <w:r w:rsidR="008D6792" w:rsidRPr="003F46ED">
        <w:rPr>
          <w:bCs/>
        </w:rPr>
        <w:t>s</w:t>
      </w:r>
      <w:r w:rsidRPr="003F46ED">
        <w:rPr>
          <w:bCs/>
        </w:rPr>
        <w:t xml:space="preserve"> that s</w:t>
      </w:r>
      <w:r w:rsidRPr="003F46ED">
        <w:t>tudents who sense ambivalence towards languages education in their immediate environment are likely to be ambivalent themselves, even</w:t>
      </w:r>
      <w:r w:rsidR="008D6792" w:rsidRPr="003F46ED">
        <w:t xml:space="preserve"> in an enabling policy context</w:t>
      </w:r>
      <w:r w:rsidR="00362260" w:rsidRPr="003F46ED">
        <w:t xml:space="preserve"> (Kohler &amp; Curnow, 2014)</w:t>
      </w:r>
      <w:r w:rsidR="008D6792" w:rsidRPr="003F46ED">
        <w:t>.</w:t>
      </w:r>
      <w:bookmarkEnd w:id="542"/>
      <w:r w:rsidR="008D6792" w:rsidRPr="003F46ED">
        <w:t xml:space="preserve"> </w:t>
      </w:r>
    </w:p>
    <w:p w14:paraId="1853CDE4" w14:textId="77777777" w:rsidR="007B1D45" w:rsidRPr="003F46ED" w:rsidRDefault="006855B5" w:rsidP="00B30583">
      <w:bookmarkStart w:id="543" w:name="_Toc402180749"/>
      <w:r w:rsidRPr="003F46ED">
        <w:t xml:space="preserve">Principal </w:t>
      </w:r>
      <w:r w:rsidR="00436A2E" w:rsidRPr="003F46ED">
        <w:t>survey</w:t>
      </w:r>
      <w:r w:rsidRPr="003F46ED">
        <w:t xml:space="preserve"> respondents</w:t>
      </w:r>
      <w:r w:rsidR="00436A2E" w:rsidRPr="003F46ED">
        <w:t xml:space="preserve"> noted that there is not always a match between </w:t>
      </w:r>
      <w:r w:rsidR="00FB30DD" w:rsidRPr="003F46ED">
        <w:t xml:space="preserve">the </w:t>
      </w:r>
      <w:r w:rsidR="00436A2E" w:rsidRPr="003F46ED">
        <w:t xml:space="preserve">languages spoken in the community and </w:t>
      </w:r>
      <w:r w:rsidR="00FB30DD" w:rsidRPr="003F46ED">
        <w:t xml:space="preserve">the </w:t>
      </w:r>
      <w:r w:rsidR="00436A2E" w:rsidRPr="003F46ED">
        <w:t xml:space="preserve">languages offered at school, recommending </w:t>
      </w:r>
      <w:r w:rsidR="008D6792" w:rsidRPr="003F46ED">
        <w:t>that this mismatch be addressed to leverage the linguistic and cultural capital of the local school community</w:t>
      </w:r>
      <w:r w:rsidR="00471932" w:rsidRPr="003F46ED">
        <w:t xml:space="preserve"> (</w:t>
      </w:r>
      <w:r w:rsidRPr="003F46ED">
        <w:t>Rothman, Zhao &amp; Lonsdale, 2014)</w:t>
      </w:r>
      <w:r w:rsidR="008D6792" w:rsidRPr="003F46ED">
        <w:t>.</w:t>
      </w:r>
      <w:bookmarkEnd w:id="543"/>
    </w:p>
    <w:p w14:paraId="5F207000" w14:textId="77777777" w:rsidR="007B1D45" w:rsidRPr="003F46ED" w:rsidRDefault="00436A2E" w:rsidP="00076CCC">
      <w:pPr>
        <w:pStyle w:val="Heading4"/>
      </w:pPr>
      <w:bookmarkStart w:id="544" w:name="_Toc402180750"/>
      <w:r w:rsidRPr="003F46ED">
        <w:lastRenderedPageBreak/>
        <w:t>Timetabling</w:t>
      </w:r>
      <w:bookmarkEnd w:id="544"/>
    </w:p>
    <w:p w14:paraId="0DB0E6B1" w14:textId="77777777" w:rsidR="007B1D45" w:rsidRPr="003F46ED" w:rsidRDefault="00380806" w:rsidP="00B30583">
      <w:pPr>
        <w:rPr>
          <w:bCs/>
        </w:rPr>
      </w:pPr>
      <w:bookmarkStart w:id="545" w:name="_Toc402180751"/>
      <w:r w:rsidRPr="003F46ED">
        <w:t>W</w:t>
      </w:r>
      <w:r w:rsidR="00436A2E" w:rsidRPr="003F46ED">
        <w:t>hen languages are portrayed in schools as a non-essential subject</w:t>
      </w:r>
      <w:r w:rsidR="0067702A" w:rsidRPr="003F46ED">
        <w:t xml:space="preserve"> – </w:t>
      </w:r>
      <w:r w:rsidR="00436A2E" w:rsidRPr="003F46ED">
        <w:t>with poor time allocations and timetabling</w:t>
      </w:r>
      <w:r w:rsidR="0067702A" w:rsidRPr="003F46ED">
        <w:t xml:space="preserve"> – </w:t>
      </w:r>
      <w:r w:rsidR="00436A2E" w:rsidRPr="003F46ED">
        <w:t>students see it as relatively unimportant. Timetabling issues are important factors, as clashes mean that students have to take the subjects they perceive as more useful to their studies</w:t>
      </w:r>
      <w:r w:rsidR="00205295" w:rsidRPr="003F46ED">
        <w:t xml:space="preserve"> (</w:t>
      </w:r>
      <w:r w:rsidRPr="003F46ED">
        <w:t>Kohler &amp; Curnow, 2014)</w:t>
      </w:r>
      <w:r w:rsidR="00436A2E" w:rsidRPr="003F46ED">
        <w:t>. The principal survey</w:t>
      </w:r>
      <w:r w:rsidRPr="003F46ED">
        <w:t xml:space="preserve"> results</w:t>
      </w:r>
      <w:r w:rsidR="00436A2E" w:rsidRPr="003F46ED">
        <w:t xml:space="preserve"> indicate that t</w:t>
      </w:r>
      <w:r w:rsidR="00436A2E" w:rsidRPr="003F46ED">
        <w:rPr>
          <w:bCs/>
        </w:rPr>
        <w:t>he structure of the timetable, study requirements for other subjects and the lack of demand from students are important factors influencing student take-up of languages</w:t>
      </w:r>
      <w:r w:rsidR="001F53D5" w:rsidRPr="003F46ED">
        <w:rPr>
          <w:bCs/>
        </w:rPr>
        <w:t xml:space="preserve"> </w:t>
      </w:r>
      <w:r w:rsidR="00FB30DD" w:rsidRPr="003F46ED">
        <w:rPr>
          <w:bCs/>
        </w:rPr>
        <w:t xml:space="preserve">in senior secondary </w:t>
      </w:r>
      <w:r w:rsidR="001F53D5" w:rsidRPr="003F46ED">
        <w:rPr>
          <w:bCs/>
        </w:rPr>
        <w:t>(Rothman, Zhao &amp; Lonsdale, 2014)</w:t>
      </w:r>
      <w:r w:rsidR="00436A2E" w:rsidRPr="003F46ED">
        <w:rPr>
          <w:bCs/>
        </w:rPr>
        <w:t>.</w:t>
      </w:r>
      <w:bookmarkEnd w:id="545"/>
      <w:r w:rsidR="00436A2E" w:rsidRPr="003F46ED">
        <w:rPr>
          <w:bCs/>
        </w:rPr>
        <w:t xml:space="preserve"> </w:t>
      </w:r>
    </w:p>
    <w:p w14:paraId="3CC703A8" w14:textId="77777777" w:rsidR="007B1D45" w:rsidRPr="003F46ED" w:rsidRDefault="00436A2E" w:rsidP="00076CCC">
      <w:pPr>
        <w:pStyle w:val="Heading4"/>
      </w:pPr>
      <w:bookmarkStart w:id="546" w:name="_Toc402180752"/>
      <w:r w:rsidRPr="003F46ED">
        <w:t>Staffing impact</w:t>
      </w:r>
      <w:bookmarkEnd w:id="546"/>
    </w:p>
    <w:p w14:paraId="005D7A0C" w14:textId="77777777" w:rsidR="007B1D45" w:rsidRPr="003F46ED" w:rsidRDefault="001F53D5" w:rsidP="00B30583">
      <w:bookmarkStart w:id="547" w:name="_Toc402180753"/>
      <w:r w:rsidRPr="003F46ED">
        <w:t>S</w:t>
      </w:r>
      <w:r w:rsidR="00436A2E" w:rsidRPr="003F46ED">
        <w:t>taffing provides another barrier: where language classes are small</w:t>
      </w:r>
      <w:r w:rsidR="0067702A" w:rsidRPr="003F46ED">
        <w:t>,</w:t>
      </w:r>
      <w:r w:rsidR="00436A2E" w:rsidRPr="003F46ED">
        <w:t xml:space="preserve"> they must be combined to ensure efficient use of teaching resources</w:t>
      </w:r>
      <w:r w:rsidRPr="003F46ED">
        <w:t xml:space="preserve"> (Rothman, Zhao &amp; Lonsdale, 2014)</w:t>
      </w:r>
      <w:r w:rsidR="00B76A0C" w:rsidRPr="003F46ED">
        <w:t>, for example combining students in Year 11 with students in Year 12</w:t>
      </w:r>
      <w:r w:rsidR="00436A2E" w:rsidRPr="003F46ED">
        <w:t>. When a language ceases to be offered at a school due to small class sizes, this leads to uncertainty in students’ minds about possible continuation into senior secondary</w:t>
      </w:r>
      <w:r w:rsidR="00E4204E" w:rsidRPr="003F46ED">
        <w:t xml:space="preserve"> (</w:t>
      </w:r>
      <w:r w:rsidRPr="003F46ED">
        <w:t>Kohler &amp; Curnow, 2014)</w:t>
      </w:r>
      <w:r w:rsidR="00436A2E" w:rsidRPr="003F46ED">
        <w:t>.</w:t>
      </w:r>
      <w:bookmarkEnd w:id="547"/>
      <w:r w:rsidR="00436A2E" w:rsidRPr="003F46ED">
        <w:t xml:space="preserve"> </w:t>
      </w:r>
    </w:p>
    <w:p w14:paraId="6A993B34" w14:textId="77777777" w:rsidR="007B1D45" w:rsidRPr="003F46ED" w:rsidRDefault="001F53D5" w:rsidP="00B30583">
      <w:pPr>
        <w:rPr>
          <w:bCs/>
        </w:rPr>
      </w:pPr>
      <w:bookmarkStart w:id="548" w:name="_Toc402180754"/>
      <w:r w:rsidRPr="003F46ED">
        <w:t>In addition, s</w:t>
      </w:r>
      <w:r w:rsidR="00436A2E" w:rsidRPr="003F46ED">
        <w:t>mall enrolment numbers can lead to undifferentiated language learning with</w:t>
      </w:r>
      <w:r w:rsidR="00E33FE0" w:rsidRPr="003F46ED">
        <w:t>in a language class. This means first, second and background language learners could find themselves in the same class</w:t>
      </w:r>
      <w:r w:rsidR="00DA7AB2" w:rsidRPr="003F46ED">
        <w:t>,</w:t>
      </w:r>
      <w:r w:rsidR="00E33FE0" w:rsidRPr="003F46ED">
        <w:t xml:space="preserve"> and the literature suggests that </w:t>
      </w:r>
      <w:r w:rsidR="00436A2E" w:rsidRPr="003F46ED">
        <w:t xml:space="preserve">perceived inequities </w:t>
      </w:r>
      <w:r w:rsidR="00FB30DD" w:rsidRPr="003F46ED">
        <w:t>are</w:t>
      </w:r>
      <w:r w:rsidR="00E33FE0" w:rsidRPr="003F46ED">
        <w:t xml:space="preserve"> </w:t>
      </w:r>
      <w:r w:rsidR="00436A2E" w:rsidRPr="003F46ED">
        <w:t>likely to impact on enrolments</w:t>
      </w:r>
      <w:r w:rsidR="00E4204E" w:rsidRPr="003F46ED">
        <w:t xml:space="preserve"> (</w:t>
      </w:r>
      <w:r w:rsidRPr="003F46ED">
        <w:t>Kohler &amp; Curnow, 2014)</w:t>
      </w:r>
      <w:r w:rsidR="00436A2E" w:rsidRPr="003F46ED">
        <w:t>.</w:t>
      </w:r>
      <w:bookmarkEnd w:id="548"/>
      <w:r w:rsidR="00F7513F" w:rsidRPr="003F46ED">
        <w:t xml:space="preserve"> </w:t>
      </w:r>
    </w:p>
    <w:p w14:paraId="5E28CD34" w14:textId="77777777" w:rsidR="007B1D45" w:rsidRPr="003F46ED" w:rsidRDefault="00436A2E" w:rsidP="00076CCC">
      <w:pPr>
        <w:pStyle w:val="Heading4"/>
      </w:pPr>
      <w:bookmarkStart w:id="549" w:name="_Toc402180755"/>
      <w:r w:rsidRPr="003F46ED">
        <w:t>Parents and the broader community</w:t>
      </w:r>
      <w:bookmarkEnd w:id="549"/>
    </w:p>
    <w:p w14:paraId="021D63B7" w14:textId="77777777" w:rsidR="007B1D45" w:rsidRPr="003F46ED" w:rsidRDefault="00436A2E" w:rsidP="00B30583">
      <w:bookmarkStart w:id="550" w:name="_Toc402180756"/>
      <w:r w:rsidRPr="003F46ED">
        <w:t xml:space="preserve">Students’ choices around languages reflect the attitudes of their parents and the broader community. </w:t>
      </w:r>
      <w:r w:rsidR="00ED25BC" w:rsidRPr="003F46ED">
        <w:t>T</w:t>
      </w:r>
      <w:r w:rsidRPr="003F46ED">
        <w:t xml:space="preserve">here is a general belief </w:t>
      </w:r>
      <w:r w:rsidR="001B6288" w:rsidRPr="003F46ED">
        <w:t xml:space="preserve">in Australia </w:t>
      </w:r>
      <w:r w:rsidRPr="003F46ED">
        <w:t xml:space="preserve">that </w:t>
      </w:r>
      <w:r w:rsidRPr="003F46ED">
        <w:rPr>
          <w:i/>
        </w:rPr>
        <w:t>exposure</w:t>
      </w:r>
      <w:r w:rsidRPr="003F46ED">
        <w:t xml:space="preserve"> to a language is deemed useful enough, rather than </w:t>
      </w:r>
      <w:r w:rsidRPr="003F46ED">
        <w:rPr>
          <w:i/>
        </w:rPr>
        <w:t>high levels of language</w:t>
      </w:r>
      <w:r w:rsidRPr="003F46ED">
        <w:t xml:space="preserve"> </w:t>
      </w:r>
      <w:r w:rsidRPr="003F46ED">
        <w:rPr>
          <w:i/>
        </w:rPr>
        <w:t>achievement</w:t>
      </w:r>
      <w:r w:rsidR="00ED25BC" w:rsidRPr="003F46ED">
        <w:rPr>
          <w:i/>
        </w:rPr>
        <w:t xml:space="preserve"> </w:t>
      </w:r>
      <w:r w:rsidR="00ED25BC" w:rsidRPr="003F46ED">
        <w:t>(Kohler &amp; Curnow, 2014)</w:t>
      </w:r>
      <w:r w:rsidRPr="003F46ED">
        <w:rPr>
          <w:i/>
        </w:rPr>
        <w:t>.</w:t>
      </w:r>
      <w:bookmarkEnd w:id="550"/>
      <w:r w:rsidRPr="003F46ED">
        <w:t xml:space="preserve"> </w:t>
      </w:r>
    </w:p>
    <w:p w14:paraId="230A6364" w14:textId="77777777" w:rsidR="007B1D45" w:rsidRPr="003F46ED" w:rsidRDefault="00436A2E" w:rsidP="00B30583">
      <w:bookmarkStart w:id="551" w:name="_Toc402180757"/>
      <w:r w:rsidRPr="003F46ED">
        <w:t>There is</w:t>
      </w:r>
      <w:r w:rsidR="001B6288" w:rsidRPr="003F46ED">
        <w:t>, however,</w:t>
      </w:r>
      <w:r w:rsidRPr="003F46ED">
        <w:t xml:space="preserve"> conflicting literature regarding the extent of parental influence on secondary student demand for languages</w:t>
      </w:r>
      <w:r w:rsidR="00E4204E" w:rsidRPr="003F46ED">
        <w:t xml:space="preserve"> (</w:t>
      </w:r>
      <w:r w:rsidR="00FF02E4" w:rsidRPr="003F46ED">
        <w:t>Kohler &amp; Curnow, 2014)</w:t>
      </w:r>
      <w:r w:rsidRPr="003F46ED">
        <w:t>. Based on the student survey results, w</w:t>
      </w:r>
      <w:r w:rsidRPr="003F46ED">
        <w:rPr>
          <w:bCs/>
        </w:rPr>
        <w:t xml:space="preserve">hile parents were influential in </w:t>
      </w:r>
      <w:r w:rsidR="00EB4E15" w:rsidRPr="003F46ED">
        <w:rPr>
          <w:bCs/>
        </w:rPr>
        <w:t xml:space="preserve">broader </w:t>
      </w:r>
      <w:r w:rsidRPr="003F46ED">
        <w:rPr>
          <w:bCs/>
        </w:rPr>
        <w:t>subject choice conversations, they had much less influence on the actual choice to study, or not study, a language</w:t>
      </w:r>
      <w:r w:rsidR="00FF02E4" w:rsidRPr="003F46ED">
        <w:rPr>
          <w:bCs/>
        </w:rPr>
        <w:t xml:space="preserve"> (Rothman, Zhao &amp; Lonsdale, 2014)</w:t>
      </w:r>
      <w:r w:rsidRPr="003F46ED">
        <w:rPr>
          <w:bCs/>
        </w:rPr>
        <w:t>.</w:t>
      </w:r>
      <w:bookmarkEnd w:id="551"/>
      <w:r w:rsidRPr="003F46ED">
        <w:t xml:space="preserve"> </w:t>
      </w:r>
    </w:p>
    <w:p w14:paraId="1DF401AC" w14:textId="77777777" w:rsidR="007B1D45" w:rsidRPr="003F46ED" w:rsidRDefault="00CB457E" w:rsidP="00B30583">
      <w:bookmarkStart w:id="552" w:name="_Toc402180758"/>
      <w:r w:rsidRPr="003F46ED">
        <w:t>B</w:t>
      </w:r>
      <w:r w:rsidR="00436A2E" w:rsidRPr="003F46ED">
        <w:t xml:space="preserve">oth parents who speak an additional language </w:t>
      </w:r>
      <w:r w:rsidR="00436A2E" w:rsidRPr="003F46ED">
        <w:rPr>
          <w:i/>
        </w:rPr>
        <w:t>and</w:t>
      </w:r>
      <w:r w:rsidR="00436A2E" w:rsidRPr="003F46ED">
        <w:t xml:space="preserve"> those who do not see</w:t>
      </w:r>
      <w:r w:rsidR="0017740A" w:rsidRPr="003F46ED">
        <w:t xml:space="preserve"> language study as</w:t>
      </w:r>
      <w:r w:rsidR="00217F49" w:rsidRPr="003F46ED">
        <w:t xml:space="preserve"> important for their children: they</w:t>
      </w:r>
      <w:r w:rsidR="00436A2E" w:rsidRPr="003F46ED">
        <w:t xml:space="preserve"> think it leads to better academic outcomes, job prospects and intercultural understanding. However, parents who speak an additional language were much more emphatic about the importance of languages. Their children are also more likely to acces</w:t>
      </w:r>
      <w:r w:rsidR="00B30968" w:rsidRPr="003F46ED">
        <w:t>s complementary language study, such as through weekend school and tuition (Rothman, Zhao &amp; Lonsdale, 2014)</w:t>
      </w:r>
      <w:r w:rsidR="00436A2E" w:rsidRPr="003F46ED">
        <w:t>.</w:t>
      </w:r>
      <w:bookmarkEnd w:id="552"/>
      <w:r w:rsidR="00436A2E" w:rsidRPr="003F46ED">
        <w:t xml:space="preserve"> </w:t>
      </w:r>
    </w:p>
    <w:p w14:paraId="6E4483C8" w14:textId="6093B783" w:rsidR="00436A2E" w:rsidRPr="003F46ED" w:rsidRDefault="00436A2E" w:rsidP="00B30583">
      <w:bookmarkStart w:id="553" w:name="_Toc402180759"/>
      <w:r w:rsidRPr="003F46ED">
        <w:t>For Years 11 and 12 specifically, survey results indicate that 62 per cent of parents who speak an additional language (</w:t>
      </w:r>
      <w:r w:rsidRPr="003F46ED">
        <w:rPr>
          <w:i/>
        </w:rPr>
        <w:t>n=310</w:t>
      </w:r>
      <w:r w:rsidRPr="003F46ED">
        <w:t>) agreed that language study was very important compared to 30 per cent of English-only speakers (</w:t>
      </w:r>
      <w:r w:rsidRPr="003F46ED">
        <w:rPr>
          <w:i/>
        </w:rPr>
        <w:t>n=214</w:t>
      </w:r>
      <w:r w:rsidRPr="003F46ED">
        <w:t>), of whom 27 per cent indicated it was not at all important or of low importance</w:t>
      </w:r>
      <w:r w:rsidR="00974327" w:rsidRPr="003F46ED">
        <w:t xml:space="preserve"> (Rothman, Zhao &amp; Lonsdale, 2014)</w:t>
      </w:r>
      <w:r w:rsidRPr="003F46ED">
        <w:t>.</w:t>
      </w:r>
      <w:bookmarkEnd w:id="553"/>
      <w:r w:rsidRPr="003F46ED">
        <w:t xml:space="preserve"> </w:t>
      </w:r>
    </w:p>
    <w:p w14:paraId="16A44AD8" w14:textId="77777777" w:rsidR="007B1D45" w:rsidRPr="003F46ED" w:rsidRDefault="00436A2E" w:rsidP="00B30583">
      <w:bookmarkStart w:id="554" w:name="_Toc402180760"/>
      <w:r w:rsidRPr="003F46ED">
        <w:t>Parents who speak English only and those with school/VET as their highest education qualification (</w:t>
      </w:r>
      <w:r w:rsidRPr="003F46ED">
        <w:rPr>
          <w:i/>
        </w:rPr>
        <w:t>n=85</w:t>
      </w:r>
      <w:r w:rsidRPr="003F46ED">
        <w:t>) more frequently thought that studying a language is a disadvantage for their children, perceiving other subjects as more important for further study or career</w:t>
      </w:r>
      <w:r w:rsidR="006C71CE" w:rsidRPr="003F46ED">
        <w:t xml:space="preserve"> (Rothman, Zhao &amp; Lonsdale, 2014)</w:t>
      </w:r>
      <w:r w:rsidRPr="003F46ED">
        <w:t>.</w:t>
      </w:r>
      <w:bookmarkEnd w:id="554"/>
    </w:p>
    <w:p w14:paraId="73A4F1D9" w14:textId="77777777" w:rsidR="007B1D45" w:rsidRPr="003F46ED" w:rsidRDefault="00436A2E" w:rsidP="00B30583">
      <w:bookmarkStart w:id="555" w:name="_Toc402180761"/>
      <w:r w:rsidRPr="003F46ED">
        <w:t xml:space="preserve">Gender is a known factor in subject choice, and studies have shown that boys in Australia perceive languages as a </w:t>
      </w:r>
      <w:r w:rsidR="00F6507F" w:rsidRPr="003F46ED">
        <w:t>‘</w:t>
      </w:r>
      <w:r w:rsidRPr="003F46ED">
        <w:t>feminine</w:t>
      </w:r>
      <w:r w:rsidR="00F6507F" w:rsidRPr="003F46ED">
        <w:t>’</w:t>
      </w:r>
      <w:r w:rsidRPr="003F46ED">
        <w:t xml:space="preserve"> subject</w:t>
      </w:r>
      <w:r w:rsidR="00365BA4" w:rsidRPr="003F46ED">
        <w:t xml:space="preserve"> (</w:t>
      </w:r>
      <w:r w:rsidR="007A4889" w:rsidRPr="003F46ED">
        <w:rPr>
          <w:bCs/>
        </w:rPr>
        <w:t>Kohler &amp; Curnow, 2014</w:t>
      </w:r>
      <w:r w:rsidR="006B7CE6" w:rsidRPr="003F46ED">
        <w:rPr>
          <w:bCs/>
        </w:rPr>
        <w:t xml:space="preserve">, citing </w:t>
      </w:r>
      <w:proofErr w:type="spellStart"/>
      <w:r w:rsidR="006B7CE6" w:rsidRPr="003F46ED">
        <w:rPr>
          <w:bCs/>
        </w:rPr>
        <w:t>Carr</w:t>
      </w:r>
      <w:proofErr w:type="spellEnd"/>
      <w:r w:rsidR="006B7CE6" w:rsidRPr="003F46ED">
        <w:rPr>
          <w:bCs/>
        </w:rPr>
        <w:t>, 2002</w:t>
      </w:r>
      <w:r w:rsidR="007A4889" w:rsidRPr="003F46ED">
        <w:rPr>
          <w:bCs/>
        </w:rPr>
        <w:t>)</w:t>
      </w:r>
      <w:r w:rsidRPr="003F46ED">
        <w:t>.</w:t>
      </w:r>
      <w:r w:rsidR="00EC3A73" w:rsidRPr="003F46ED">
        <w:t xml:space="preserve"> </w:t>
      </w:r>
      <w:r w:rsidR="00A576BC" w:rsidRPr="003F46ED">
        <w:t xml:space="preserve">It appears that building demand strategies need to </w:t>
      </w:r>
      <w:r w:rsidR="001F1383" w:rsidRPr="003F46ED">
        <w:t>consider</w:t>
      </w:r>
      <w:r w:rsidR="00A576BC" w:rsidRPr="003F46ED">
        <w:t xml:space="preserve"> how boys might perceive</w:t>
      </w:r>
      <w:r w:rsidR="00F2186C" w:rsidRPr="003F46ED">
        <w:t xml:space="preserve"> language learning to be useful</w:t>
      </w:r>
      <w:r w:rsidR="001F1383" w:rsidRPr="003F46ED">
        <w:t xml:space="preserve"> as well as</w:t>
      </w:r>
      <w:r w:rsidR="0071495C" w:rsidRPr="003F46ED">
        <w:t xml:space="preserve"> address</w:t>
      </w:r>
      <w:r w:rsidR="00915E78" w:rsidRPr="003F46ED">
        <w:t xml:space="preserve"> their</w:t>
      </w:r>
      <w:r w:rsidR="0071495C" w:rsidRPr="003F46ED">
        <w:t xml:space="preserve"> misperceptions about</w:t>
      </w:r>
      <w:r w:rsidR="00BA58F3" w:rsidRPr="003F46ED">
        <w:t xml:space="preserve"> languages being a subject for girls</w:t>
      </w:r>
      <w:r w:rsidR="0071495C" w:rsidRPr="003F46ED">
        <w:t>.</w:t>
      </w:r>
      <w:r w:rsidR="007D49AA" w:rsidRPr="003F46ED">
        <w:t xml:space="preserve"> This approach would need to be </w:t>
      </w:r>
      <w:r w:rsidR="007D49AA" w:rsidRPr="003F46ED">
        <w:lastRenderedPageBreak/>
        <w:t xml:space="preserve">combined with </w:t>
      </w:r>
      <w:r w:rsidR="00F52FDE" w:rsidRPr="003F46ED">
        <w:t xml:space="preserve">a </w:t>
      </w:r>
      <w:r w:rsidR="00682281" w:rsidRPr="003F46ED">
        <w:t>better</w:t>
      </w:r>
      <w:r w:rsidR="00F52FDE" w:rsidRPr="003F46ED">
        <w:t xml:space="preserve"> understanding of the </w:t>
      </w:r>
      <w:r w:rsidR="00DA2378" w:rsidRPr="003F46ED">
        <w:t xml:space="preserve">subject </w:t>
      </w:r>
      <w:r w:rsidR="00F52FDE" w:rsidRPr="003F46ED">
        <w:t xml:space="preserve">combinations boys </w:t>
      </w:r>
      <w:r w:rsidR="00C03393" w:rsidRPr="003F46ED">
        <w:t xml:space="preserve">tend to </w:t>
      </w:r>
      <w:r w:rsidR="00682281" w:rsidRPr="003F46ED">
        <w:t>choose for senior certification and the reasons for their choice.</w:t>
      </w:r>
      <w:bookmarkEnd w:id="555"/>
    </w:p>
    <w:p w14:paraId="1E2E1029" w14:textId="77777777" w:rsidR="007B1D45" w:rsidRPr="003F46ED" w:rsidRDefault="00436A2E" w:rsidP="00076CCC">
      <w:pPr>
        <w:pStyle w:val="Heading4"/>
      </w:pPr>
      <w:bookmarkStart w:id="556" w:name="_Toc402180762"/>
      <w:r w:rsidRPr="003F46ED">
        <w:t>Business</w:t>
      </w:r>
      <w:r w:rsidR="00665631" w:rsidRPr="003F46ED">
        <w:t xml:space="preserve"> and the tertiary education sector</w:t>
      </w:r>
      <w:bookmarkEnd w:id="556"/>
      <w:r w:rsidRPr="003F46ED">
        <w:t xml:space="preserve"> </w:t>
      </w:r>
    </w:p>
    <w:p w14:paraId="61123547" w14:textId="77777777" w:rsidR="007B1D45" w:rsidRPr="003F46ED" w:rsidRDefault="00436A2E" w:rsidP="00B30583">
      <w:bookmarkStart w:id="557" w:name="_Toc402180763"/>
      <w:r w:rsidRPr="003F46ED">
        <w:t xml:space="preserve">The business sector has a role to play in sending the right messages to students, their families and school educators about the value and use of languages for the workforce. But while business recognises the need for languages, this has </w:t>
      </w:r>
      <w:r w:rsidR="00184013" w:rsidRPr="003F46ED">
        <w:t xml:space="preserve">tended to </w:t>
      </w:r>
      <w:r w:rsidRPr="003F46ED">
        <w:t>not be consistent with action</w:t>
      </w:r>
      <w:r w:rsidR="0067702A" w:rsidRPr="003F46ED">
        <w:t>,</w:t>
      </w:r>
      <w:r w:rsidRPr="003F46ED">
        <w:t xml:space="preserve"> e.g.</w:t>
      </w:r>
      <w:r w:rsidR="008D2C73" w:rsidRPr="003F46ED">
        <w:t xml:space="preserve"> </w:t>
      </w:r>
      <w:r w:rsidR="00A4079B" w:rsidRPr="003F46ED">
        <w:t>in recruitment,</w:t>
      </w:r>
      <w:r w:rsidRPr="003F46ED">
        <w:t xml:space="preserve"> staff </w:t>
      </w:r>
      <w:r w:rsidR="00990F4A" w:rsidRPr="003F46ED">
        <w:t>development</w:t>
      </w:r>
      <w:r w:rsidR="00A4079B" w:rsidRPr="003F46ED">
        <w:t xml:space="preserve"> and </w:t>
      </w:r>
      <w:r w:rsidR="00184013" w:rsidRPr="003F46ED">
        <w:t xml:space="preserve">strategic </w:t>
      </w:r>
      <w:r w:rsidR="00A4079B" w:rsidRPr="003F46ED">
        <w:t>mobilisation of linguistic capital</w:t>
      </w:r>
      <w:r w:rsidRPr="003F46ED">
        <w:t>.</w:t>
      </w:r>
      <w:bookmarkEnd w:id="557"/>
      <w:r w:rsidR="00676A2B" w:rsidRPr="003F46ED">
        <w:t xml:space="preserve"> </w:t>
      </w:r>
      <w:r w:rsidRPr="003F46ED">
        <w:t xml:space="preserve"> </w:t>
      </w:r>
    </w:p>
    <w:p w14:paraId="2403EEE1" w14:textId="77777777" w:rsidR="007B1D45" w:rsidRPr="003F46ED" w:rsidRDefault="00436A2E" w:rsidP="00B30583">
      <w:bookmarkStart w:id="558" w:name="_Toc402180764"/>
      <w:r w:rsidRPr="003F46ED">
        <w:t xml:space="preserve">In market research carried out for </w:t>
      </w:r>
      <w:proofErr w:type="spellStart"/>
      <w:r w:rsidRPr="003F46ED">
        <w:t>Asialink</w:t>
      </w:r>
      <w:proofErr w:type="spellEnd"/>
      <w:r w:rsidRPr="003F46ED">
        <w:t xml:space="preserve"> Business in 2013, 31.5 per cent of business executives surveyed (</w:t>
      </w:r>
      <w:r w:rsidRPr="003F46ED">
        <w:rPr>
          <w:i/>
        </w:rPr>
        <w:t>n=419</w:t>
      </w:r>
      <w:r w:rsidRPr="003F46ED">
        <w:t>) indicated that insufficient skills in an Asian language had been a challenge for conducting b</w:t>
      </w:r>
      <w:r w:rsidR="003F1774" w:rsidRPr="003F46ED">
        <w:t>usiness in Asia. However, only six</w:t>
      </w:r>
      <w:r w:rsidRPr="003F46ED">
        <w:t xml:space="preserve"> per cent thought it was the main challenge, with seven other challenges rating more highly. This aligns with the results of other research carried out in Europe. Australian employers see language as a ‘nice-to-have’ rather than essential for recruitment, much like in the United Kingdom and the United States</w:t>
      </w:r>
      <w:r w:rsidR="0050639E" w:rsidRPr="003F46ED">
        <w:t xml:space="preserve"> (see</w:t>
      </w:r>
      <w:r w:rsidR="00FB4441" w:rsidRPr="003F46ED">
        <w:t>, for example,</w:t>
      </w:r>
      <w:r w:rsidR="0050639E" w:rsidRPr="003F46ED">
        <w:t xml:space="preserve"> Kohler &amp; Curnow, 2014)</w:t>
      </w:r>
      <w:r w:rsidRPr="003F46ED">
        <w:t>.</w:t>
      </w:r>
      <w:r w:rsidR="00587DB1" w:rsidRPr="003F46ED">
        <w:t xml:space="preserve"> </w:t>
      </w:r>
      <w:r w:rsidR="00611D38" w:rsidRPr="003F46ED">
        <w:t>B</w:t>
      </w:r>
      <w:r w:rsidRPr="003F46ED">
        <w:t>usiness also sees the development of Australia’s linguistic capital as the role of education: the</w:t>
      </w:r>
      <w:r w:rsidR="00277FE1" w:rsidRPr="003F46ED">
        <w:t>y might recruit bilingual staff</w:t>
      </w:r>
      <w:r w:rsidRPr="003F46ED">
        <w:t xml:space="preserve"> but are unlikely to offer staff training in languages</w:t>
      </w:r>
      <w:r w:rsidR="00611D38" w:rsidRPr="003F46ED">
        <w:t xml:space="preserve"> (Kohler &amp; Curnow, 2014)</w:t>
      </w:r>
      <w:r w:rsidRPr="003F46ED">
        <w:t>.</w:t>
      </w:r>
      <w:bookmarkEnd w:id="558"/>
    </w:p>
    <w:p w14:paraId="1E916D4D" w14:textId="77777777" w:rsidR="007B1D45" w:rsidRPr="003F46ED" w:rsidRDefault="00676A2B" w:rsidP="00B30583">
      <w:bookmarkStart w:id="559" w:name="_Toc402180765"/>
      <w:r w:rsidRPr="003F46ED">
        <w:t>Technology companies could play a role in further developing complementary, technology-based language provision that schools can access.</w:t>
      </w:r>
      <w:r w:rsidR="00526F73" w:rsidRPr="003F46ED">
        <w:t xml:space="preserve"> </w:t>
      </w:r>
      <w:r w:rsidR="00DB62E0" w:rsidRPr="003F46ED">
        <w:t xml:space="preserve">For example, </w:t>
      </w:r>
      <w:r w:rsidR="00526F73" w:rsidRPr="003F46ED">
        <w:rPr>
          <w:i/>
        </w:rPr>
        <w:t xml:space="preserve">Rosetta </w:t>
      </w:r>
      <w:proofErr w:type="gramStart"/>
      <w:r w:rsidR="00526F73" w:rsidRPr="003F46ED">
        <w:rPr>
          <w:i/>
        </w:rPr>
        <w:t>Stone</w:t>
      </w:r>
      <w:proofErr w:type="gramEnd"/>
      <w:r w:rsidR="00526F73" w:rsidRPr="003F46ED">
        <w:t xml:space="preserve"> and </w:t>
      </w:r>
      <w:r w:rsidR="00526F73" w:rsidRPr="003F46ED">
        <w:rPr>
          <w:i/>
        </w:rPr>
        <w:t>My Chinese Tutor</w:t>
      </w:r>
      <w:r w:rsidR="00526F73" w:rsidRPr="003F46ED">
        <w:t xml:space="preserve"> </w:t>
      </w:r>
      <w:r w:rsidR="00DB62E0" w:rsidRPr="003F46ED">
        <w:t>demonstrate</w:t>
      </w:r>
      <w:r w:rsidR="00916687" w:rsidRPr="003F46ED">
        <w:t xml:space="preserve"> what can be achieved and built upon</w:t>
      </w:r>
      <w:r w:rsidR="00526F73" w:rsidRPr="003F46ED">
        <w:t xml:space="preserve">. </w:t>
      </w:r>
      <w:r w:rsidR="009A3AC4" w:rsidRPr="003F46ED">
        <w:rPr>
          <w:rFonts w:ascii="Calibri" w:hAnsi="Calibri"/>
        </w:rPr>
        <w:t xml:space="preserve">ESA has collaborated with </w:t>
      </w:r>
      <w:r w:rsidR="009A3AC4" w:rsidRPr="003F46ED">
        <w:rPr>
          <w:rFonts w:ascii="Calibri" w:hAnsi="Calibri"/>
          <w:i/>
        </w:rPr>
        <w:t>My Chinese Tutor</w:t>
      </w:r>
      <w:r w:rsidR="009A3AC4" w:rsidRPr="003F46ED">
        <w:rPr>
          <w:rFonts w:ascii="Calibri" w:hAnsi="Calibri"/>
        </w:rPr>
        <w:t xml:space="preserve"> on the Language Learning Space for Chinese so that students are able to synchronously access qualified tutors based in China provided by the company. The Indonesian and (soon-to-be released) Japanese Language Learning Spaces also enable students to interact with tutors based in Indonesia and Japan.</w:t>
      </w:r>
      <w:bookmarkEnd w:id="559"/>
    </w:p>
    <w:p w14:paraId="3FA708A9" w14:textId="77777777" w:rsidR="007B1D45" w:rsidRPr="003F46ED" w:rsidRDefault="00665631" w:rsidP="00B30583">
      <w:bookmarkStart w:id="560" w:name="_Toc402180766"/>
      <w:r w:rsidRPr="003F46ED">
        <w:t xml:space="preserve">Future study pathways </w:t>
      </w:r>
      <w:r w:rsidR="00E3538E" w:rsidRPr="003F46ED">
        <w:t xml:space="preserve">currently </w:t>
      </w:r>
      <w:r w:rsidRPr="003F46ED">
        <w:t>provide little option</w:t>
      </w:r>
      <w:r w:rsidR="00E3538E" w:rsidRPr="003F46ED">
        <w:t xml:space="preserve"> and flexibility for students to continue, recommence or begin language study within most tertiary education courses. This represents a less than optimum ‘pull’ factor for languages, possibly impacting on senior secondary languages enrolments. Some u</w:t>
      </w:r>
      <w:r w:rsidRPr="003F46ED">
        <w:t>niversities,</w:t>
      </w:r>
      <w:r w:rsidR="00E3538E" w:rsidRPr="003F46ED">
        <w:t xml:space="preserve"> such as</w:t>
      </w:r>
      <w:r w:rsidRPr="003F46ED">
        <w:t xml:space="preserve"> the </w:t>
      </w:r>
      <w:r w:rsidR="00E3538E" w:rsidRPr="003F46ED">
        <w:t>University of Western Australia, T</w:t>
      </w:r>
      <w:r w:rsidRPr="003F46ED">
        <w:t>he University of Melbourne</w:t>
      </w:r>
      <w:r w:rsidR="00E3538E" w:rsidRPr="003F46ED">
        <w:t xml:space="preserve"> and Deakin University</w:t>
      </w:r>
      <w:r w:rsidRPr="003F46ED">
        <w:t>, have made impressive progress i</w:t>
      </w:r>
      <w:r w:rsidR="00800EA6" w:rsidRPr="003F46ED">
        <w:t xml:space="preserve">n increasing the number of </w:t>
      </w:r>
      <w:r w:rsidRPr="003F46ED">
        <w:t>students taking languages</w:t>
      </w:r>
      <w:r w:rsidR="00551773" w:rsidRPr="003F46ED">
        <w:t>. This has been</w:t>
      </w:r>
      <w:r w:rsidRPr="003F46ED">
        <w:t xml:space="preserve"> achieved through structural changes </w:t>
      </w:r>
      <w:r w:rsidR="003D6D83" w:rsidRPr="003F46ED">
        <w:t>to</w:t>
      </w:r>
      <w:r w:rsidRPr="003F46ED">
        <w:t xml:space="preserve"> subject choice</w:t>
      </w:r>
      <w:r w:rsidR="003D6D83" w:rsidRPr="003F46ED">
        <w:t xml:space="preserve"> and certification structures</w:t>
      </w:r>
      <w:r w:rsidR="00551773" w:rsidRPr="003F46ED">
        <w:t xml:space="preserve"> (e.g.</w:t>
      </w:r>
      <w:r w:rsidR="004F1AC5" w:rsidRPr="003F46ED">
        <w:t xml:space="preserve"> </w:t>
      </w:r>
      <w:r w:rsidR="00551773" w:rsidRPr="003F46ED">
        <w:t>breadth subjects within the Melbourne Model)</w:t>
      </w:r>
      <w:r w:rsidRPr="003F46ED">
        <w:t xml:space="preserve"> and flexible options for concurrent languages study</w:t>
      </w:r>
      <w:r w:rsidR="00551773" w:rsidRPr="003F46ED">
        <w:t xml:space="preserve"> (e.g. Diploma of Languages)</w:t>
      </w:r>
      <w:r w:rsidRPr="003F46ED">
        <w:t>.</w:t>
      </w:r>
      <w:bookmarkEnd w:id="560"/>
    </w:p>
    <w:p w14:paraId="045DF950" w14:textId="4C1AEA9B" w:rsidR="0087199E" w:rsidRPr="003F46ED" w:rsidRDefault="0087199E" w:rsidP="00B30583">
      <w:pPr>
        <w:rPr>
          <w:rFonts w:eastAsiaTheme="minorHAnsi"/>
          <w:szCs w:val="22"/>
        </w:rPr>
      </w:pPr>
      <w:r w:rsidRPr="003F46ED">
        <w:br w:type="page"/>
      </w:r>
    </w:p>
    <w:p w14:paraId="66368A63" w14:textId="77777777" w:rsidR="007B1D45" w:rsidRPr="003F46ED" w:rsidRDefault="00436A2E" w:rsidP="00F666F6">
      <w:pPr>
        <w:pStyle w:val="Heading3"/>
        <w:numPr>
          <w:ilvl w:val="0"/>
          <w:numId w:val="42"/>
        </w:numPr>
      </w:pPr>
      <w:bookmarkStart w:id="561" w:name="_Toc402180767"/>
      <w:r w:rsidRPr="003F46ED">
        <w:lastRenderedPageBreak/>
        <w:t>The system: national and state/territory levels</w:t>
      </w:r>
      <w:bookmarkEnd w:id="561"/>
    </w:p>
    <w:p w14:paraId="104F3F4E" w14:textId="77777777" w:rsidR="007B1D45" w:rsidRPr="003F46ED" w:rsidRDefault="00436A2E" w:rsidP="00116C8E">
      <w:pPr>
        <w:pStyle w:val="Heading4"/>
      </w:pPr>
      <w:r w:rsidRPr="003F46ED">
        <w:t>The state of languages and languages education policies in Australia</w:t>
      </w:r>
    </w:p>
    <w:p w14:paraId="6449F627" w14:textId="77777777" w:rsidR="007B1D45" w:rsidRPr="003F46ED" w:rsidRDefault="00436A2E" w:rsidP="00116C8E">
      <w:pPr>
        <w:pStyle w:val="Heading5"/>
      </w:pPr>
      <w:r w:rsidRPr="003F46ED">
        <w:t>A period of transition</w:t>
      </w:r>
    </w:p>
    <w:p w14:paraId="1CB42EB7" w14:textId="77777777" w:rsidR="007B1D45" w:rsidRPr="003F46ED" w:rsidRDefault="00436A2E" w:rsidP="00B30583">
      <w:r w:rsidRPr="003F46ED">
        <w:t>Languages policies are in a</w:t>
      </w:r>
      <w:r w:rsidR="00A61F4C" w:rsidRPr="003F46ED">
        <w:t>n active</w:t>
      </w:r>
      <w:r w:rsidRPr="003F46ED">
        <w:t xml:space="preserve"> period of transition</w:t>
      </w:r>
      <w:r w:rsidR="00C765E5" w:rsidRPr="003F46ED">
        <w:t xml:space="preserve"> while </w:t>
      </w:r>
      <w:r w:rsidR="00C94F58" w:rsidRPr="003F46ED">
        <w:t xml:space="preserve">national </w:t>
      </w:r>
      <w:r w:rsidR="00C765E5" w:rsidRPr="003F46ED">
        <w:t>enrolment figures for senior secondary languages have</w:t>
      </w:r>
      <w:r w:rsidR="00C94F58" w:rsidRPr="003F46ED">
        <w:t xml:space="preserve"> generally</w:t>
      </w:r>
      <w:r w:rsidR="00C765E5" w:rsidRPr="003F46ED">
        <w:t xml:space="preserve"> flat-</w:t>
      </w:r>
      <w:r w:rsidR="00C94F58" w:rsidRPr="003F46ED">
        <w:t>lined</w:t>
      </w:r>
      <w:r w:rsidRPr="003F46ED">
        <w:t>. In recent decades, state and territory initiatives have largely accorded with national initiatives such as</w:t>
      </w:r>
      <w:r w:rsidR="00DE43F3" w:rsidRPr="003F46ED">
        <w:t xml:space="preserve"> </w:t>
      </w:r>
      <w:proofErr w:type="spellStart"/>
      <w:r w:rsidR="00DE43F3" w:rsidRPr="003F46ED">
        <w:t>NALSAS</w:t>
      </w:r>
      <w:proofErr w:type="spellEnd"/>
      <w:r w:rsidRPr="003F46ED">
        <w:t xml:space="preserve"> </w:t>
      </w:r>
      <w:r w:rsidR="00DE43F3" w:rsidRPr="003F46ED">
        <w:t>(</w:t>
      </w:r>
      <w:r w:rsidRPr="003F46ED">
        <w:t>1996</w:t>
      </w:r>
      <w:r w:rsidR="008D2C73" w:rsidRPr="003F46ED">
        <w:t>–</w:t>
      </w:r>
      <w:r w:rsidRPr="003F46ED">
        <w:t>2004)</w:t>
      </w:r>
      <w:r w:rsidR="00DE43F3" w:rsidRPr="003F46ED">
        <w:t>,</w:t>
      </w:r>
      <w:r w:rsidRPr="003F46ED">
        <w:t xml:space="preserve"> </w:t>
      </w:r>
      <w:proofErr w:type="spellStart"/>
      <w:r w:rsidRPr="003F46ED">
        <w:t>NALSSP</w:t>
      </w:r>
      <w:proofErr w:type="spellEnd"/>
      <w:r w:rsidRPr="003F46ED">
        <w:t xml:space="preserve"> (2009</w:t>
      </w:r>
      <w:r w:rsidR="008D2C73" w:rsidRPr="003F46ED">
        <w:t>–</w:t>
      </w:r>
      <w:r w:rsidRPr="003F46ED">
        <w:t>2012)</w:t>
      </w:r>
      <w:r w:rsidR="00DE43F3" w:rsidRPr="003F46ED">
        <w:t>, the</w:t>
      </w:r>
      <w:r w:rsidRPr="003F46ED">
        <w:t xml:space="preserve"> National Statement for Languages Education in Australian Schools</w:t>
      </w:r>
      <w:r w:rsidR="00812A0F" w:rsidRPr="003F46ED">
        <w:t xml:space="preserve"> (2005</w:t>
      </w:r>
      <w:r w:rsidR="008D2C73" w:rsidRPr="003F46ED">
        <w:t>–</w:t>
      </w:r>
      <w:r w:rsidR="00812A0F" w:rsidRPr="003F46ED">
        <w:t>2008)</w:t>
      </w:r>
      <w:r w:rsidRPr="003F46ED">
        <w:t xml:space="preserve"> and</w:t>
      </w:r>
      <w:r w:rsidR="00DE43F3" w:rsidRPr="003F46ED">
        <w:t xml:space="preserve"> the</w:t>
      </w:r>
      <w:r w:rsidRPr="003F46ED">
        <w:t xml:space="preserve"> National Plan for Languages Education in Australian Schools (2005</w:t>
      </w:r>
      <w:r w:rsidR="008D2C73" w:rsidRPr="003F46ED">
        <w:t>–</w:t>
      </w:r>
      <w:r w:rsidR="00812A0F" w:rsidRPr="003F46ED">
        <w:t>2008</w:t>
      </w:r>
      <w:r w:rsidRPr="003F46ED">
        <w:t xml:space="preserve">). At present, the Australian Curriculum has become the primary vehicle through which many </w:t>
      </w:r>
      <w:r w:rsidR="00616FC3" w:rsidRPr="003F46ED">
        <w:t>jurisdictions and sectors</w:t>
      </w:r>
      <w:r w:rsidRPr="003F46ED">
        <w:t xml:space="preserve"> are addressing languages provision</w:t>
      </w:r>
      <w:r w:rsidR="00E75920" w:rsidRPr="003F46ED">
        <w:t xml:space="preserve"> (</w:t>
      </w:r>
      <w:r w:rsidR="00413FF2" w:rsidRPr="003F46ED">
        <w:t>Kohler &amp; Curnow, 2014)</w:t>
      </w:r>
      <w:r w:rsidRPr="003F46ED">
        <w:t>.</w:t>
      </w:r>
    </w:p>
    <w:p w14:paraId="52A6DD51" w14:textId="77777777" w:rsidR="007B1D45" w:rsidRPr="003F46ED" w:rsidRDefault="00436A2E" w:rsidP="00B30583">
      <w:r w:rsidRPr="003F46ED">
        <w:t xml:space="preserve">The consultations revealed a general perception that there is lack of a stable and bipartisan commitment to languages education across the nation. However, the current environment is supportive of national collaboration, demonstrated by the Australian Curriculum: Languages, </w:t>
      </w:r>
      <w:r w:rsidR="004730EA" w:rsidRPr="003F46ED">
        <w:t>Australian</w:t>
      </w:r>
      <w:r w:rsidRPr="003F46ED">
        <w:t xml:space="preserve"> Professional Standards for Teachers</w:t>
      </w:r>
      <w:r w:rsidR="00C8585F" w:rsidRPr="003F46ED">
        <w:t xml:space="preserve"> (</w:t>
      </w:r>
      <w:proofErr w:type="spellStart"/>
      <w:r w:rsidR="00C8585F" w:rsidRPr="003F46ED">
        <w:t>AITSL</w:t>
      </w:r>
      <w:proofErr w:type="spellEnd"/>
      <w:r w:rsidR="00C8585F" w:rsidRPr="003F46ED">
        <w:t>)</w:t>
      </w:r>
      <w:r w:rsidR="00470543" w:rsidRPr="003F46ED">
        <w:t xml:space="preserve">, the </w:t>
      </w:r>
      <w:proofErr w:type="spellStart"/>
      <w:r w:rsidR="00470543" w:rsidRPr="003F46ED">
        <w:t>AFMLTA</w:t>
      </w:r>
      <w:proofErr w:type="spellEnd"/>
      <w:r w:rsidR="00470543" w:rsidRPr="003F46ED">
        <w:t xml:space="preserve"> </w:t>
      </w:r>
      <w:r w:rsidR="002B424F" w:rsidRPr="003F46ED">
        <w:t>Professional Standards for Accomplished Teaching of Languages and Cultures</w:t>
      </w:r>
      <w:r w:rsidR="00413FF2" w:rsidRPr="003F46ED">
        <w:t xml:space="preserve"> that are aligned to </w:t>
      </w:r>
      <w:r w:rsidR="00470543" w:rsidRPr="003F46ED">
        <w:t>the AITSL Standards</w:t>
      </w:r>
      <w:r w:rsidR="002B424F" w:rsidRPr="003F46ED">
        <w:t xml:space="preserve"> on </w:t>
      </w:r>
      <w:r w:rsidR="00F65389" w:rsidRPr="003F46ED">
        <w:t>the</w:t>
      </w:r>
      <w:r w:rsidR="002B424F" w:rsidRPr="003F46ED">
        <w:t xml:space="preserve"> </w:t>
      </w:r>
      <w:r w:rsidR="002B424F" w:rsidRPr="003F46ED">
        <w:rPr>
          <w:i/>
        </w:rPr>
        <w:t>Language Learning Space</w:t>
      </w:r>
      <w:r w:rsidR="00470543" w:rsidRPr="003F46ED">
        <w:t>,</w:t>
      </w:r>
      <w:r w:rsidRPr="003F46ED">
        <w:t xml:space="preserve"> and the success of </w:t>
      </w:r>
      <w:proofErr w:type="spellStart"/>
      <w:r w:rsidRPr="003F46ED">
        <w:t>CCAFL</w:t>
      </w:r>
      <w:proofErr w:type="spellEnd"/>
      <w:r w:rsidRPr="003F46ED">
        <w:t xml:space="preserve">. </w:t>
      </w:r>
    </w:p>
    <w:p w14:paraId="77A50E2A" w14:textId="4770EFA8" w:rsidR="00436A2E" w:rsidRPr="003F46ED" w:rsidRDefault="00431874" w:rsidP="00B30583">
      <w:r w:rsidRPr="003F46ED">
        <w:t>Consultation participants expressed their d</w:t>
      </w:r>
      <w:r w:rsidR="00436A2E" w:rsidRPr="003F46ED">
        <w:t xml:space="preserve">esire for national collaboration to improve languages education, including: </w:t>
      </w:r>
    </w:p>
    <w:p w14:paraId="121D6B0E" w14:textId="77777777" w:rsidR="00436A2E" w:rsidRPr="003F46ED" w:rsidRDefault="00436A2E" w:rsidP="00F666F6">
      <w:pPr>
        <w:pStyle w:val="ListParagraph"/>
        <w:numPr>
          <w:ilvl w:val="0"/>
          <w:numId w:val="15"/>
        </w:numPr>
        <w:ind w:left="1440"/>
      </w:pPr>
      <w:r w:rsidRPr="003F46ED">
        <w:t>a common narrative to build demand for languages</w:t>
      </w:r>
    </w:p>
    <w:p w14:paraId="0DA0AD10" w14:textId="77777777" w:rsidR="00436A2E" w:rsidRPr="003F46ED" w:rsidRDefault="00436A2E" w:rsidP="00F666F6">
      <w:pPr>
        <w:pStyle w:val="ListParagraph"/>
        <w:numPr>
          <w:ilvl w:val="0"/>
          <w:numId w:val="15"/>
        </w:numPr>
        <w:ind w:left="1440"/>
      </w:pPr>
      <w:r w:rsidRPr="003F46ED">
        <w:t>improving the accessibility of language pathways for all types of learners</w:t>
      </w:r>
    </w:p>
    <w:p w14:paraId="0C7464DD" w14:textId="77777777" w:rsidR="00CB5ABC" w:rsidRDefault="00436A2E" w:rsidP="00CB5ABC">
      <w:pPr>
        <w:pStyle w:val="ListParagraph"/>
        <w:numPr>
          <w:ilvl w:val="0"/>
          <w:numId w:val="15"/>
        </w:numPr>
        <w:ind w:left="1440"/>
      </w:pPr>
      <w:r w:rsidRPr="003F46ED">
        <w:t>national level data collection and strategies for better comparability, tracking and outcomes</w:t>
      </w:r>
    </w:p>
    <w:p w14:paraId="22B746F0" w14:textId="684E29A8" w:rsidR="007B1D45" w:rsidRPr="003F46ED" w:rsidRDefault="00436A2E" w:rsidP="00CB5ABC">
      <w:pPr>
        <w:pStyle w:val="ListParagraph"/>
        <w:numPr>
          <w:ilvl w:val="0"/>
          <w:numId w:val="15"/>
        </w:numPr>
        <w:ind w:left="1440"/>
      </w:pPr>
      <w:proofErr w:type="gramStart"/>
      <w:r w:rsidRPr="003F46ED">
        <w:t>building</w:t>
      </w:r>
      <w:proofErr w:type="gramEnd"/>
      <w:r w:rsidRPr="003F46ED">
        <w:t xml:space="preserve"> on reviews of languages education that have taken place recently, or are taking place, in many jurisdictions (</w:t>
      </w:r>
      <w:r w:rsidR="009B245B" w:rsidRPr="003F46ED">
        <w:t>e.g.</w:t>
      </w:r>
      <w:r w:rsidRPr="003F46ED">
        <w:t xml:space="preserve"> </w:t>
      </w:r>
      <w:r w:rsidR="007C4CC3" w:rsidRPr="003F46ED">
        <w:t>NSW</w:t>
      </w:r>
      <w:r w:rsidRPr="003F46ED">
        <w:t xml:space="preserve">, </w:t>
      </w:r>
      <w:r w:rsidR="000464C9" w:rsidRPr="003F46ED">
        <w:t>WA</w:t>
      </w:r>
      <w:r w:rsidRPr="003F46ED">
        <w:t xml:space="preserve">, </w:t>
      </w:r>
      <w:r w:rsidR="00EB5C58" w:rsidRPr="003F46ED">
        <w:t>SA</w:t>
      </w:r>
      <w:r w:rsidRPr="003F46ED">
        <w:t xml:space="preserve"> and </w:t>
      </w:r>
      <w:r w:rsidR="00EB5C58" w:rsidRPr="003F46ED">
        <w:t>Qld</w:t>
      </w:r>
      <w:r w:rsidRPr="003F46ED">
        <w:t>)</w:t>
      </w:r>
      <w:r w:rsidR="00912DAF" w:rsidRPr="003F46ED">
        <w:t>.</w:t>
      </w:r>
    </w:p>
    <w:p w14:paraId="007B99BC" w14:textId="77777777" w:rsidR="007B1D45" w:rsidRPr="003F46ED" w:rsidRDefault="00AD7DAC" w:rsidP="00B30583">
      <w:r w:rsidRPr="003F46ED">
        <w:t>As stated previously</w:t>
      </w:r>
      <w:r w:rsidR="008E1CB5" w:rsidRPr="003F46ED">
        <w:rPr>
          <w:iCs/>
        </w:rPr>
        <w:t>, s</w:t>
      </w:r>
      <w:r w:rsidR="00436A2E" w:rsidRPr="003F46ED">
        <w:t xml:space="preserve">ome jurisdictions have a specific languages policy </w:t>
      </w:r>
      <w:r w:rsidR="006B584B" w:rsidRPr="003F46ED">
        <w:t>while others incorporate languages into other policy or curriculum documents</w:t>
      </w:r>
      <w:r w:rsidR="00436A2E" w:rsidRPr="003F46ED">
        <w:t xml:space="preserve">. </w:t>
      </w:r>
      <w:r w:rsidRPr="003F46ED">
        <w:t>P</w:t>
      </w:r>
      <w:r w:rsidR="00436A2E" w:rsidRPr="003F46ED">
        <w:t>olicies</w:t>
      </w:r>
      <w:r w:rsidRPr="003F46ED">
        <w:t xml:space="preserve"> focus on the mid-primary to junior secondary years and</w:t>
      </w:r>
      <w:r w:rsidR="00436A2E" w:rsidRPr="003F46ED">
        <w:t xml:space="preserve"> range from </w:t>
      </w:r>
      <w:r w:rsidR="00436A2E" w:rsidRPr="003F46ED">
        <w:rPr>
          <w:i/>
        </w:rPr>
        <w:t>encouraging</w:t>
      </w:r>
      <w:r w:rsidR="00436A2E" w:rsidRPr="003F46ED">
        <w:t xml:space="preserve"> schools to offer language</w:t>
      </w:r>
      <w:r w:rsidRPr="003F46ED">
        <w:t>s</w:t>
      </w:r>
      <w:r w:rsidR="00436A2E" w:rsidRPr="003F46ED">
        <w:t xml:space="preserve"> to </w:t>
      </w:r>
      <w:r w:rsidR="00436A2E" w:rsidRPr="003F46ED">
        <w:rPr>
          <w:i/>
        </w:rPr>
        <w:t>requiring</w:t>
      </w:r>
      <w:r w:rsidR="00436A2E" w:rsidRPr="003F46ED">
        <w:t xml:space="preserve"> them to do so at particular year levels. In all cases, </w:t>
      </w:r>
      <w:r w:rsidR="002C27EF" w:rsidRPr="003F46ED">
        <w:t>languages provision</w:t>
      </w:r>
      <w:r w:rsidR="00436A2E" w:rsidRPr="003F46ED">
        <w:t xml:space="preserve"> is not </w:t>
      </w:r>
      <w:r w:rsidR="002C27EF" w:rsidRPr="003F46ED">
        <w:t>a requirement for schools</w:t>
      </w:r>
      <w:r w:rsidR="00436A2E" w:rsidRPr="003F46ED">
        <w:t xml:space="preserve"> beyond junior secondary level. </w:t>
      </w:r>
    </w:p>
    <w:p w14:paraId="51BBE600" w14:textId="77777777" w:rsidR="007B1D45" w:rsidRPr="003F46ED" w:rsidRDefault="00436A2E" w:rsidP="00116C8E">
      <w:pPr>
        <w:pStyle w:val="Heading5"/>
        <w:rPr>
          <w:bCs/>
        </w:rPr>
      </w:pPr>
      <w:r w:rsidRPr="003F46ED">
        <w:t>Support strategies for languages provision</w:t>
      </w:r>
    </w:p>
    <w:p w14:paraId="560BC8C2" w14:textId="77777777" w:rsidR="007B1D45" w:rsidRPr="003F46ED" w:rsidRDefault="00436A2E" w:rsidP="00B30583">
      <w:r w:rsidRPr="003F46ED">
        <w:t>Presently, support for implementation of languages policy involve</w:t>
      </w:r>
      <w:r w:rsidR="00EB2187" w:rsidRPr="003F46ED">
        <w:t>s professional learning (local</w:t>
      </w:r>
      <w:r w:rsidRPr="003F46ED">
        <w:t xml:space="preserve"> and in-country), programme development (such as bilingual immersion and </w:t>
      </w:r>
      <w:proofErr w:type="spellStart"/>
      <w:r w:rsidRPr="003F46ED">
        <w:t>CLIL</w:t>
      </w:r>
      <w:proofErr w:type="spellEnd"/>
      <w:r w:rsidRPr="003F46ED">
        <w:t>), collaboration with the tertiary</w:t>
      </w:r>
      <w:r w:rsidR="006354F6" w:rsidRPr="003F46ED">
        <w:t xml:space="preserve"> education</w:t>
      </w:r>
      <w:r w:rsidRPr="003F46ED">
        <w:t xml:space="preserve"> sector, development of curriculum materials (including online delivery) and language assistant programmes</w:t>
      </w:r>
      <w:r w:rsidR="00E75920" w:rsidRPr="003F46ED">
        <w:t xml:space="preserve"> (</w:t>
      </w:r>
      <w:r w:rsidR="00413FF2" w:rsidRPr="003F46ED">
        <w:t>Kohler &amp; Curnow, 2014)</w:t>
      </w:r>
      <w:r w:rsidRPr="003F46ED">
        <w:t>.</w:t>
      </w:r>
      <w:r w:rsidR="006513E8" w:rsidRPr="003F46ED">
        <w:t xml:space="preserve"> Despite the existence of these support strategies across Australia, l</w:t>
      </w:r>
      <w:r w:rsidRPr="003F46ED">
        <w:t xml:space="preserve">ittle is known about </w:t>
      </w:r>
      <w:r w:rsidR="006513E8" w:rsidRPr="003F46ED">
        <w:t>their</w:t>
      </w:r>
      <w:r w:rsidRPr="003F46ED">
        <w:t xml:space="preserve"> </w:t>
      </w:r>
      <w:r w:rsidR="00107191" w:rsidRPr="003F46ED">
        <w:t xml:space="preserve">impact </w:t>
      </w:r>
      <w:r w:rsidRPr="003F46ED">
        <w:t>on student retention, particularly at Years 11 and 12</w:t>
      </w:r>
      <w:r w:rsidR="00DA15E9" w:rsidRPr="003F46ED">
        <w:t xml:space="preserve">, even though </w:t>
      </w:r>
      <w:r w:rsidR="006513E8" w:rsidRPr="003F46ED">
        <w:t>anecdotal evidence suggest</w:t>
      </w:r>
      <w:r w:rsidR="006354F6" w:rsidRPr="003F46ED">
        <w:t>s</w:t>
      </w:r>
      <w:r w:rsidR="006513E8" w:rsidRPr="003F46ED">
        <w:t xml:space="preserve"> they </w:t>
      </w:r>
      <w:r w:rsidR="007220AB" w:rsidRPr="003F46ED">
        <w:t xml:space="preserve">can </w:t>
      </w:r>
      <w:r w:rsidR="006513E8" w:rsidRPr="003F46ED">
        <w:t>improve student engagement</w:t>
      </w:r>
      <w:r w:rsidRPr="003F46ED">
        <w:t>.</w:t>
      </w:r>
    </w:p>
    <w:p w14:paraId="2E4EE190" w14:textId="77777777" w:rsidR="007B1D45" w:rsidRPr="003F46ED" w:rsidRDefault="00974E7B" w:rsidP="00B30583">
      <w:r w:rsidRPr="003F46ED">
        <w:t>Furthermore</w:t>
      </w:r>
      <w:r w:rsidR="00436A2E" w:rsidRPr="003F46ED">
        <w:t xml:space="preserve">, continuity of language programmes from primary into secondary remains a challenge. Based on Spence-Brown’s </w:t>
      </w:r>
      <w:r w:rsidR="00DA15E9" w:rsidRPr="003F46ED">
        <w:t xml:space="preserve">(2014) </w:t>
      </w:r>
      <w:r w:rsidR="00436A2E" w:rsidRPr="003F46ED">
        <w:t>results, 70.6 per cent of continuers did not study Japanese at primary school, and the proportion is even higher for discontinuers. This indicates that primary</w:t>
      </w:r>
      <w:r w:rsidR="00912DAF" w:rsidRPr="003F46ED">
        <w:t>–</w:t>
      </w:r>
      <w:r w:rsidR="00436A2E" w:rsidRPr="003F46ED">
        <w:t>secondary continuity for Japanese is relatively rare, even though Japanese is the most widely taught language in Australia</w:t>
      </w:r>
      <w:r w:rsidR="008B024C" w:rsidRPr="003F46ED">
        <w:t xml:space="preserve"> (de </w:t>
      </w:r>
      <w:proofErr w:type="spellStart"/>
      <w:r w:rsidR="008B024C" w:rsidRPr="003F46ED">
        <w:t>Kretser</w:t>
      </w:r>
      <w:proofErr w:type="spellEnd"/>
      <w:r w:rsidR="008B024C" w:rsidRPr="003F46ED">
        <w:t xml:space="preserve"> &amp; Spence-Brown, 2010)</w:t>
      </w:r>
      <w:r w:rsidR="00436A2E" w:rsidRPr="003F46ED">
        <w:t>.</w:t>
      </w:r>
      <w:r w:rsidR="00571261" w:rsidRPr="003F46ED">
        <w:t xml:space="preserve"> </w:t>
      </w:r>
      <w:r w:rsidR="00142BB1" w:rsidRPr="003F46ED">
        <w:t>Read differently, Spence-Brown’s</w:t>
      </w:r>
      <w:r w:rsidR="00571261" w:rsidRPr="003F46ED">
        <w:t xml:space="preserve"> results suggest that </w:t>
      </w:r>
      <w:r w:rsidR="00E747AF" w:rsidRPr="003F46ED">
        <w:t xml:space="preserve">primary-secondary </w:t>
      </w:r>
      <w:r w:rsidR="00571261" w:rsidRPr="003F46ED">
        <w:t xml:space="preserve">continuity is not </w:t>
      </w:r>
      <w:r w:rsidR="007220AB" w:rsidRPr="003F46ED">
        <w:t>a pre-condition</w:t>
      </w:r>
      <w:r w:rsidR="00191E5F" w:rsidRPr="003F46ED">
        <w:t xml:space="preserve"> for students when choosing</w:t>
      </w:r>
      <w:r w:rsidR="007220AB" w:rsidRPr="003F46ED">
        <w:t xml:space="preserve"> to </w:t>
      </w:r>
      <w:r w:rsidR="00571261" w:rsidRPr="003F46ED">
        <w:t>study a language in senior secondary.</w:t>
      </w:r>
    </w:p>
    <w:p w14:paraId="06B86E17" w14:textId="77777777" w:rsidR="007B1D45" w:rsidRPr="003F46ED" w:rsidRDefault="00180BE9" w:rsidP="00B30583">
      <w:r w:rsidRPr="003F46ED">
        <w:lastRenderedPageBreak/>
        <w:t>O</w:t>
      </w:r>
      <w:r w:rsidR="00436A2E" w:rsidRPr="003F46ED">
        <w:t xml:space="preserve">ther work related to strengthening languages education is underway nationally. These include the language-learning trial for pre-schoolers, a focus on languages in initial teacher education (through the Teacher Education Ministerial Advisory Group and Teach for Australia) and the ability </w:t>
      </w:r>
      <w:r w:rsidR="00062775" w:rsidRPr="003F46ED">
        <w:t xml:space="preserve">for tertiary students </w:t>
      </w:r>
      <w:r w:rsidR="00436A2E" w:rsidRPr="003F46ED">
        <w:t xml:space="preserve">to access intensive language training through the New Colombo Plan. </w:t>
      </w:r>
    </w:p>
    <w:p w14:paraId="571F50F7" w14:textId="77777777" w:rsidR="007B1D45" w:rsidRPr="003F46ED" w:rsidRDefault="00436A2E" w:rsidP="00116C8E">
      <w:pPr>
        <w:pStyle w:val="Heading4"/>
      </w:pPr>
      <w:bookmarkStart w:id="562" w:name="_Toc402180768"/>
      <w:r w:rsidRPr="003F46ED">
        <w:t>Current senior secondary certification structures are not conducive to boosting languages enrolment</w:t>
      </w:r>
      <w:r w:rsidR="00D8349B" w:rsidRPr="003F46ED">
        <w:t>s</w:t>
      </w:r>
      <w:bookmarkEnd w:id="562"/>
    </w:p>
    <w:p w14:paraId="191B470F" w14:textId="77777777" w:rsidR="007B1D45" w:rsidRPr="003F46ED" w:rsidRDefault="00436A2E" w:rsidP="00116C8E">
      <w:pPr>
        <w:pStyle w:val="Heading5"/>
      </w:pPr>
      <w:bookmarkStart w:id="563" w:name="_Toc402180769"/>
      <w:r w:rsidRPr="003F46ED">
        <w:t>Demand for languages is bound by the certification structure</w:t>
      </w:r>
      <w:bookmarkEnd w:id="563"/>
    </w:p>
    <w:p w14:paraId="7B1236BF" w14:textId="77777777" w:rsidR="007B1D45" w:rsidRPr="003F46ED" w:rsidRDefault="00436A2E" w:rsidP="00B30583">
      <w:bookmarkStart w:id="564" w:name="_Toc402180770"/>
      <w:r w:rsidRPr="003F46ED">
        <w:t>The choice to study, or not study, a language at Years 11 and 12 is inextricably linked to the structure of seni</w:t>
      </w:r>
      <w:r w:rsidR="00DF1744" w:rsidRPr="003F46ED">
        <w:t xml:space="preserve">or secondary certification. </w:t>
      </w:r>
      <w:r w:rsidR="00213412" w:rsidRPr="003F46ED">
        <w:t>Building and sustaining student demand through the pipeline years and strengthening the quality of programmes</w:t>
      </w:r>
      <w:r w:rsidR="00775165" w:rsidRPr="003F46ED">
        <w:t xml:space="preserve"> is needed</w:t>
      </w:r>
      <w:r w:rsidR="00A969B5" w:rsidRPr="003F46ED">
        <w:t xml:space="preserve">: more students (in Years 9 and 10) </w:t>
      </w:r>
      <w:r w:rsidR="00213412" w:rsidRPr="003F46ED">
        <w:t>need to be in a position to choose languages for senior secondary study.</w:t>
      </w:r>
      <w:r w:rsidR="00A969B5" w:rsidRPr="003F46ED">
        <w:t xml:space="preserve"> However, a</w:t>
      </w:r>
      <w:r w:rsidR="007655C8" w:rsidRPr="003F46ED">
        <w:t xml:space="preserve"> stronger pipeline alone will not lead to a significant increase in senior secondary languages enrolments so long as </w:t>
      </w:r>
      <w:r w:rsidRPr="003F46ED">
        <w:t>senior secondary certification structures</w:t>
      </w:r>
      <w:r w:rsidR="007655C8" w:rsidRPr="003F46ED">
        <w:t xml:space="preserve"> are not revised</w:t>
      </w:r>
      <w:r w:rsidRPr="003F46ED">
        <w:t>.</w:t>
      </w:r>
      <w:bookmarkEnd w:id="564"/>
    </w:p>
    <w:p w14:paraId="05E985E1" w14:textId="77777777" w:rsidR="007B1D45" w:rsidRPr="003F46ED" w:rsidRDefault="00436A2E" w:rsidP="00116C8E">
      <w:pPr>
        <w:pStyle w:val="Heading5"/>
      </w:pPr>
      <w:bookmarkStart w:id="565" w:name="_Toc402180771"/>
      <w:r w:rsidRPr="003F46ED">
        <w:t>Revising the structure impacts significantly on enrolments</w:t>
      </w:r>
      <w:bookmarkEnd w:id="565"/>
    </w:p>
    <w:p w14:paraId="26137382" w14:textId="77777777" w:rsidR="007B1D45" w:rsidRPr="003F46ED" w:rsidRDefault="001F19E1" w:rsidP="00B30583">
      <w:pPr>
        <w:rPr>
          <w:bCs/>
          <w:highlight w:val="yellow"/>
        </w:rPr>
      </w:pPr>
      <w:bookmarkStart w:id="566" w:name="_Toc402180772"/>
      <w:r w:rsidRPr="003F46ED">
        <w:t>Available</w:t>
      </w:r>
      <w:r w:rsidR="00436A2E" w:rsidRPr="003F46ED">
        <w:t xml:space="preserve"> Year 12 </w:t>
      </w:r>
      <w:r w:rsidR="000623D0" w:rsidRPr="003F46ED">
        <w:t>student</w:t>
      </w:r>
      <w:r w:rsidR="00436A2E" w:rsidRPr="003F46ED">
        <w:t xml:space="preserve"> data suggests that a reduction in the number of subjects required </w:t>
      </w:r>
      <w:r w:rsidR="000623D0" w:rsidRPr="003F46ED">
        <w:t>for senior certification</w:t>
      </w:r>
      <w:r w:rsidR="00436A2E" w:rsidRPr="003F46ED">
        <w:t xml:space="preserve"> disproportionately affects some subjects, </w:t>
      </w:r>
      <w:r w:rsidRPr="003F46ED">
        <w:t>especially</w:t>
      </w:r>
      <w:r w:rsidR="00436A2E" w:rsidRPr="003F46ED">
        <w:t xml:space="preserve"> languages. In </w:t>
      </w:r>
      <w:r w:rsidR="00EB5C58" w:rsidRPr="003F46ED">
        <w:t>SA</w:t>
      </w:r>
      <w:r w:rsidR="00436A2E" w:rsidRPr="003F46ED">
        <w:t xml:space="preserve">, </w:t>
      </w:r>
      <w:r w:rsidR="00436A2E" w:rsidRPr="003F46ED">
        <w:rPr>
          <w:bCs/>
        </w:rPr>
        <w:t>language enrolment numbers a</w:t>
      </w:r>
      <w:r w:rsidR="00D70F9E" w:rsidRPr="003F46ED">
        <w:rPr>
          <w:bCs/>
        </w:rPr>
        <w:t xml:space="preserve">nd overall cohort numbers were generally </w:t>
      </w:r>
      <w:r w:rsidR="00436A2E" w:rsidRPr="003F46ED">
        <w:rPr>
          <w:bCs/>
        </w:rPr>
        <w:t xml:space="preserve">stable from 2008 to 2010. But with the introduction of a new senior secondary structure (four subjects plus a </w:t>
      </w:r>
      <w:r w:rsidR="000623D0" w:rsidRPr="003F46ED">
        <w:rPr>
          <w:bCs/>
        </w:rPr>
        <w:t xml:space="preserve">mandatory </w:t>
      </w:r>
      <w:r w:rsidR="00436A2E" w:rsidRPr="003F46ED">
        <w:rPr>
          <w:bCs/>
        </w:rPr>
        <w:t>research project)</w:t>
      </w:r>
      <w:r w:rsidR="0045035D" w:rsidRPr="003F46ED">
        <w:rPr>
          <w:bCs/>
        </w:rPr>
        <w:t>, l</w:t>
      </w:r>
      <w:r w:rsidR="00436A2E" w:rsidRPr="003F46ED">
        <w:rPr>
          <w:bCs/>
        </w:rPr>
        <w:t xml:space="preserve">anguages (and Arts) enrolments have </w:t>
      </w:r>
      <w:r w:rsidR="00D70F9E" w:rsidRPr="003F46ED">
        <w:rPr>
          <w:bCs/>
        </w:rPr>
        <w:t>seen a</w:t>
      </w:r>
      <w:r w:rsidR="00436A2E" w:rsidRPr="003F46ED">
        <w:rPr>
          <w:bCs/>
        </w:rPr>
        <w:t xml:space="preserve"> downward trend.</w:t>
      </w:r>
      <w:bookmarkEnd w:id="566"/>
      <w:r w:rsidR="00436A2E" w:rsidRPr="003F46ED">
        <w:rPr>
          <w:bCs/>
        </w:rPr>
        <w:t xml:space="preserve"> </w:t>
      </w:r>
    </w:p>
    <w:p w14:paraId="4C1D9D73" w14:textId="77777777" w:rsidR="007B1D45" w:rsidRPr="003F46ED" w:rsidRDefault="00436A2E" w:rsidP="00B30583">
      <w:pPr>
        <w:rPr>
          <w:rFonts w:ascii="Calibri" w:hAnsi="Calibri"/>
        </w:rPr>
      </w:pPr>
      <w:bookmarkStart w:id="567" w:name="_Toc402180773"/>
      <w:r w:rsidRPr="003F46ED">
        <w:t xml:space="preserve">Conversely, the research project now has the highest number of </w:t>
      </w:r>
      <w:r w:rsidR="003A573A" w:rsidRPr="003F46ED">
        <w:t xml:space="preserve">Year 12 </w:t>
      </w:r>
      <w:r w:rsidRPr="003F46ED">
        <w:t xml:space="preserve">enrolments </w:t>
      </w:r>
      <w:r w:rsidR="003A573A" w:rsidRPr="003F46ED">
        <w:t xml:space="preserve">in </w:t>
      </w:r>
      <w:r w:rsidR="00EB5C58" w:rsidRPr="003F46ED">
        <w:t>SA</w:t>
      </w:r>
      <w:r w:rsidR="003A573A" w:rsidRPr="003F46ED">
        <w:t xml:space="preserve"> because it is compulsory. </w:t>
      </w:r>
      <w:r w:rsidRPr="003F46ED">
        <w:t>This demonstrates how a structural change to senior secondary certification can impact significantly on enrolments in a relatively short time.</w:t>
      </w:r>
      <w:r w:rsidR="004710EB" w:rsidRPr="003F46ED">
        <w:t xml:space="preserve"> </w:t>
      </w:r>
      <w:r w:rsidRPr="003F46ED">
        <w:rPr>
          <w:rFonts w:ascii="Calibri" w:hAnsi="Calibri"/>
        </w:rPr>
        <w:t>For any learning area in Year 12, significant increases in enrolments are unlikely unless the study and certification structure is modified.</w:t>
      </w:r>
      <w:bookmarkEnd w:id="567"/>
    </w:p>
    <w:p w14:paraId="2E7C0F08" w14:textId="77777777" w:rsidR="007B1D45" w:rsidRPr="003F46ED" w:rsidRDefault="00436A2E" w:rsidP="00116C8E">
      <w:pPr>
        <w:pStyle w:val="Heading5"/>
      </w:pPr>
      <w:r w:rsidRPr="003F46ED">
        <w:t>More subjects required for certification = greater likelihood for languages study</w:t>
      </w:r>
    </w:p>
    <w:p w14:paraId="48452513" w14:textId="77777777" w:rsidR="007B1D45" w:rsidRPr="003F46ED" w:rsidRDefault="00436A2E" w:rsidP="00B30583">
      <w:r w:rsidRPr="003F46ED">
        <w:t>Based on Spence-Brown’s</w:t>
      </w:r>
      <w:r w:rsidR="00612319" w:rsidRPr="003F46ED">
        <w:t xml:space="preserve"> (2014)</w:t>
      </w:r>
      <w:r w:rsidRPr="003F46ED">
        <w:t xml:space="preserve"> results, a significantly higher proportion of senior secondary students of Japanese in </w:t>
      </w:r>
      <w:r w:rsidR="00EB5C58" w:rsidRPr="003F46ED">
        <w:t>Qld</w:t>
      </w:r>
      <w:r w:rsidRPr="003F46ED">
        <w:t xml:space="preserve"> and </w:t>
      </w:r>
      <w:r w:rsidR="00EB5C58" w:rsidRPr="003F46ED">
        <w:t>Vic</w:t>
      </w:r>
      <w:r w:rsidRPr="003F46ED">
        <w:t xml:space="preserve"> take six subjects or more for certification than is the case for the general population. It might be that the students are high academic achievers and/or that students are including a language when they can take more subjects.</w:t>
      </w:r>
      <w:r w:rsidR="00EE02A1" w:rsidRPr="003F46ED">
        <w:t xml:space="preserve"> </w:t>
      </w:r>
    </w:p>
    <w:p w14:paraId="282C357C" w14:textId="77777777" w:rsidR="007B1D45" w:rsidRPr="003F46ED" w:rsidRDefault="00EE02A1" w:rsidP="00B30583">
      <w:pPr>
        <w:rPr>
          <w:rFonts w:ascii="Calibri" w:hAnsi="Calibri"/>
        </w:rPr>
      </w:pPr>
      <w:r w:rsidRPr="003F46ED">
        <w:rPr>
          <w:rFonts w:ascii="Calibri" w:hAnsi="Calibri"/>
        </w:rPr>
        <w:t xml:space="preserve">In </w:t>
      </w:r>
      <w:r w:rsidR="00EB5C58" w:rsidRPr="003F46ED">
        <w:rPr>
          <w:rFonts w:ascii="Calibri" w:hAnsi="Calibri"/>
        </w:rPr>
        <w:t>Vic</w:t>
      </w:r>
      <w:r w:rsidRPr="003F46ED">
        <w:rPr>
          <w:rFonts w:ascii="Calibri" w:hAnsi="Calibri"/>
        </w:rPr>
        <w:t xml:space="preserve">, students </w:t>
      </w:r>
      <w:r w:rsidRPr="003F46ED">
        <w:t xml:space="preserve">are </w:t>
      </w:r>
      <w:r w:rsidR="00D56208" w:rsidRPr="003F46ED">
        <w:t>encouraged</w:t>
      </w:r>
      <w:r w:rsidRPr="003F46ED">
        <w:t xml:space="preserve"> to take a fifth and sixth subject using </w:t>
      </w:r>
      <w:proofErr w:type="spellStart"/>
      <w:r w:rsidR="001C4264" w:rsidRPr="003F46ED">
        <w:t>ATAR</w:t>
      </w:r>
      <w:proofErr w:type="spellEnd"/>
      <w:r w:rsidR="001C4264" w:rsidRPr="003F46ED">
        <w:t xml:space="preserve"> </w:t>
      </w:r>
      <w:r w:rsidR="00D56208" w:rsidRPr="003F46ED">
        <w:t>incentives</w:t>
      </w:r>
      <w:r w:rsidRPr="003F46ED">
        <w:t xml:space="preserve">. </w:t>
      </w:r>
      <w:r w:rsidR="00397DF3" w:rsidRPr="003F46ED">
        <w:t>These incentives appear to keep senior secondary languag</w:t>
      </w:r>
      <w:r w:rsidR="004A176A" w:rsidRPr="003F46ED">
        <w:t>es enrolments stable in Vic</w:t>
      </w:r>
      <w:r w:rsidR="00397DF3" w:rsidRPr="003F46ED">
        <w:t xml:space="preserve">, which has the highest proportion of </w:t>
      </w:r>
      <w:r w:rsidR="00780E9B" w:rsidRPr="003F46ED">
        <w:t xml:space="preserve">senior secondary </w:t>
      </w:r>
      <w:r w:rsidR="00397DF3" w:rsidRPr="003F46ED">
        <w:t>students studying languages</w:t>
      </w:r>
      <w:r w:rsidR="00297BB7" w:rsidRPr="003F46ED">
        <w:t xml:space="preserve"> </w:t>
      </w:r>
      <w:r w:rsidR="00A87682" w:rsidRPr="003F46ED">
        <w:t xml:space="preserve">among </w:t>
      </w:r>
      <w:r w:rsidR="00297BB7" w:rsidRPr="003F46ED">
        <w:t xml:space="preserve">all </w:t>
      </w:r>
      <w:r w:rsidR="00A87682" w:rsidRPr="003F46ED">
        <w:t>jurisdictions</w:t>
      </w:r>
      <w:r w:rsidRPr="003F46ED">
        <w:t>.</w:t>
      </w:r>
    </w:p>
    <w:p w14:paraId="55746F49" w14:textId="77777777" w:rsidR="007B1D45" w:rsidRPr="003F46ED" w:rsidRDefault="00EE02A1" w:rsidP="00B30583">
      <w:r w:rsidRPr="003F46ED">
        <w:t>Nevertheless, c</w:t>
      </w:r>
      <w:r w:rsidR="00436A2E" w:rsidRPr="003F46ED">
        <w:t xml:space="preserve">urriculum authorities should be aware of this issue when planning </w:t>
      </w:r>
      <w:r w:rsidR="000F3F78" w:rsidRPr="003F46ED">
        <w:t xml:space="preserve">senior certification </w:t>
      </w:r>
      <w:r w:rsidR="00436A2E" w:rsidRPr="003F46ED">
        <w:t xml:space="preserve">structures. </w:t>
      </w:r>
      <w:r w:rsidR="00744372" w:rsidRPr="003F46ED">
        <w:t>S</w:t>
      </w:r>
      <w:r w:rsidR="00436A2E" w:rsidRPr="003F46ED">
        <w:t>enior secondary students in Australia normally complete a small number of subjects (f</w:t>
      </w:r>
      <w:r w:rsidR="00744372" w:rsidRPr="003F46ED">
        <w:t>our to five) for certification. G</w:t>
      </w:r>
      <w:r w:rsidR="00D92D41" w:rsidRPr="003F46ED">
        <w:t>iven the low uptake of l</w:t>
      </w:r>
      <w:r w:rsidR="00823E0B" w:rsidRPr="003F46ED">
        <w:t>anguages am</w:t>
      </w:r>
      <w:r w:rsidR="006A1B47" w:rsidRPr="003F46ED">
        <w:t>ong learning areas</w:t>
      </w:r>
      <w:r w:rsidR="00AA193D" w:rsidRPr="003F46ED">
        <w:t>,</w:t>
      </w:r>
      <w:r w:rsidR="006A1B47" w:rsidRPr="003F46ED">
        <w:t xml:space="preserve"> it is likely</w:t>
      </w:r>
      <w:r w:rsidR="00823E0B" w:rsidRPr="003F46ED">
        <w:t xml:space="preserve"> that this discourages students from choosing a language</w:t>
      </w:r>
      <w:r w:rsidR="00436A2E" w:rsidRPr="003F46ED">
        <w:t>.</w:t>
      </w:r>
    </w:p>
    <w:p w14:paraId="5DFE9737" w14:textId="77777777" w:rsidR="007B1D45" w:rsidRPr="003F46ED" w:rsidRDefault="00436A2E" w:rsidP="00116C8E">
      <w:pPr>
        <w:pStyle w:val="Heading5"/>
      </w:pPr>
      <w:r w:rsidRPr="003F46ED">
        <w:t>Mandatory languages and other alternatives</w:t>
      </w:r>
    </w:p>
    <w:p w14:paraId="02BB44A2" w14:textId="77777777" w:rsidR="007B1D45" w:rsidRPr="003F46ED" w:rsidRDefault="00436A2E" w:rsidP="00B30583">
      <w:r w:rsidRPr="003F46ED">
        <w:t>Building and sustaining demand through quality teaching and programmes in F</w:t>
      </w:r>
      <w:r w:rsidR="00912DAF" w:rsidRPr="003F46ED">
        <w:t>–</w:t>
      </w:r>
      <w:r w:rsidRPr="003F46ED">
        <w:t>10 is only part of the solution. Increased enrolments in F</w:t>
      </w:r>
      <w:r w:rsidR="00912DAF" w:rsidRPr="003F46ED">
        <w:t>–</w:t>
      </w:r>
      <w:r w:rsidRPr="003F46ED">
        <w:t>10 do not necessarily translate into increased numbers in Years 11 and 12 because of the nature of senior secondary subject choice. This has been observed both internationally and in Australia.</w:t>
      </w:r>
    </w:p>
    <w:p w14:paraId="14FDB3EB" w14:textId="77777777" w:rsidR="007B1D45" w:rsidRPr="003F46ED" w:rsidRDefault="00436A2E" w:rsidP="00B30583">
      <w:r w:rsidRPr="003F46ED">
        <w:t xml:space="preserve">One way to </w:t>
      </w:r>
      <w:r w:rsidR="0026506D" w:rsidRPr="003F46ED">
        <w:t>resolve this issue</w:t>
      </w:r>
      <w:r w:rsidRPr="003F46ED">
        <w:t xml:space="preserve"> would be to make languages mandatory</w:t>
      </w:r>
      <w:r w:rsidR="001F0CF1" w:rsidRPr="003F46ED">
        <w:t xml:space="preserve">, but this requires a paradigm shift in how senior secondary certification structures are designed, moving from a </w:t>
      </w:r>
      <w:r w:rsidR="00034D77" w:rsidRPr="003F46ED">
        <w:t>‘</w:t>
      </w:r>
      <w:r w:rsidR="001F0CF1" w:rsidRPr="003F46ED">
        <w:t>diversity of choice</w:t>
      </w:r>
      <w:r w:rsidR="00F64259" w:rsidRPr="003F46ED">
        <w:t xml:space="preserve"> for a </w:t>
      </w:r>
      <w:r w:rsidR="00F64259" w:rsidRPr="003F46ED">
        <w:lastRenderedPageBreak/>
        <w:t>diversity of learners</w:t>
      </w:r>
      <w:r w:rsidR="00034D77" w:rsidRPr="003F46ED">
        <w:t>’</w:t>
      </w:r>
      <w:r w:rsidR="00F64259" w:rsidRPr="003F46ED">
        <w:t xml:space="preserve"> view to </w:t>
      </w:r>
      <w:r w:rsidR="00776DCA" w:rsidRPr="003F46ED">
        <w:t xml:space="preserve">a view of </w:t>
      </w:r>
      <w:r w:rsidR="00512CB1" w:rsidRPr="003F46ED">
        <w:t>education that is in</w:t>
      </w:r>
      <w:r w:rsidR="00F64259" w:rsidRPr="003F46ED">
        <w:t xml:space="preserve"> the nation</w:t>
      </w:r>
      <w:r w:rsidR="00034D77" w:rsidRPr="003F46ED">
        <w:t>al</w:t>
      </w:r>
      <w:r w:rsidR="008B251D" w:rsidRPr="003F46ED">
        <w:t xml:space="preserve"> interest (as in many high-</w:t>
      </w:r>
      <w:r w:rsidR="00F64259" w:rsidRPr="003F46ED">
        <w:t xml:space="preserve">performing </w:t>
      </w:r>
      <w:r w:rsidR="008B251D" w:rsidRPr="003F46ED">
        <w:t>education systems internationally</w:t>
      </w:r>
      <w:r w:rsidR="00F64259" w:rsidRPr="003F46ED">
        <w:t>)</w:t>
      </w:r>
      <w:r w:rsidRPr="003F46ED">
        <w:t xml:space="preserve">. </w:t>
      </w:r>
    </w:p>
    <w:p w14:paraId="71501978" w14:textId="77777777" w:rsidR="007B1D45" w:rsidRPr="003F46ED" w:rsidRDefault="003714F9" w:rsidP="00B30583">
      <w:r w:rsidRPr="003F46ED">
        <w:t>A similar shift is needed</w:t>
      </w:r>
      <w:r w:rsidR="00776DCA" w:rsidRPr="003F46ED">
        <w:t xml:space="preserve"> if languages were </w:t>
      </w:r>
      <w:r w:rsidRPr="003F46ED">
        <w:t xml:space="preserve">to be </w:t>
      </w:r>
      <w:r w:rsidR="00776DCA" w:rsidRPr="003F46ED">
        <w:t xml:space="preserve">made compulsory for entry into tertiary education courses. </w:t>
      </w:r>
      <w:r w:rsidR="008B251D" w:rsidRPr="003F46ED">
        <w:t>It is unlikely that such</w:t>
      </w:r>
      <w:r w:rsidR="00862E52" w:rsidRPr="003F46ED">
        <w:t xml:space="preserve"> paradigm shift</w:t>
      </w:r>
      <w:r w:rsidR="008B251D" w:rsidRPr="003F46ED">
        <w:t>s</w:t>
      </w:r>
      <w:r w:rsidR="00862E52" w:rsidRPr="003F46ED">
        <w:t xml:space="preserve"> will occur any time soon in Australia.</w:t>
      </w:r>
      <w:r w:rsidR="008B251D" w:rsidRPr="003F46ED">
        <w:t xml:space="preserve"> </w:t>
      </w:r>
      <w:r w:rsidR="00D537CB" w:rsidRPr="003F46ED">
        <w:t>E</w:t>
      </w:r>
      <w:r w:rsidR="008B251D" w:rsidRPr="003F46ED">
        <w:t xml:space="preserve">ven if </w:t>
      </w:r>
      <w:r w:rsidR="00ED0534" w:rsidRPr="003F46ED">
        <w:t xml:space="preserve">jurisdictions were willing </w:t>
      </w:r>
      <w:r w:rsidR="008B251D" w:rsidRPr="003F46ED">
        <w:t xml:space="preserve">to </w:t>
      </w:r>
      <w:r w:rsidR="00ED0534" w:rsidRPr="003F46ED">
        <w:t xml:space="preserve">explore or </w:t>
      </w:r>
      <w:r w:rsidR="008B251D" w:rsidRPr="003F46ED">
        <w:t xml:space="preserve">pursue such shifts, significant </w:t>
      </w:r>
      <w:r w:rsidR="00ED0534" w:rsidRPr="003F46ED">
        <w:t>lead-time</w:t>
      </w:r>
      <w:r w:rsidR="008B251D" w:rsidRPr="003F46ED">
        <w:t xml:space="preserve"> and support for implementation would be critical</w:t>
      </w:r>
      <w:r w:rsidR="00ED0534" w:rsidRPr="003F46ED">
        <w:t>.</w:t>
      </w:r>
    </w:p>
    <w:p w14:paraId="50774EBD" w14:textId="77777777" w:rsidR="007B1D45" w:rsidRPr="003F46ED" w:rsidRDefault="00436A2E" w:rsidP="00B30583">
      <w:r w:rsidRPr="003F46ED">
        <w:t>Many high performing nations have mandatory languages at senior secondary</w:t>
      </w:r>
      <w:r w:rsidR="00241BDD" w:rsidRPr="003F46ED">
        <w:t xml:space="preserve"> level</w:t>
      </w:r>
      <w:r w:rsidRPr="003F46ED">
        <w:t xml:space="preserve">. In </w:t>
      </w:r>
      <w:r w:rsidR="00A73238" w:rsidRPr="003F46ED">
        <w:t xml:space="preserve">European </w:t>
      </w:r>
      <w:r w:rsidRPr="003F46ED">
        <w:t xml:space="preserve">countries where this is not occurring </w:t>
      </w:r>
      <w:r w:rsidR="00241BDD" w:rsidRPr="003F46ED">
        <w:t>(e.g. the United Kingdom)</w:t>
      </w:r>
      <w:r w:rsidRPr="003F46ED">
        <w:t xml:space="preserve"> the focus is on possible modifications to senior secondary structures. </w:t>
      </w:r>
    </w:p>
    <w:p w14:paraId="08B7277F" w14:textId="77777777" w:rsidR="007B1D45" w:rsidRPr="003F46ED" w:rsidRDefault="00733E90" w:rsidP="00B30583">
      <w:r w:rsidRPr="003F46ED">
        <w:t xml:space="preserve">Certification </w:t>
      </w:r>
      <w:r w:rsidR="00A73238" w:rsidRPr="003F46ED">
        <w:t>mechanisms</w:t>
      </w:r>
      <w:r w:rsidR="00512CB1" w:rsidRPr="003F46ED">
        <w:t xml:space="preserve"> (at senior secondary and tertiary level)</w:t>
      </w:r>
      <w:r w:rsidRPr="003F46ED">
        <w:t xml:space="preserve"> appear to be the </w:t>
      </w:r>
      <w:r w:rsidRPr="003F46ED">
        <w:rPr>
          <w:i/>
        </w:rPr>
        <w:t>most powerful lever</w:t>
      </w:r>
      <w:r w:rsidRPr="003F46ED">
        <w:t xml:space="preserve"> in influencing language enrolments at senior secondary level. Where language</w:t>
      </w:r>
      <w:r w:rsidR="006763AD" w:rsidRPr="003F46ED">
        <w:t>s</w:t>
      </w:r>
      <w:r w:rsidRPr="003F46ED">
        <w:t xml:space="preserve"> </w:t>
      </w:r>
      <w:r w:rsidR="006763AD" w:rsidRPr="003F46ED">
        <w:t>are</w:t>
      </w:r>
      <w:r w:rsidRPr="003F46ED">
        <w:t xml:space="preserve"> required to be certified and/or gain </w:t>
      </w:r>
      <w:r w:rsidR="006763AD" w:rsidRPr="003F46ED">
        <w:t xml:space="preserve">tertiary </w:t>
      </w:r>
      <w:r w:rsidRPr="003F46ED">
        <w:t>entrance, then retention is not an issue. But, where it is not, as in Australia, other</w:t>
      </w:r>
      <w:r w:rsidR="003217D1" w:rsidRPr="003F46ED">
        <w:t xml:space="preserve"> certification-related</w:t>
      </w:r>
      <w:r w:rsidRPr="003F46ED">
        <w:t xml:space="preserve"> mechanisms will be required.</w:t>
      </w:r>
    </w:p>
    <w:p w14:paraId="54538337" w14:textId="77777777" w:rsidR="007B1D45" w:rsidRPr="003F46ED" w:rsidRDefault="00436A2E" w:rsidP="00B30583">
      <w:r w:rsidRPr="003F46ED">
        <w:t>Special certification/recognition may be a possible path given the current context of senior secondary</w:t>
      </w:r>
      <w:r w:rsidR="00FD4B7D" w:rsidRPr="003F46ED">
        <w:t xml:space="preserve"> education</w:t>
      </w:r>
      <w:r w:rsidRPr="003F46ED">
        <w:t xml:space="preserve"> in Australia. A useful example is the new </w:t>
      </w:r>
      <w:proofErr w:type="spellStart"/>
      <w:r w:rsidRPr="003F46ED">
        <w:t>VCE</w:t>
      </w:r>
      <w:proofErr w:type="spellEnd"/>
      <w:r w:rsidRPr="003F46ED">
        <w:t xml:space="preserve"> (Baccalaureate), similar in some ways to the English Baccalaureate, which recognises study and achievement in a language</w:t>
      </w:r>
      <w:r w:rsidR="002A0F38" w:rsidRPr="003F46ED">
        <w:t xml:space="preserve"> (and higher level mathematics)</w:t>
      </w:r>
      <w:r w:rsidRPr="003F46ED">
        <w:t xml:space="preserve"> within the current certification framework. A vocational version of the </w:t>
      </w:r>
      <w:proofErr w:type="spellStart"/>
      <w:r w:rsidRPr="003F46ED">
        <w:t>VCE</w:t>
      </w:r>
      <w:proofErr w:type="spellEnd"/>
      <w:r w:rsidRPr="003F46ED">
        <w:t xml:space="preserve"> (Baccalaureate) model could be considered.</w:t>
      </w:r>
      <w:r w:rsidR="00733E90" w:rsidRPr="003F46ED">
        <w:t xml:space="preserve"> </w:t>
      </w:r>
    </w:p>
    <w:p w14:paraId="2E0CBA03" w14:textId="77777777" w:rsidR="007B1D45" w:rsidRPr="003F46ED" w:rsidRDefault="00733E90" w:rsidP="00B30583">
      <w:r w:rsidRPr="003F46ED">
        <w:t xml:space="preserve">Initial anecdotal evidence suggests that the </w:t>
      </w:r>
      <w:proofErr w:type="spellStart"/>
      <w:r w:rsidRPr="003F46ED">
        <w:t>VCE</w:t>
      </w:r>
      <w:proofErr w:type="spellEnd"/>
      <w:r w:rsidRPr="003F46ED">
        <w:t xml:space="preserve"> (Baccalaureate) is encouraging academically high achievers to take a languages subject.</w:t>
      </w:r>
      <w:r w:rsidR="005C47BB" w:rsidRPr="003F46ED">
        <w:t xml:space="preserve"> But it remains to be seen how it will be recognised by the tertiary education sector</w:t>
      </w:r>
      <w:r w:rsidR="007B0F1C" w:rsidRPr="003F46ED">
        <w:t>,</w:t>
      </w:r>
      <w:r w:rsidR="005C47BB" w:rsidRPr="003F46ED">
        <w:t xml:space="preserve"> both nationally and internationally.</w:t>
      </w:r>
    </w:p>
    <w:p w14:paraId="3BE21F08" w14:textId="77777777" w:rsidR="007B1D45" w:rsidRPr="003F46ED" w:rsidRDefault="00436A2E" w:rsidP="00116C8E">
      <w:pPr>
        <w:pStyle w:val="Heading5"/>
      </w:pPr>
      <w:r w:rsidRPr="003F46ED">
        <w:t>Incentives, scaling and eligibility</w:t>
      </w:r>
    </w:p>
    <w:p w14:paraId="18150B1E" w14:textId="77777777" w:rsidR="007B1D45" w:rsidRPr="003F46ED" w:rsidRDefault="00436A2E" w:rsidP="00B30583">
      <w:r w:rsidRPr="003F46ED">
        <w:t xml:space="preserve">Related to senior secondary certification are the issues of incentives (for language learning), scaling and eligibility. </w:t>
      </w:r>
      <w:r w:rsidR="00823A28" w:rsidRPr="003F46ED">
        <w:t>T</w:t>
      </w:r>
      <w:r w:rsidRPr="003F46ED">
        <w:t>hese are complex and their perceived and/or real impacts on student retention in languages at Years 11 and 12 remain unclear</w:t>
      </w:r>
      <w:r w:rsidR="00A66500" w:rsidRPr="003F46ED">
        <w:t xml:space="preserve"> (</w:t>
      </w:r>
      <w:r w:rsidR="00823A28" w:rsidRPr="003F46ED">
        <w:t>Kohler &amp; Curnow, 2014)</w:t>
      </w:r>
      <w:r w:rsidRPr="003F46ED">
        <w:t>.</w:t>
      </w:r>
    </w:p>
    <w:p w14:paraId="26E36519" w14:textId="77777777" w:rsidR="007B1D45" w:rsidRPr="003F46ED" w:rsidRDefault="00761110" w:rsidP="00B30583">
      <w:r w:rsidRPr="003F46ED">
        <w:t>The c</w:t>
      </w:r>
      <w:r w:rsidR="00436A2E" w:rsidRPr="003F46ED">
        <w:t>onsultations revealed general support for exploring ways to revisit how languages study at Years 11 and 12 can be incentivised. Views on the use of incentives differed depending on how effective these have been to increase enrolment numbers in particular jurisdictions. Nonetheless, incre</w:t>
      </w:r>
      <w:r w:rsidR="000C3786" w:rsidRPr="003F46ED">
        <w:t xml:space="preserve">ases as a result of incentives – </w:t>
      </w:r>
      <w:r w:rsidR="00436A2E" w:rsidRPr="003F46ED">
        <w:t>most</w:t>
      </w:r>
      <w:r w:rsidR="000C3786" w:rsidRPr="003F46ED">
        <w:t xml:space="preserve"> </w:t>
      </w:r>
      <w:r w:rsidR="00436A2E" w:rsidRPr="003F46ED">
        <w:t xml:space="preserve">commonly </w:t>
      </w:r>
      <w:proofErr w:type="spellStart"/>
      <w:r w:rsidR="00436A2E" w:rsidRPr="003F46ED">
        <w:t>ATAR</w:t>
      </w:r>
      <w:proofErr w:type="spellEnd"/>
      <w:r w:rsidR="00436A2E" w:rsidRPr="003F46ED">
        <w:t xml:space="preserve"> bonuses</w:t>
      </w:r>
      <w:r w:rsidR="000C3786" w:rsidRPr="003F46ED">
        <w:t>, but</w:t>
      </w:r>
      <w:r w:rsidR="00737C12" w:rsidRPr="003F46ED">
        <w:t xml:space="preserve"> they</w:t>
      </w:r>
      <w:r w:rsidR="000C3786" w:rsidRPr="003F46ED">
        <w:t xml:space="preserve"> can also include special certification, subsidised course costs and credit towards a university degree –</w:t>
      </w:r>
      <w:r w:rsidR="00436A2E" w:rsidRPr="003F46ED">
        <w:t xml:space="preserve"> </w:t>
      </w:r>
      <w:r w:rsidR="000C3786" w:rsidRPr="003F46ED">
        <w:t xml:space="preserve">appear to </w:t>
      </w:r>
      <w:r w:rsidR="00436A2E" w:rsidRPr="003F46ED">
        <w:t>have been minor for languages</w:t>
      </w:r>
      <w:r w:rsidR="003F7E20" w:rsidRPr="003F46ED">
        <w:t xml:space="preserve"> </w:t>
      </w:r>
      <w:r w:rsidR="00436A2E" w:rsidRPr="003F46ED">
        <w:t>nationwide.</w:t>
      </w:r>
      <w:r w:rsidR="00F67A67" w:rsidRPr="003F46ED">
        <w:t xml:space="preserve"> </w:t>
      </w:r>
      <w:r w:rsidR="000C3786" w:rsidRPr="003F46ED">
        <w:t>However, based on this research, it is likely that incentives are useful for boosting enrolment numbers when</w:t>
      </w:r>
      <w:r w:rsidR="00F67A67" w:rsidRPr="003F46ED">
        <w:t xml:space="preserve"> </w:t>
      </w:r>
      <w:r w:rsidR="00F67A67" w:rsidRPr="003F46ED">
        <w:rPr>
          <w:i/>
        </w:rPr>
        <w:t>combined with</w:t>
      </w:r>
      <w:r w:rsidR="00F67A67" w:rsidRPr="003F46ED">
        <w:t xml:space="preserve"> revisions to senior secondary certification structures (e.g. the Victorian example).</w:t>
      </w:r>
    </w:p>
    <w:p w14:paraId="282E1F16" w14:textId="77777777" w:rsidR="007B1D45" w:rsidRPr="003F46ED" w:rsidRDefault="00436A2E" w:rsidP="00B30583">
      <w:r w:rsidRPr="003F46ED">
        <w:t xml:space="preserve">Each state and territory is independently responsible for developing a way of generating students’ </w:t>
      </w:r>
      <w:proofErr w:type="spellStart"/>
      <w:r w:rsidRPr="003F46ED">
        <w:t>ATAR</w:t>
      </w:r>
      <w:proofErr w:type="spellEnd"/>
      <w:r w:rsidRPr="003F46ED">
        <w:t>. The details of scaling for each system are complex. In terms of senior secondary languages, the issue is whether students in Australia perceive scaling as a factor in choosing to study, or not study, a language in Years 11 and 12. No research specifically on this topic has been published and its influence remains unclear</w:t>
      </w:r>
      <w:r w:rsidR="00A66500" w:rsidRPr="003F46ED">
        <w:t xml:space="preserve"> (</w:t>
      </w:r>
      <w:r w:rsidR="00FF3547" w:rsidRPr="003F46ED">
        <w:t>Kohler &amp; Curnow, 2014)</w:t>
      </w:r>
      <w:r w:rsidRPr="003F46ED">
        <w:t>.</w:t>
      </w:r>
    </w:p>
    <w:p w14:paraId="0C65AA4D" w14:textId="77777777" w:rsidR="007B1D45" w:rsidRPr="003F46ED" w:rsidRDefault="00436A2E" w:rsidP="00B30583">
      <w:r w:rsidRPr="003F46ED">
        <w:t>Eligibility criteria used to include/exclude learners from particular types of courses is an issue for some jurisdictions (e.g. WA) but not others (e.g. NSW), and has been mainly an issue for Chinese language.</w:t>
      </w:r>
      <w:r w:rsidR="0010458B" w:rsidRPr="003F46ED">
        <w:t xml:space="preserve"> Criteria were designed</w:t>
      </w:r>
      <w:r w:rsidR="00E8632B" w:rsidRPr="003F46ED">
        <w:t xml:space="preserve"> initially</w:t>
      </w:r>
      <w:r w:rsidR="0010458B" w:rsidRPr="003F46ED">
        <w:t xml:space="preserve"> to address equity and fairness, and to recognise learners’ linguistic and cultural capital. It remains </w:t>
      </w:r>
      <w:r w:rsidRPr="003F46ED">
        <w:t xml:space="preserve">unclear whether </w:t>
      </w:r>
      <w:r w:rsidR="00512D95" w:rsidRPr="003F46ED">
        <w:t>students</w:t>
      </w:r>
      <w:r w:rsidRPr="003F46ED">
        <w:t xml:space="preserve"> perceive</w:t>
      </w:r>
      <w:r w:rsidR="00512D95" w:rsidRPr="003F46ED">
        <w:t xml:space="preserve"> it</w:t>
      </w:r>
      <w:r w:rsidRPr="003F46ED">
        <w:t xml:space="preserve"> as a barrier or an enabler</w:t>
      </w:r>
      <w:r w:rsidR="00A66500" w:rsidRPr="003F46ED">
        <w:t xml:space="preserve"> (Kohler &amp; Curnow, 2014)</w:t>
      </w:r>
      <w:r w:rsidRPr="003F46ED">
        <w:t xml:space="preserve">, perhaps a case-by-case matter. </w:t>
      </w:r>
    </w:p>
    <w:p w14:paraId="2BE1755D" w14:textId="77777777" w:rsidR="007B1D45" w:rsidRPr="003F46ED" w:rsidRDefault="00436A2E" w:rsidP="00B30583">
      <w:r w:rsidRPr="003F46ED">
        <w:lastRenderedPageBreak/>
        <w:t>While eligibility criteria impact on certain language courses,</w:t>
      </w:r>
      <w:r w:rsidR="005B7A73" w:rsidRPr="003F46ED">
        <w:t xml:space="preserve"> especially Mandarin Chinese,</w:t>
      </w:r>
      <w:r w:rsidRPr="003F46ED">
        <w:t xml:space="preserve"> it </w:t>
      </w:r>
      <w:r w:rsidR="001D0D63" w:rsidRPr="003F46ED">
        <w:t>seems to have had</w:t>
      </w:r>
      <w:r w:rsidRPr="003F46ED">
        <w:t xml:space="preserve"> little to no impact on languages enrolments on a macro scale. The Australian Curriculum: Languages </w:t>
      </w:r>
      <w:r w:rsidR="00977CBD" w:rsidRPr="003F46ED">
        <w:t>(F</w:t>
      </w:r>
      <w:r w:rsidR="00912DAF" w:rsidRPr="003F46ED">
        <w:t>–</w:t>
      </w:r>
      <w:r w:rsidR="00977CBD" w:rsidRPr="003F46ED">
        <w:t xml:space="preserve">10) </w:t>
      </w:r>
      <w:r w:rsidRPr="003F46ED">
        <w:t>specifies learners as second language learners, background language learners and first language learners. It remains to be seen how its implementation impacts on national enrolment numbers in senior secondary.</w:t>
      </w:r>
    </w:p>
    <w:p w14:paraId="20832925" w14:textId="77777777" w:rsidR="007B1D45" w:rsidRPr="003F46ED" w:rsidRDefault="00436A2E" w:rsidP="00116C8E">
      <w:pPr>
        <w:pStyle w:val="Heading5"/>
      </w:pPr>
      <w:bookmarkStart w:id="568" w:name="_Toc402180774"/>
      <w:r w:rsidRPr="003F46ED">
        <w:t>Fluctuating enrolments: cause and effect</w:t>
      </w:r>
      <w:bookmarkEnd w:id="568"/>
      <w:r w:rsidRPr="003F46ED">
        <w:t xml:space="preserve"> </w:t>
      </w:r>
    </w:p>
    <w:p w14:paraId="19F6F807" w14:textId="77777777" w:rsidR="007B1D45" w:rsidRPr="003F46ED" w:rsidRDefault="004E6EA1" w:rsidP="00B30583">
      <w:pPr>
        <w:rPr>
          <w:rFonts w:cs="Calibri"/>
          <w:bCs/>
        </w:rPr>
      </w:pPr>
      <w:bookmarkStart w:id="569" w:name="_Toc402180775"/>
      <w:r w:rsidRPr="003F46ED">
        <w:t xml:space="preserve">As </w:t>
      </w:r>
      <w:r w:rsidR="007D2D07" w:rsidRPr="003F46ED">
        <w:t>highlighted</w:t>
      </w:r>
      <w:r w:rsidRPr="003F46ED">
        <w:t xml:space="preserve"> previous</w:t>
      </w:r>
      <w:r w:rsidR="00FB4057" w:rsidRPr="003F46ED">
        <w:t>ly</w:t>
      </w:r>
      <w:r w:rsidRPr="003F46ED">
        <w:t>, fluctuating enrolments in particular languages (especially the six most popular at Year 12, Japanese, F</w:t>
      </w:r>
      <w:r w:rsidR="00817FCD" w:rsidRPr="003F46ED">
        <w:t>rench, Italian, Chinese, German</w:t>
      </w:r>
      <w:r w:rsidRPr="003F46ED">
        <w:t xml:space="preserve"> and Indonesian)</w:t>
      </w:r>
      <w:r w:rsidRPr="003F46ED">
        <w:rPr>
          <w:rFonts w:cs="Calibri"/>
          <w:bCs/>
        </w:rPr>
        <w:t xml:space="preserve"> appear to correlate</w:t>
      </w:r>
      <w:r w:rsidR="00913A37" w:rsidRPr="003F46ED">
        <w:rPr>
          <w:rFonts w:cs="Calibri"/>
          <w:bCs/>
        </w:rPr>
        <w:t xml:space="preserve"> </w:t>
      </w:r>
      <w:r w:rsidRPr="003F46ED">
        <w:rPr>
          <w:rFonts w:cs="Calibri"/>
          <w:bCs/>
        </w:rPr>
        <w:t>along the lines of European and Asian languages</w:t>
      </w:r>
      <w:r w:rsidR="0056615F" w:rsidRPr="003F46ED">
        <w:rPr>
          <w:rFonts w:cs="Calibri"/>
          <w:bCs/>
        </w:rPr>
        <w:t xml:space="preserve">. The </w:t>
      </w:r>
      <w:proofErr w:type="spellStart"/>
      <w:r w:rsidR="0056615F" w:rsidRPr="003F46ED">
        <w:rPr>
          <w:rFonts w:cs="Calibri"/>
          <w:bCs/>
        </w:rPr>
        <w:t>NALSSP</w:t>
      </w:r>
      <w:proofErr w:type="spellEnd"/>
      <w:r w:rsidR="0056615F" w:rsidRPr="003F46ED">
        <w:rPr>
          <w:rFonts w:cs="Calibri"/>
          <w:bCs/>
        </w:rPr>
        <w:t xml:space="preserve"> period (2008</w:t>
      </w:r>
      <w:r w:rsidR="00912DAF" w:rsidRPr="003F46ED">
        <w:rPr>
          <w:rFonts w:cs="Calibri"/>
          <w:bCs/>
        </w:rPr>
        <w:t>–</w:t>
      </w:r>
      <w:r w:rsidR="0056615F" w:rsidRPr="003F46ED">
        <w:rPr>
          <w:rFonts w:cs="Calibri"/>
          <w:bCs/>
        </w:rPr>
        <w:t>2012) is a good example of this</w:t>
      </w:r>
      <w:r w:rsidR="00586DB7" w:rsidRPr="003F46ED">
        <w:rPr>
          <w:rFonts w:cs="Calibri"/>
          <w:bCs/>
        </w:rPr>
        <w:t>,</w:t>
      </w:r>
      <w:r w:rsidRPr="003F46ED">
        <w:rPr>
          <w:rFonts w:cs="Calibri"/>
          <w:bCs/>
        </w:rPr>
        <w:t xml:space="preserve"> </w:t>
      </w:r>
      <w:r w:rsidR="00586DB7" w:rsidRPr="003F46ED">
        <w:rPr>
          <w:bCs/>
        </w:rPr>
        <w:t>with</w:t>
      </w:r>
      <w:r w:rsidRPr="003F46ED">
        <w:rPr>
          <w:bCs/>
        </w:rPr>
        <w:t xml:space="preserve"> </w:t>
      </w:r>
      <w:r w:rsidR="00891E1C" w:rsidRPr="003F46ED">
        <w:rPr>
          <w:bCs/>
        </w:rPr>
        <w:t>in</w:t>
      </w:r>
      <w:r w:rsidR="00891E1C" w:rsidRPr="003F46ED">
        <w:t>creased enrolments in</w:t>
      </w:r>
      <w:r w:rsidR="00586DB7" w:rsidRPr="003F46ED">
        <w:t xml:space="preserve"> one or more languages correlating</w:t>
      </w:r>
      <w:r w:rsidRPr="003F46ED">
        <w:t xml:space="preserve"> with decreases in others. </w:t>
      </w:r>
      <w:r w:rsidRPr="003F46ED">
        <w:rPr>
          <w:bCs/>
        </w:rPr>
        <w:t xml:space="preserve">From a macro perspective, programme funding for specific languages seems only to have redistributed enrolments among different languages. It has resulted in miniscule change to senior secondary </w:t>
      </w:r>
      <w:r w:rsidR="008F0DF1" w:rsidRPr="003F46ED">
        <w:rPr>
          <w:bCs/>
        </w:rPr>
        <w:t>languages enrolments nationally.</w:t>
      </w:r>
      <w:bookmarkEnd w:id="569"/>
    </w:p>
    <w:p w14:paraId="3B6FF3C3" w14:textId="77777777" w:rsidR="007B1D45" w:rsidRPr="003F46ED" w:rsidRDefault="00DB11EB" w:rsidP="00B30583">
      <w:bookmarkStart w:id="570" w:name="_Toc402180776"/>
      <w:r w:rsidRPr="003F46ED">
        <w:rPr>
          <w:rFonts w:cs="Calibri"/>
        </w:rPr>
        <w:t xml:space="preserve">Of note is how </w:t>
      </w:r>
      <w:r w:rsidR="004E6EA1" w:rsidRPr="003F46ED">
        <w:t>Indonesian enrolments continue</w:t>
      </w:r>
      <w:r w:rsidRPr="003F46ED">
        <w:t xml:space="preserve">d to decline </w:t>
      </w:r>
      <w:r w:rsidR="002156E9" w:rsidRPr="003F46ED">
        <w:t xml:space="preserve">during </w:t>
      </w:r>
      <w:proofErr w:type="spellStart"/>
      <w:r w:rsidRPr="003F46ED">
        <w:t>NALSSP</w:t>
      </w:r>
      <w:proofErr w:type="spellEnd"/>
      <w:r w:rsidRPr="003F46ED">
        <w:t xml:space="preserve">. </w:t>
      </w:r>
      <w:proofErr w:type="spellStart"/>
      <w:r w:rsidR="004E6EA1" w:rsidRPr="003F46ED">
        <w:t>DFAT</w:t>
      </w:r>
      <w:proofErr w:type="spellEnd"/>
      <w:r w:rsidR="004E6EA1" w:rsidRPr="003F46ED">
        <w:t xml:space="preserve"> travel warnings to Indonesia remained in place throughout this period</w:t>
      </w:r>
      <w:r w:rsidR="002156E9" w:rsidRPr="003F46ED">
        <w:t>, demonstrating</w:t>
      </w:r>
      <w:r w:rsidR="004E6EA1" w:rsidRPr="003F46ED">
        <w:t xml:space="preserve"> how the broader </w:t>
      </w:r>
      <w:r w:rsidR="00A802B5" w:rsidRPr="003F46ED">
        <w:t>socio</w:t>
      </w:r>
      <w:r w:rsidR="008D5651" w:rsidRPr="003F46ED">
        <w:t>-</w:t>
      </w:r>
      <w:r w:rsidR="00A802B5" w:rsidRPr="003F46ED">
        <w:t>political</w:t>
      </w:r>
      <w:r w:rsidR="004E6EA1" w:rsidRPr="003F46ED">
        <w:t xml:space="preserve"> context can impact significantly on languages education.</w:t>
      </w:r>
      <w:bookmarkEnd w:id="570"/>
    </w:p>
    <w:p w14:paraId="5611FDC3" w14:textId="77777777" w:rsidR="007B1D45" w:rsidRPr="003F46ED" w:rsidRDefault="00436A2E" w:rsidP="00116C8E">
      <w:pPr>
        <w:pStyle w:val="Heading4"/>
      </w:pPr>
      <w:r w:rsidRPr="003F46ED">
        <w:t>Access issues</w:t>
      </w:r>
    </w:p>
    <w:p w14:paraId="583A85EA" w14:textId="77777777" w:rsidR="007B1D45" w:rsidRPr="003F46ED" w:rsidRDefault="00436A2E" w:rsidP="00116C8E">
      <w:pPr>
        <w:pStyle w:val="Heading5"/>
      </w:pPr>
      <w:r w:rsidRPr="003F46ED">
        <w:t>Languages for all students</w:t>
      </w:r>
    </w:p>
    <w:p w14:paraId="52663B1D" w14:textId="0B4103C6" w:rsidR="00436A2E" w:rsidRPr="003F46ED" w:rsidRDefault="00436A2E" w:rsidP="00B30583">
      <w:r w:rsidRPr="003F46ED">
        <w:t xml:space="preserve">It is a reasonable expectation for a high quality education system that any student who wants to access language study at senior secondary level can do so. </w:t>
      </w:r>
      <w:r w:rsidR="00CB6B22" w:rsidRPr="003F46ED">
        <w:t>Yet, l</w:t>
      </w:r>
      <w:r w:rsidRPr="003F46ED">
        <w:t xml:space="preserve">anguages are typically seen as an area for the academically inclined and socio-economically privileged. </w:t>
      </w:r>
      <w:r w:rsidR="00995E7A" w:rsidRPr="003F46ED">
        <w:t>As mentioned previously, t</w:t>
      </w:r>
      <w:r w:rsidRPr="003F46ED">
        <w:t>he most likely profile of a language learner includes characteristics such as high SES, high achievement in literacy and numeracy, and attending an Independent school in a capital city</w:t>
      </w:r>
      <w:r w:rsidR="00CA5526" w:rsidRPr="003F46ED">
        <w:t xml:space="preserve"> (Fullarton &amp; </w:t>
      </w:r>
      <w:proofErr w:type="spellStart"/>
      <w:r w:rsidR="00CA5526" w:rsidRPr="003F46ED">
        <w:t>Ainley</w:t>
      </w:r>
      <w:proofErr w:type="spellEnd"/>
      <w:r w:rsidR="00CA5526" w:rsidRPr="003F46ED">
        <w:t>, 2000)</w:t>
      </w:r>
      <w:r w:rsidRPr="003F46ED">
        <w:t xml:space="preserve">. </w:t>
      </w:r>
    </w:p>
    <w:p w14:paraId="4FADEBE6" w14:textId="77777777" w:rsidR="007B1D45" w:rsidRPr="003F46ED" w:rsidRDefault="00284AA9" w:rsidP="00B30583">
      <w:r w:rsidRPr="003F46ED">
        <w:t xml:space="preserve">Fullarton &amp; </w:t>
      </w:r>
      <w:proofErr w:type="spellStart"/>
      <w:r w:rsidRPr="003F46ED">
        <w:t>Ainley</w:t>
      </w:r>
      <w:r w:rsidR="005B4B84" w:rsidRPr="003F46ED">
        <w:t>’s</w:t>
      </w:r>
      <w:proofErr w:type="spellEnd"/>
      <w:r w:rsidRPr="003F46ED">
        <w:t xml:space="preserve"> (2000)</w:t>
      </w:r>
      <w:r w:rsidR="00436A2E" w:rsidRPr="003F46ED">
        <w:t xml:space="preserve"> data signals a problem with equity of access</w:t>
      </w:r>
      <w:r w:rsidR="00995E7A" w:rsidRPr="003F46ED">
        <w:t xml:space="preserve"> and</w:t>
      </w:r>
      <w:r w:rsidR="006019CF" w:rsidRPr="003F46ED">
        <w:t>/or</w:t>
      </w:r>
      <w:r w:rsidR="00995E7A" w:rsidRPr="003F46ED">
        <w:t xml:space="preserve"> disproportionate </w:t>
      </w:r>
      <w:r w:rsidR="006019CF" w:rsidRPr="003F46ED">
        <w:t>student demand</w:t>
      </w:r>
      <w:r w:rsidR="00436A2E" w:rsidRPr="003F46ED">
        <w:t xml:space="preserve"> on several fronts, notably</w:t>
      </w:r>
      <w:r w:rsidR="009E499C" w:rsidRPr="003F46ED">
        <w:t xml:space="preserve"> S</w:t>
      </w:r>
      <w:r w:rsidR="00436A2E" w:rsidRPr="003F46ED">
        <w:t>ES and geo-location</w:t>
      </w:r>
      <w:r w:rsidR="007774B5" w:rsidRPr="003F46ED">
        <w:t xml:space="preserve"> (often intertwined)</w:t>
      </w:r>
      <w:r w:rsidR="009E499C" w:rsidRPr="003F46ED">
        <w:t>,</w:t>
      </w:r>
      <w:r w:rsidR="00436A2E" w:rsidRPr="003F46ED">
        <w:t xml:space="preserve"> the level and nature of students’ academic achievement</w:t>
      </w:r>
      <w:r w:rsidR="007774B5" w:rsidRPr="003F46ED">
        <w:t xml:space="preserve"> (i.e. high achievers in academic courses)</w:t>
      </w:r>
      <w:r w:rsidR="00436A2E" w:rsidRPr="003F46ED">
        <w:t xml:space="preserve"> </w:t>
      </w:r>
      <w:r w:rsidR="00453AF9" w:rsidRPr="003F46ED">
        <w:t xml:space="preserve">and </w:t>
      </w:r>
      <w:r w:rsidR="00436A2E" w:rsidRPr="003F46ED">
        <w:t xml:space="preserve">school sector. The typical language learner at senior secondary also tends to be female and with parents born overseas (from a non-English speaking country of birth). Work can be done on conveying the message that learning languages is potentially for everyone, regardless of gender, background, geo-location and academic/vocational inclination. </w:t>
      </w:r>
      <w:r w:rsidR="008116A0" w:rsidRPr="003F46ED">
        <w:t>For example</w:t>
      </w:r>
      <w:r w:rsidR="00FA5EDB" w:rsidRPr="003F46ED">
        <w:t xml:space="preserve">, </w:t>
      </w:r>
      <w:r w:rsidR="00436A2E" w:rsidRPr="003F46ED">
        <w:t>VET in Schools (</w:t>
      </w:r>
      <w:proofErr w:type="spellStart"/>
      <w:r w:rsidR="00436A2E" w:rsidRPr="003F46ED">
        <w:t>VETiS</w:t>
      </w:r>
      <w:proofErr w:type="spellEnd"/>
      <w:r w:rsidR="00436A2E" w:rsidRPr="003F46ED">
        <w:t xml:space="preserve">) pathways can enable more vocationally inclined students to study a language in senior secondary, </w:t>
      </w:r>
      <w:r w:rsidR="00F50216" w:rsidRPr="003F46ED">
        <w:t xml:space="preserve">based on anecdotal evidence in </w:t>
      </w:r>
      <w:r w:rsidR="00EB5C58" w:rsidRPr="003F46ED">
        <w:t>Vic</w:t>
      </w:r>
      <w:r w:rsidR="00BA2617" w:rsidRPr="003F46ED">
        <w:t>toria</w:t>
      </w:r>
      <w:r w:rsidR="00436A2E" w:rsidRPr="003F46ED">
        <w:t>.</w:t>
      </w:r>
    </w:p>
    <w:p w14:paraId="4AC0F6FC" w14:textId="77777777" w:rsidR="007B1D45" w:rsidRPr="003F46ED" w:rsidRDefault="00D605AC" w:rsidP="00116C8E">
      <w:pPr>
        <w:pStyle w:val="Heading5"/>
      </w:pPr>
      <w:r w:rsidRPr="003F46ED">
        <w:t>C</w:t>
      </w:r>
      <w:r w:rsidR="00436A2E" w:rsidRPr="003F46ED">
        <w:t xml:space="preserve">omplementary providers can </w:t>
      </w:r>
      <w:r w:rsidR="00C46DCB" w:rsidRPr="003F46ED">
        <w:t xml:space="preserve">help </w:t>
      </w:r>
      <w:r w:rsidR="00436A2E" w:rsidRPr="003F46ED">
        <w:t>boost enrolments</w:t>
      </w:r>
    </w:p>
    <w:p w14:paraId="338C7860" w14:textId="77777777" w:rsidR="007B1D45" w:rsidRPr="003F46ED" w:rsidRDefault="00436A2E" w:rsidP="00B30583">
      <w:r w:rsidRPr="003F46ED">
        <w:t xml:space="preserve">Language learning can occur within or beyond the confines of a school. Yet, community-based language programmes are unevenly recognised and accredited across jurisdictions. </w:t>
      </w:r>
      <w:r w:rsidR="00146C45" w:rsidRPr="003F46ED">
        <w:t>Through recognition and accreditation, where possible, t</w:t>
      </w:r>
      <w:r w:rsidR="001968DF" w:rsidRPr="003F46ED">
        <w:t xml:space="preserve">hese programmes </w:t>
      </w:r>
      <w:r w:rsidR="00146C45" w:rsidRPr="003F46ED">
        <w:t xml:space="preserve">can </w:t>
      </w:r>
      <w:r w:rsidR="001968DF" w:rsidRPr="003F46ED">
        <w:t xml:space="preserve">provide </w:t>
      </w:r>
      <w:r w:rsidR="00146C45" w:rsidRPr="003F46ED">
        <w:t>complementary pathways to encourage student retention in language learning</w:t>
      </w:r>
      <w:r w:rsidR="003C63CA" w:rsidRPr="003F46ED">
        <w:t>.</w:t>
      </w:r>
      <w:r w:rsidRPr="003F46ED">
        <w:t xml:space="preserve"> </w:t>
      </w:r>
    </w:p>
    <w:p w14:paraId="33FCCBFB" w14:textId="77777777" w:rsidR="007B1D45" w:rsidRPr="003F46ED" w:rsidRDefault="00436A2E" w:rsidP="00B30583">
      <w:r w:rsidRPr="003F46ED">
        <w:t>Some jurisdictions are making considerable inroads to convert this complementary provision into senior secondary certification. Accreditation of learning through to Year 12 requires detailed collaborative work with providers</w:t>
      </w:r>
      <w:r w:rsidR="00631A46" w:rsidRPr="003F46ED">
        <w:t>,</w:t>
      </w:r>
      <w:r w:rsidRPr="003F46ED">
        <w:t xml:space="preserve"> but it can expand the number of language learners at </w:t>
      </w:r>
      <w:r w:rsidR="00491CFA" w:rsidRPr="003F46ED">
        <w:t>senior secondary level</w:t>
      </w:r>
      <w:r w:rsidRPr="003F46ED">
        <w:t>. For example, Community Languages Australia (</w:t>
      </w:r>
      <w:proofErr w:type="spellStart"/>
      <w:r w:rsidRPr="003F46ED">
        <w:t>CLA</w:t>
      </w:r>
      <w:proofErr w:type="spellEnd"/>
      <w:r w:rsidRPr="003F46ED">
        <w:t xml:space="preserve">) has developed a national quality assurance framework that can be used for expanded work. In </w:t>
      </w:r>
      <w:r w:rsidR="00EB5C58" w:rsidRPr="003F46ED">
        <w:t>Vic</w:t>
      </w:r>
      <w:r w:rsidRPr="003F46ED">
        <w:t>, accreditation to senior secondary occurs where a community-based language</w:t>
      </w:r>
      <w:r w:rsidR="00F46E42" w:rsidRPr="003F46ED">
        <w:t xml:space="preserve"> programme</w:t>
      </w:r>
      <w:r w:rsidRPr="003F46ED">
        <w:t xml:space="preserve"> meets Victorian Curriculum and Assessment Authority (</w:t>
      </w:r>
      <w:proofErr w:type="spellStart"/>
      <w:r w:rsidRPr="003F46ED">
        <w:t>VCAA</w:t>
      </w:r>
      <w:proofErr w:type="spellEnd"/>
      <w:r w:rsidRPr="003F46ED">
        <w:t>) requirements.</w:t>
      </w:r>
    </w:p>
    <w:p w14:paraId="63478BC3" w14:textId="77777777" w:rsidR="007B1D45" w:rsidRPr="003F46ED" w:rsidRDefault="006734A0" w:rsidP="00B30583">
      <w:r w:rsidRPr="003F46ED">
        <w:lastRenderedPageBreak/>
        <w:t xml:space="preserve">In addition, </w:t>
      </w:r>
      <w:proofErr w:type="spellStart"/>
      <w:r w:rsidRPr="003F46ED">
        <w:t>CLA</w:t>
      </w:r>
      <w:proofErr w:type="spellEnd"/>
      <w:r w:rsidRPr="003F46ED">
        <w:t xml:space="preserve"> work</w:t>
      </w:r>
      <w:r w:rsidR="00BA2617" w:rsidRPr="003F46ED">
        <w:t>ed</w:t>
      </w:r>
      <w:r w:rsidRPr="003F46ED">
        <w:t xml:space="preserve"> with the Victorian Department of Education and Early Childhood Development (</w:t>
      </w:r>
      <w:proofErr w:type="spellStart"/>
      <w:r w:rsidRPr="003F46ED">
        <w:t>DEECD</w:t>
      </w:r>
      <w:proofErr w:type="spellEnd"/>
      <w:r w:rsidRPr="003F46ED">
        <w:t>) to develop a website (</w:t>
      </w:r>
      <w:r w:rsidRPr="003F46ED">
        <w:rPr>
          <w:i/>
        </w:rPr>
        <w:t>The Love of Language</w:t>
      </w:r>
      <w:r w:rsidRPr="003F46ED">
        <w:t xml:space="preserve">, loveoflanguage.com.au) intended to motivate Australians of all ages to consider the benefits of learning another language. </w:t>
      </w:r>
    </w:p>
    <w:p w14:paraId="35676989" w14:textId="77777777" w:rsidR="007B1D45" w:rsidRPr="003F46ED" w:rsidRDefault="00D97F50" w:rsidP="00B30583">
      <w:r w:rsidRPr="003F46ED">
        <w:t>The Victorian School of Languages (</w:t>
      </w:r>
      <w:proofErr w:type="spellStart"/>
      <w:r w:rsidRPr="003F46ED">
        <w:t>VSL</w:t>
      </w:r>
      <w:proofErr w:type="spellEnd"/>
      <w:r w:rsidRPr="003F46ED">
        <w:t>) is another complementary provider model that has enabled more students to complete languages study to senior certification level</w:t>
      </w:r>
      <w:r w:rsidR="00CF5124" w:rsidRPr="003F46ED">
        <w:t xml:space="preserve">. In the last four years, </w:t>
      </w:r>
      <w:proofErr w:type="spellStart"/>
      <w:r w:rsidR="00CF5124" w:rsidRPr="003F46ED">
        <w:t>VSL</w:t>
      </w:r>
      <w:proofErr w:type="spellEnd"/>
      <w:r w:rsidR="00CF5124" w:rsidRPr="003F46ED">
        <w:t xml:space="preserve"> has had over 2</w:t>
      </w:r>
      <w:r w:rsidR="00912DAF" w:rsidRPr="003F46ED">
        <w:t>,</w:t>
      </w:r>
      <w:r w:rsidR="00CF5124" w:rsidRPr="003F46ED">
        <w:t xml:space="preserve">000 enrolments </w:t>
      </w:r>
      <w:r w:rsidR="007406D0" w:rsidRPr="003F46ED">
        <w:t>each year at Year 12</w:t>
      </w:r>
      <w:r w:rsidR="00B1453F" w:rsidRPr="003F46ED">
        <w:t xml:space="preserve"> level</w:t>
      </w:r>
      <w:r w:rsidR="007406D0" w:rsidRPr="003F46ED">
        <w:t xml:space="preserve">, </w:t>
      </w:r>
      <w:r w:rsidR="00CF5124" w:rsidRPr="003F46ED">
        <w:t xml:space="preserve">out of </w:t>
      </w:r>
      <w:r w:rsidR="00B1453F" w:rsidRPr="003F46ED">
        <w:t xml:space="preserve">a total of </w:t>
      </w:r>
      <w:r w:rsidR="00CF5124" w:rsidRPr="003F46ED">
        <w:t xml:space="preserve">over 15,000 </w:t>
      </w:r>
      <w:r w:rsidR="00B1453F" w:rsidRPr="003F46ED">
        <w:t xml:space="preserve">Year 12 </w:t>
      </w:r>
      <w:r w:rsidR="00335955" w:rsidRPr="003F46ED">
        <w:t xml:space="preserve">languages </w:t>
      </w:r>
      <w:r w:rsidR="00CF5124" w:rsidRPr="003F46ED">
        <w:t xml:space="preserve">enrolments </w:t>
      </w:r>
      <w:r w:rsidR="007A42CA" w:rsidRPr="003F46ED">
        <w:t>annually</w:t>
      </w:r>
      <w:r w:rsidR="0076688F" w:rsidRPr="003F46ED">
        <w:t xml:space="preserve"> in Vic</w:t>
      </w:r>
      <w:r w:rsidR="007406D0" w:rsidRPr="003F46ED">
        <w:t xml:space="preserve"> (</w:t>
      </w:r>
      <w:proofErr w:type="spellStart"/>
      <w:r w:rsidR="00F869DE" w:rsidRPr="003F46ED">
        <w:t>DEECD</w:t>
      </w:r>
      <w:proofErr w:type="spellEnd"/>
      <w:r w:rsidR="0076688F" w:rsidRPr="003F46ED">
        <w:t>, 2014).</w:t>
      </w:r>
    </w:p>
    <w:p w14:paraId="0558C344" w14:textId="77777777" w:rsidR="007B1D45" w:rsidRPr="003F46ED" w:rsidRDefault="00436A2E" w:rsidP="00116C8E">
      <w:pPr>
        <w:pStyle w:val="Heading5"/>
      </w:pPr>
      <w:r w:rsidRPr="003F46ED">
        <w:t>New opportunities to commence language study in senior secondary</w:t>
      </w:r>
    </w:p>
    <w:p w14:paraId="0FD925E7" w14:textId="77777777" w:rsidR="007B1D45" w:rsidRPr="003F46ED" w:rsidRDefault="00722C41" w:rsidP="00B30583">
      <w:r w:rsidRPr="003F46ED">
        <w:t>Beginner</w:t>
      </w:r>
      <w:r w:rsidR="00436A2E" w:rsidRPr="003F46ED">
        <w:t xml:space="preserve"> language courses </w:t>
      </w:r>
      <w:r w:rsidR="007167DC" w:rsidRPr="003F46ED">
        <w:t xml:space="preserve">in </w:t>
      </w:r>
      <w:r w:rsidR="00436A2E" w:rsidRPr="003F46ED">
        <w:t xml:space="preserve">senior secondary have the capacity to encourage </w:t>
      </w:r>
      <w:r w:rsidR="00A2285E" w:rsidRPr="003F46ED">
        <w:t>student</w:t>
      </w:r>
      <w:r w:rsidR="00F12905" w:rsidRPr="003F46ED">
        <w:t>s to</w:t>
      </w:r>
      <w:r w:rsidR="00A2285E" w:rsidRPr="003F46ED">
        <w:t xml:space="preserve"> </w:t>
      </w:r>
      <w:r w:rsidR="00436A2E" w:rsidRPr="003F46ED">
        <w:t>take up languages in Years 11 and 12. In the ACT,</w:t>
      </w:r>
      <w:r w:rsidR="00F12905" w:rsidRPr="003F46ED">
        <w:t xml:space="preserve"> for example,</w:t>
      </w:r>
      <w:r w:rsidR="00436A2E" w:rsidRPr="003F46ED">
        <w:t xml:space="preserve"> Beginners courses have helped improve the proportion of students taking a language at Years 11 and 12 (compared to Years 9 and 10) by close to</w:t>
      </w:r>
      <w:r w:rsidR="000E4362" w:rsidRPr="003F46ED">
        <w:t xml:space="preserve"> ten</w:t>
      </w:r>
      <w:r w:rsidR="00436A2E" w:rsidRPr="003F46ED">
        <w:t xml:space="preserve"> percentage points</w:t>
      </w:r>
      <w:r w:rsidR="00AC7DAD" w:rsidRPr="003F46ED">
        <w:t xml:space="preserve"> (based on consultations with the ACT Education and Training Directorate)</w:t>
      </w:r>
      <w:r w:rsidR="00436A2E" w:rsidRPr="003F46ED">
        <w:t xml:space="preserve">. </w:t>
      </w:r>
    </w:p>
    <w:p w14:paraId="608892B0" w14:textId="77777777" w:rsidR="007B1D45" w:rsidRPr="003F46ED" w:rsidRDefault="00436A2E" w:rsidP="00116C8E">
      <w:pPr>
        <w:pStyle w:val="Heading5"/>
      </w:pPr>
      <w:r w:rsidRPr="003F46ED">
        <w:t>Improve access to quality teaching and programmes</w:t>
      </w:r>
    </w:p>
    <w:p w14:paraId="57E4FAF7" w14:textId="77777777" w:rsidR="007B1D45" w:rsidRPr="003F46ED" w:rsidRDefault="00436A2E" w:rsidP="00B30583">
      <w:r w:rsidRPr="003F46ED">
        <w:t xml:space="preserve">The consultations revealed broad support to evaluate the efficacy and utility of blended (technology-based) language learning, to better understand the learner experience and to </w:t>
      </w:r>
      <w:r w:rsidR="00EC79EE" w:rsidRPr="003F46ED">
        <w:t xml:space="preserve">help </w:t>
      </w:r>
      <w:r w:rsidR="00A81D8D" w:rsidRPr="003F46ED">
        <w:t>resolve</w:t>
      </w:r>
      <w:r w:rsidRPr="003F46ED">
        <w:t xml:space="preserve"> issues of access to quality teaching and programmes. Education Services Australia’s </w:t>
      </w:r>
      <w:r w:rsidRPr="003F46ED">
        <w:rPr>
          <w:i/>
        </w:rPr>
        <w:t>Language Learning Space</w:t>
      </w:r>
      <w:r w:rsidRPr="003F46ED">
        <w:t xml:space="preserve"> was cited as a possible platform for further work. </w:t>
      </w:r>
      <w:r w:rsidR="0063573E" w:rsidRPr="003F46ED">
        <w:t xml:space="preserve">While the literature shows that technology-based language learning can improve student engagement, there is limited evidence to suggest if it actually works to improve learning outcomes and/or </w:t>
      </w:r>
      <w:r w:rsidR="00F53E39" w:rsidRPr="003F46ED">
        <w:t>student retention in languages</w:t>
      </w:r>
      <w:r w:rsidR="00F9106E" w:rsidRPr="003F46ED">
        <w:t xml:space="preserve"> (</w:t>
      </w:r>
      <w:r w:rsidR="0063573E" w:rsidRPr="003F46ED">
        <w:t>Kohler &amp; Curnow, 2014).</w:t>
      </w:r>
    </w:p>
    <w:p w14:paraId="7857067C" w14:textId="77777777" w:rsidR="007B1D45" w:rsidRPr="003F46ED" w:rsidRDefault="00436A2E" w:rsidP="00B30583">
      <w:r w:rsidRPr="003F46ED">
        <w:t xml:space="preserve">Expert language teachers working out of language hubs </w:t>
      </w:r>
      <w:r w:rsidR="004D51A1" w:rsidRPr="003F46ED">
        <w:t>provide</w:t>
      </w:r>
      <w:r w:rsidRPr="003F46ED">
        <w:t xml:space="preserve"> another model that is already being implemented in jurisdictions </w:t>
      </w:r>
      <w:r w:rsidR="00BC41F3" w:rsidRPr="003F46ED">
        <w:t xml:space="preserve">and could be expanded </w:t>
      </w:r>
      <w:r w:rsidRPr="003F46ED">
        <w:t>(in metropolitan, regional and rural/remote areas).</w:t>
      </w:r>
      <w:r w:rsidR="004412E8" w:rsidRPr="003F46ED">
        <w:t xml:space="preserve"> </w:t>
      </w:r>
      <w:r w:rsidR="00F53E39" w:rsidRPr="003F46ED">
        <w:t>Language hubs enable quality teaching, programmes and resources to be shared by more schools.</w:t>
      </w:r>
    </w:p>
    <w:p w14:paraId="5952D84F" w14:textId="77777777" w:rsidR="007B1D45" w:rsidRPr="003F46ED" w:rsidRDefault="008B021E" w:rsidP="00B30583">
      <w:r w:rsidRPr="003F46ED">
        <w:t>A snapshot of how student demand for languages interacts with access is provided by Table 4.4, signifying a challenge for the provision of senior secondary languages education in Australia</w:t>
      </w:r>
      <w:r w:rsidR="0053584D" w:rsidRPr="003F46ED">
        <w:t>. As defined previously, ‘access’ here refers</w:t>
      </w:r>
      <w:r w:rsidR="007034E4" w:rsidRPr="003F46ED">
        <w:t xml:space="preserve"> to</w:t>
      </w:r>
      <w:r w:rsidR="0053584D" w:rsidRPr="003F46ED">
        <w:t xml:space="preserve"> an ideal scenario where all students can theoretically access their preferred language, type of course and mode of study.</w:t>
      </w:r>
      <w:r w:rsidR="00906DE4" w:rsidRPr="003F46ED">
        <w:t xml:space="preserve"> </w:t>
      </w:r>
      <w:r w:rsidR="0096103D" w:rsidRPr="003F46ED">
        <w:t>The dar</w:t>
      </w:r>
      <w:r w:rsidR="00E97B6D" w:rsidRPr="003F46ED">
        <w:t>ker the shaded area in Table 4.4</w:t>
      </w:r>
      <w:r w:rsidR="0096103D" w:rsidRPr="003F46ED">
        <w:t>, the less likely</w:t>
      </w:r>
      <w:r w:rsidR="00CC7193" w:rsidRPr="003F46ED">
        <w:t xml:space="preserve"> it is for</w:t>
      </w:r>
      <w:r w:rsidR="0096103D" w:rsidRPr="003F46ED">
        <w:t xml:space="preserve"> a student </w:t>
      </w:r>
      <w:r w:rsidR="00CC7193" w:rsidRPr="003F46ED">
        <w:t>to</w:t>
      </w:r>
      <w:r w:rsidR="0096103D" w:rsidRPr="003F46ED">
        <w:t xml:space="preserve"> enrol in senior secondary</w:t>
      </w:r>
      <w:r w:rsidR="00CC7193" w:rsidRPr="003F46ED">
        <w:t xml:space="preserve"> languages.</w:t>
      </w:r>
    </w:p>
    <w:p w14:paraId="3FE7B703" w14:textId="77777777" w:rsidR="002F0716" w:rsidRDefault="002F0716">
      <w:pPr>
        <w:spacing w:after="0"/>
        <w:rPr>
          <w:rFonts w:eastAsiaTheme="minorEastAsia"/>
          <w:b/>
          <w:bCs/>
          <w:szCs w:val="20"/>
        </w:rPr>
      </w:pPr>
      <w:r>
        <w:br w:type="page"/>
      </w:r>
    </w:p>
    <w:p w14:paraId="666EDB92" w14:textId="24933F14" w:rsidR="008475D7" w:rsidRPr="00BF296E" w:rsidRDefault="008475D7" w:rsidP="00BA49C9">
      <w:pPr>
        <w:pStyle w:val="Caption"/>
        <w:rPr>
          <w:b/>
        </w:rPr>
      </w:pPr>
      <w:r w:rsidRPr="00BF296E">
        <w:rPr>
          <w:b/>
        </w:rPr>
        <w:lastRenderedPageBreak/>
        <w:t>Table 4.4: Student demand for languages vis-à-vis access at senior secondary level</w:t>
      </w:r>
    </w:p>
    <w:tbl>
      <w:tblPr>
        <w:tblStyle w:val="TableGrid"/>
        <w:tblW w:w="0" w:type="auto"/>
        <w:tblLook w:val="04A0" w:firstRow="1" w:lastRow="0" w:firstColumn="1" w:lastColumn="0" w:noHBand="0" w:noVBand="1"/>
      </w:tblPr>
      <w:tblGrid>
        <w:gridCol w:w="811"/>
        <w:gridCol w:w="4370"/>
        <w:gridCol w:w="4667"/>
      </w:tblGrid>
      <w:tr w:rsidR="0086194F" w:rsidRPr="003F46ED" w14:paraId="6ADE47F7" w14:textId="77777777" w:rsidTr="00A01094">
        <w:trPr>
          <w:cantSplit/>
          <w:trHeight w:val="567"/>
          <w:tblHeader/>
        </w:trPr>
        <w:tc>
          <w:tcPr>
            <w:tcW w:w="0" w:type="auto"/>
            <w:shd w:val="clear" w:color="auto" w:fill="000000" w:themeFill="text1"/>
            <w:vAlign w:val="center"/>
          </w:tcPr>
          <w:p w14:paraId="60A1AD59" w14:textId="77777777" w:rsidR="0086194F" w:rsidRPr="003F46ED" w:rsidRDefault="0086194F" w:rsidP="00B30583">
            <w:pPr>
              <w:rPr>
                <w:lang w:val="en-AU"/>
              </w:rPr>
            </w:pPr>
            <w:r w:rsidRPr="003F46ED">
              <w:rPr>
                <w:lang w:val="en-AU"/>
              </w:rPr>
              <w:t>Access</w:t>
            </w:r>
          </w:p>
        </w:tc>
        <w:tc>
          <w:tcPr>
            <w:tcW w:w="0" w:type="auto"/>
            <w:tcBorders>
              <w:bottom w:val="single" w:sz="4" w:space="0" w:color="auto"/>
            </w:tcBorders>
            <w:shd w:val="clear" w:color="auto" w:fill="000000" w:themeFill="text1"/>
            <w:vAlign w:val="center"/>
          </w:tcPr>
          <w:p w14:paraId="358424E5" w14:textId="77777777" w:rsidR="0086194F" w:rsidRPr="003F46ED" w:rsidRDefault="0086194F" w:rsidP="00B30583">
            <w:pPr>
              <w:rPr>
                <w:lang w:val="en-AU"/>
              </w:rPr>
            </w:pPr>
            <w:r w:rsidRPr="003F46ED">
              <w:rPr>
                <w:lang w:val="en-AU"/>
              </w:rPr>
              <w:t xml:space="preserve">Students who </w:t>
            </w:r>
            <w:r w:rsidR="004956A8" w:rsidRPr="003F46ED">
              <w:rPr>
                <w:lang w:val="en-AU"/>
              </w:rPr>
              <w:t>want to study languages</w:t>
            </w:r>
          </w:p>
        </w:tc>
        <w:tc>
          <w:tcPr>
            <w:tcW w:w="0" w:type="auto"/>
            <w:tcBorders>
              <w:bottom w:val="single" w:sz="4" w:space="0" w:color="auto"/>
            </w:tcBorders>
            <w:shd w:val="clear" w:color="auto" w:fill="000000" w:themeFill="text1"/>
            <w:vAlign w:val="center"/>
          </w:tcPr>
          <w:p w14:paraId="29883ECF" w14:textId="77777777" w:rsidR="0086194F" w:rsidRPr="003F46ED" w:rsidRDefault="0086194F" w:rsidP="00B30583">
            <w:pPr>
              <w:rPr>
                <w:lang w:val="en-AU"/>
              </w:rPr>
            </w:pPr>
            <w:r w:rsidRPr="003F46ED">
              <w:rPr>
                <w:lang w:val="en-AU"/>
              </w:rPr>
              <w:t xml:space="preserve">Students who </w:t>
            </w:r>
            <w:r w:rsidR="004956A8" w:rsidRPr="003F46ED">
              <w:rPr>
                <w:lang w:val="en-AU"/>
              </w:rPr>
              <w:t>do not want to</w:t>
            </w:r>
          </w:p>
        </w:tc>
      </w:tr>
      <w:tr w:rsidR="0086194F" w:rsidRPr="003F46ED" w14:paraId="127651F7" w14:textId="77777777" w:rsidTr="00F023F0">
        <w:trPr>
          <w:cantSplit/>
        </w:trPr>
        <w:tc>
          <w:tcPr>
            <w:tcW w:w="0" w:type="auto"/>
            <w:tcBorders>
              <w:bottom w:val="single" w:sz="4" w:space="0" w:color="auto"/>
            </w:tcBorders>
            <w:shd w:val="clear" w:color="auto" w:fill="000000" w:themeFill="text1"/>
          </w:tcPr>
          <w:p w14:paraId="6C7BB47B" w14:textId="77777777" w:rsidR="0086194F" w:rsidRPr="003F46ED" w:rsidRDefault="0086194F" w:rsidP="00B30583">
            <w:pPr>
              <w:rPr>
                <w:color w:val="FFFFFF" w:themeColor="background1"/>
                <w:lang w:val="en-AU"/>
              </w:rPr>
            </w:pPr>
            <w:r w:rsidRPr="003F46ED">
              <w:rPr>
                <w:color w:val="FFFFFF" w:themeColor="background1"/>
                <w:lang w:val="en-AU"/>
              </w:rPr>
              <w:t>Yes</w:t>
            </w:r>
          </w:p>
        </w:tc>
        <w:tc>
          <w:tcPr>
            <w:tcW w:w="0" w:type="auto"/>
            <w:tcBorders>
              <w:bottom w:val="single" w:sz="4" w:space="0" w:color="auto"/>
            </w:tcBorders>
            <w:shd w:val="clear" w:color="auto" w:fill="auto"/>
          </w:tcPr>
          <w:p w14:paraId="12D68FA0" w14:textId="77777777" w:rsidR="007B1D45" w:rsidRPr="003F46ED" w:rsidRDefault="00D14012" w:rsidP="00B30583">
            <w:pPr>
              <w:rPr>
                <w:lang w:val="en-AU"/>
              </w:rPr>
            </w:pPr>
            <w:r w:rsidRPr="003F46ED">
              <w:rPr>
                <w:lang w:val="en-AU"/>
              </w:rPr>
              <w:t>These students</w:t>
            </w:r>
            <w:r w:rsidR="009C527D" w:rsidRPr="003F46ED">
              <w:rPr>
                <w:lang w:val="en-AU"/>
              </w:rPr>
              <w:t xml:space="preserve"> are most likely to </w:t>
            </w:r>
            <w:r w:rsidR="004956A8" w:rsidRPr="003F46ED">
              <w:rPr>
                <w:lang w:val="en-AU"/>
              </w:rPr>
              <w:t>undertake language study at Years 11 and 12</w:t>
            </w:r>
            <w:r w:rsidR="00B31E42" w:rsidRPr="003F46ED">
              <w:rPr>
                <w:lang w:val="en-AU"/>
              </w:rPr>
              <w:t>.</w:t>
            </w:r>
          </w:p>
          <w:p w14:paraId="41951A58" w14:textId="5A41368C" w:rsidR="004956A8" w:rsidRPr="003F46ED" w:rsidRDefault="004956A8" w:rsidP="00B30583">
            <w:pPr>
              <w:rPr>
                <w:lang w:val="en-AU"/>
              </w:rPr>
            </w:pPr>
            <w:r w:rsidRPr="003F46ED">
              <w:rPr>
                <w:lang w:val="en-AU"/>
              </w:rPr>
              <w:t>Key issue to address:</w:t>
            </w:r>
          </w:p>
          <w:p w14:paraId="10207A03" w14:textId="77777777" w:rsidR="0086194F" w:rsidRPr="003F46ED" w:rsidRDefault="00912DAF" w:rsidP="00F023F0">
            <w:pPr>
              <w:pStyle w:val="ListParagraph"/>
              <w:rPr>
                <w:lang w:val="en-AU"/>
              </w:rPr>
            </w:pPr>
            <w:r w:rsidRPr="003F46ED">
              <w:rPr>
                <w:lang w:val="en-AU"/>
              </w:rPr>
              <w:t xml:space="preserve">sustaining </w:t>
            </w:r>
            <w:r w:rsidR="004956A8" w:rsidRPr="003F46ED">
              <w:rPr>
                <w:lang w:val="en-AU"/>
              </w:rPr>
              <w:t>demand through quality teaching and programmes</w:t>
            </w:r>
          </w:p>
        </w:tc>
        <w:tc>
          <w:tcPr>
            <w:tcW w:w="0" w:type="auto"/>
            <w:tcBorders>
              <w:bottom w:val="single" w:sz="4" w:space="0" w:color="auto"/>
            </w:tcBorders>
            <w:shd w:val="clear" w:color="auto" w:fill="DAEEF3" w:themeFill="accent5" w:themeFillTint="33"/>
          </w:tcPr>
          <w:p w14:paraId="4B9B6C36" w14:textId="77777777" w:rsidR="007B1D45" w:rsidRPr="003F46ED" w:rsidRDefault="004956A8" w:rsidP="00B30583">
            <w:pPr>
              <w:rPr>
                <w:lang w:val="en-AU"/>
              </w:rPr>
            </w:pPr>
            <w:r w:rsidRPr="003F46ED">
              <w:rPr>
                <w:lang w:val="en-AU"/>
              </w:rPr>
              <w:t>These</w:t>
            </w:r>
            <w:r w:rsidR="005579AF" w:rsidRPr="003F46ED">
              <w:rPr>
                <w:lang w:val="en-AU"/>
              </w:rPr>
              <w:t xml:space="preserve"> </w:t>
            </w:r>
            <w:r w:rsidR="002B0E12" w:rsidRPr="003F46ED">
              <w:rPr>
                <w:lang w:val="en-AU"/>
              </w:rPr>
              <w:t>students</w:t>
            </w:r>
            <w:r w:rsidR="00B31E42" w:rsidRPr="003F46ED">
              <w:rPr>
                <w:lang w:val="en-AU"/>
              </w:rPr>
              <w:t xml:space="preserve"> </w:t>
            </w:r>
            <w:r w:rsidR="005579AF" w:rsidRPr="003F46ED">
              <w:rPr>
                <w:lang w:val="en-AU"/>
              </w:rPr>
              <w:t>can study languages but are unlikely to, unless</w:t>
            </w:r>
            <w:r w:rsidR="00E1548E" w:rsidRPr="003F46ED">
              <w:rPr>
                <w:lang w:val="en-AU"/>
              </w:rPr>
              <w:t xml:space="preserve"> </w:t>
            </w:r>
            <w:r w:rsidR="00964B03" w:rsidRPr="003F46ED">
              <w:rPr>
                <w:lang w:val="en-AU"/>
              </w:rPr>
              <w:t>their perceptions of the value and utility of languages are altered</w:t>
            </w:r>
            <w:r w:rsidR="003709E4" w:rsidRPr="003F46ED">
              <w:rPr>
                <w:lang w:val="en-AU"/>
              </w:rPr>
              <w:t>.</w:t>
            </w:r>
          </w:p>
          <w:p w14:paraId="77FED9C6" w14:textId="4C509CC7" w:rsidR="005D3D73" w:rsidRPr="003F46ED" w:rsidRDefault="002703F1" w:rsidP="00B30583">
            <w:pPr>
              <w:rPr>
                <w:lang w:val="en-AU"/>
              </w:rPr>
            </w:pPr>
            <w:r w:rsidRPr="003F46ED">
              <w:rPr>
                <w:lang w:val="en-AU"/>
              </w:rPr>
              <w:t>Key issue</w:t>
            </w:r>
            <w:r w:rsidR="005D3D73" w:rsidRPr="003F46ED">
              <w:rPr>
                <w:lang w:val="en-AU"/>
              </w:rPr>
              <w:t xml:space="preserve"> to address:</w:t>
            </w:r>
          </w:p>
          <w:p w14:paraId="06F57AD8" w14:textId="77777777" w:rsidR="00964B03" w:rsidRPr="003F46ED" w:rsidRDefault="00912DAF" w:rsidP="00F023F0">
            <w:pPr>
              <w:pStyle w:val="ListParagraph"/>
              <w:rPr>
                <w:lang w:val="en-AU"/>
              </w:rPr>
            </w:pPr>
            <w:r w:rsidRPr="003F46ED">
              <w:rPr>
                <w:lang w:val="en-AU"/>
              </w:rPr>
              <w:t xml:space="preserve">building </w:t>
            </w:r>
            <w:r w:rsidR="00094573" w:rsidRPr="003F46ED">
              <w:rPr>
                <w:lang w:val="en-AU"/>
              </w:rPr>
              <w:t xml:space="preserve">demand, focused on key reasons for doing a language, the value and utility of language learning, and addressing </w:t>
            </w:r>
            <w:r w:rsidR="00760B04" w:rsidRPr="003F46ED">
              <w:rPr>
                <w:lang w:val="en-AU"/>
              </w:rPr>
              <w:t>misconceptions</w:t>
            </w:r>
            <w:r w:rsidR="00BB56B3" w:rsidRPr="003F46ED">
              <w:rPr>
                <w:lang w:val="en-AU"/>
              </w:rPr>
              <w:t>; use of incentives</w:t>
            </w:r>
          </w:p>
        </w:tc>
      </w:tr>
      <w:tr w:rsidR="0086194F" w:rsidRPr="003F46ED" w14:paraId="6924D2E8" w14:textId="77777777" w:rsidTr="00F023F0">
        <w:trPr>
          <w:cantSplit/>
        </w:trPr>
        <w:tc>
          <w:tcPr>
            <w:tcW w:w="0" w:type="auto"/>
            <w:shd w:val="clear" w:color="auto" w:fill="000000" w:themeFill="text1"/>
          </w:tcPr>
          <w:p w14:paraId="60332B9F" w14:textId="77777777" w:rsidR="0086194F" w:rsidRPr="003F46ED" w:rsidRDefault="0086194F" w:rsidP="00B30583">
            <w:pPr>
              <w:rPr>
                <w:color w:val="FFFFFF" w:themeColor="background1"/>
                <w:lang w:val="en-AU"/>
              </w:rPr>
            </w:pPr>
            <w:r w:rsidRPr="003F46ED">
              <w:rPr>
                <w:color w:val="FFFFFF" w:themeColor="background1"/>
                <w:lang w:val="en-AU"/>
              </w:rPr>
              <w:t>No</w:t>
            </w:r>
          </w:p>
        </w:tc>
        <w:tc>
          <w:tcPr>
            <w:tcW w:w="0" w:type="auto"/>
            <w:shd w:val="clear" w:color="auto" w:fill="DBE5F1" w:themeFill="accent1" w:themeFillTint="33"/>
          </w:tcPr>
          <w:p w14:paraId="3FF2B444" w14:textId="77777777" w:rsidR="007B1D45" w:rsidRPr="003F46ED" w:rsidRDefault="007156A6" w:rsidP="00B30583">
            <w:pPr>
              <w:rPr>
                <w:lang w:val="en-AU"/>
              </w:rPr>
            </w:pPr>
            <w:r w:rsidRPr="003F46ED">
              <w:rPr>
                <w:lang w:val="en-AU"/>
              </w:rPr>
              <w:t>These students have the potential to study languages at Years 11 and 12, but l</w:t>
            </w:r>
            <w:r w:rsidR="0086194F" w:rsidRPr="003F46ED">
              <w:rPr>
                <w:lang w:val="en-AU"/>
              </w:rPr>
              <w:t xml:space="preserve">ack of access </w:t>
            </w:r>
            <w:r w:rsidRPr="003F46ED">
              <w:rPr>
                <w:lang w:val="en-AU"/>
              </w:rPr>
              <w:t>is likely to single-handedly</w:t>
            </w:r>
            <w:r w:rsidR="00E73F5E" w:rsidRPr="003F46ED">
              <w:rPr>
                <w:lang w:val="en-AU"/>
              </w:rPr>
              <w:t xml:space="preserve"> </w:t>
            </w:r>
            <w:r w:rsidR="00081070" w:rsidRPr="003F46ED">
              <w:rPr>
                <w:lang w:val="en-AU"/>
              </w:rPr>
              <w:t>prevent them from doing so.</w:t>
            </w:r>
          </w:p>
          <w:p w14:paraId="45A85CB6" w14:textId="24933F5E" w:rsidR="0086194F" w:rsidRPr="003F46ED" w:rsidRDefault="002703F1" w:rsidP="00B30583">
            <w:pPr>
              <w:rPr>
                <w:lang w:val="en-AU"/>
              </w:rPr>
            </w:pPr>
            <w:r w:rsidRPr="003F46ED">
              <w:rPr>
                <w:lang w:val="en-AU"/>
              </w:rPr>
              <w:t>Key issue</w:t>
            </w:r>
            <w:r w:rsidR="004956A8" w:rsidRPr="003F46ED">
              <w:rPr>
                <w:lang w:val="en-AU"/>
              </w:rPr>
              <w:t xml:space="preserve"> to address</w:t>
            </w:r>
            <w:r w:rsidR="0086194F" w:rsidRPr="003F46ED">
              <w:rPr>
                <w:lang w:val="en-AU"/>
              </w:rPr>
              <w:t>:</w:t>
            </w:r>
          </w:p>
          <w:p w14:paraId="66F97A7F" w14:textId="77777777" w:rsidR="0086194F" w:rsidRPr="003F46ED" w:rsidRDefault="00912DAF" w:rsidP="00F023F0">
            <w:pPr>
              <w:pStyle w:val="ListParagraph"/>
              <w:rPr>
                <w:lang w:val="en-AU"/>
              </w:rPr>
            </w:pPr>
            <w:r w:rsidRPr="003F46ED">
              <w:rPr>
                <w:lang w:val="en-AU"/>
              </w:rPr>
              <w:t xml:space="preserve">providing </w:t>
            </w:r>
            <w:r w:rsidR="0086194F" w:rsidRPr="003F46ED">
              <w:rPr>
                <w:lang w:val="en-AU"/>
              </w:rPr>
              <w:t>access</w:t>
            </w:r>
            <w:r w:rsidR="004956A8" w:rsidRPr="003F46ED">
              <w:rPr>
                <w:lang w:val="en-AU"/>
              </w:rPr>
              <w:t>, ideally to preferred language</w:t>
            </w:r>
            <w:r w:rsidR="00491274" w:rsidRPr="003F46ED">
              <w:rPr>
                <w:lang w:val="en-AU"/>
              </w:rPr>
              <w:t>, type of course and mode of study</w:t>
            </w:r>
          </w:p>
        </w:tc>
        <w:tc>
          <w:tcPr>
            <w:tcW w:w="0" w:type="auto"/>
            <w:shd w:val="clear" w:color="auto" w:fill="C6D9F1" w:themeFill="text2" w:themeFillTint="33"/>
          </w:tcPr>
          <w:p w14:paraId="103E675A" w14:textId="77777777" w:rsidR="007B1D45" w:rsidRPr="003F46ED" w:rsidRDefault="0086194F" w:rsidP="00B30583">
            <w:pPr>
              <w:rPr>
                <w:lang w:val="en-AU"/>
              </w:rPr>
            </w:pPr>
            <w:r w:rsidRPr="003F46ED">
              <w:rPr>
                <w:lang w:val="en-AU"/>
              </w:rPr>
              <w:t>Students who fall within this category need access to languages study at Years 11 and 12.</w:t>
            </w:r>
          </w:p>
          <w:p w14:paraId="00FD6CF7" w14:textId="77777777" w:rsidR="007B1D45" w:rsidRPr="003F46ED" w:rsidRDefault="00B129A6" w:rsidP="00B30583">
            <w:pPr>
              <w:rPr>
                <w:lang w:val="en-AU"/>
              </w:rPr>
            </w:pPr>
            <w:r w:rsidRPr="003F46ED">
              <w:rPr>
                <w:lang w:val="en-AU"/>
              </w:rPr>
              <w:t xml:space="preserve">They also </w:t>
            </w:r>
            <w:r w:rsidR="0086194F" w:rsidRPr="003F46ED">
              <w:rPr>
                <w:lang w:val="en-AU"/>
              </w:rPr>
              <w:t>require building demand strategies, similar to those used for students who have access but are not interested in studying a language at Years 11 and 12.</w:t>
            </w:r>
          </w:p>
          <w:p w14:paraId="659D8D9E" w14:textId="450F8F68" w:rsidR="0086194F" w:rsidRPr="003F46ED" w:rsidRDefault="0086194F" w:rsidP="00B30583">
            <w:pPr>
              <w:rPr>
                <w:lang w:val="en-AU"/>
              </w:rPr>
            </w:pPr>
            <w:r w:rsidRPr="003F46ED">
              <w:rPr>
                <w:lang w:val="en-AU"/>
              </w:rPr>
              <w:t>Key issues</w:t>
            </w:r>
            <w:r w:rsidR="00341E57" w:rsidRPr="003F46ED">
              <w:rPr>
                <w:lang w:val="en-AU"/>
              </w:rPr>
              <w:t xml:space="preserve"> to address</w:t>
            </w:r>
            <w:r w:rsidRPr="003F46ED">
              <w:rPr>
                <w:lang w:val="en-AU"/>
              </w:rPr>
              <w:t>:</w:t>
            </w:r>
          </w:p>
          <w:p w14:paraId="684EDF2F" w14:textId="77777777" w:rsidR="0086194F" w:rsidRPr="003F46ED" w:rsidRDefault="00912DAF" w:rsidP="00F023F0">
            <w:pPr>
              <w:pStyle w:val="ListParagraph"/>
              <w:rPr>
                <w:lang w:val="en-AU"/>
              </w:rPr>
            </w:pPr>
            <w:r w:rsidRPr="003F46ED">
              <w:rPr>
                <w:lang w:val="en-AU"/>
              </w:rPr>
              <w:t xml:space="preserve">providing </w:t>
            </w:r>
            <w:r w:rsidR="0086194F" w:rsidRPr="003F46ED">
              <w:rPr>
                <w:lang w:val="en-AU"/>
              </w:rPr>
              <w:t>access</w:t>
            </w:r>
            <w:r w:rsidR="00491274" w:rsidRPr="003F46ED">
              <w:rPr>
                <w:lang w:val="en-AU"/>
              </w:rPr>
              <w:t>, ideally to preferred language, type of course and mode of study</w:t>
            </w:r>
          </w:p>
          <w:p w14:paraId="34D4F76D" w14:textId="77777777" w:rsidR="004956A8" w:rsidRPr="003F46ED" w:rsidRDefault="00912DAF" w:rsidP="00F023F0">
            <w:pPr>
              <w:pStyle w:val="ListParagraph"/>
              <w:rPr>
                <w:lang w:val="en-AU"/>
              </w:rPr>
            </w:pPr>
            <w:r w:rsidRPr="003F46ED">
              <w:rPr>
                <w:lang w:val="en-AU"/>
              </w:rPr>
              <w:t xml:space="preserve">building </w:t>
            </w:r>
            <w:r w:rsidR="0086194F" w:rsidRPr="003F46ED">
              <w:rPr>
                <w:lang w:val="en-AU"/>
              </w:rPr>
              <w:t>demand</w:t>
            </w:r>
          </w:p>
        </w:tc>
      </w:tr>
    </w:tbl>
    <w:p w14:paraId="44BC04F8" w14:textId="77777777" w:rsidR="009B56D4" w:rsidRPr="003F46ED" w:rsidRDefault="00F8231E" w:rsidP="00B30583">
      <w:r w:rsidRPr="003F46ED">
        <w:t>Based on Table 4.4</w:t>
      </w:r>
      <w:r w:rsidR="0086194F" w:rsidRPr="003F46ED">
        <w:t>, it is essentia</w:t>
      </w:r>
      <w:r w:rsidR="005C40A0" w:rsidRPr="003F46ED">
        <w:t xml:space="preserve">l </w:t>
      </w:r>
      <w:r w:rsidR="003D728E" w:rsidRPr="003F46ED">
        <w:t>for</w:t>
      </w:r>
      <w:r w:rsidR="00111384" w:rsidRPr="003F46ED">
        <w:t xml:space="preserve"> </w:t>
      </w:r>
      <w:r w:rsidR="008F1EF9" w:rsidRPr="003F46ED">
        <w:t>students</w:t>
      </w:r>
      <w:r w:rsidR="00173672" w:rsidRPr="003F46ED">
        <w:t xml:space="preserve"> </w:t>
      </w:r>
      <w:r w:rsidR="003D728E" w:rsidRPr="003F46ED">
        <w:t xml:space="preserve">to </w:t>
      </w:r>
      <w:r w:rsidR="008F1EF9" w:rsidRPr="003F46ED">
        <w:t>be</w:t>
      </w:r>
      <w:r w:rsidR="0086194F" w:rsidRPr="003F46ED">
        <w:t xml:space="preserve"> </w:t>
      </w:r>
      <w:r w:rsidR="003D728E" w:rsidRPr="003F46ED">
        <w:t>able</w:t>
      </w:r>
      <w:r w:rsidR="008A6297" w:rsidRPr="003F46ED">
        <w:t xml:space="preserve"> to </w:t>
      </w:r>
      <w:r w:rsidR="0086194F" w:rsidRPr="003F46ED">
        <w:t>access</w:t>
      </w:r>
      <w:r w:rsidR="00111384" w:rsidRPr="003F46ED">
        <w:t xml:space="preserve"> study of a language, </w:t>
      </w:r>
      <w:r w:rsidR="0086194F" w:rsidRPr="003F46ED">
        <w:t>i</w:t>
      </w:r>
      <w:r w:rsidR="00111384" w:rsidRPr="003F46ED">
        <w:t xml:space="preserve">deally their preferred language, </w:t>
      </w:r>
      <w:r w:rsidR="0086194F" w:rsidRPr="003F46ED">
        <w:t xml:space="preserve">at Years 11 and 12. </w:t>
      </w:r>
      <w:r w:rsidR="00937906" w:rsidRPr="003F46ED">
        <w:t>Focusing on e</w:t>
      </w:r>
      <w:r w:rsidR="0086194F" w:rsidRPr="003F46ED">
        <w:t>nsuring access means that</w:t>
      </w:r>
      <w:r w:rsidR="009B56D4" w:rsidRPr="003F46ED">
        <w:t>:</w:t>
      </w:r>
      <w:r w:rsidR="0086194F" w:rsidRPr="003F46ED">
        <w:t xml:space="preserve"> </w:t>
      </w:r>
    </w:p>
    <w:p w14:paraId="7C176D24" w14:textId="77777777" w:rsidR="009B56D4" w:rsidRPr="003F46ED" w:rsidRDefault="009B56D4" w:rsidP="00F666F6">
      <w:pPr>
        <w:pStyle w:val="ListParagraph"/>
        <w:numPr>
          <w:ilvl w:val="0"/>
          <w:numId w:val="41"/>
        </w:numPr>
      </w:pPr>
      <w:r w:rsidRPr="003F46ED">
        <w:t>existing student demand</w:t>
      </w:r>
      <w:r w:rsidR="006A5066" w:rsidRPr="003F46ED">
        <w:t xml:space="preserve"> for senior secondary languages study</w:t>
      </w:r>
      <w:r w:rsidRPr="003F46ED">
        <w:t xml:space="preserve"> is better leveraged</w:t>
      </w:r>
    </w:p>
    <w:p w14:paraId="502C73A0" w14:textId="77777777" w:rsidR="007B1D45" w:rsidRPr="003F46ED" w:rsidRDefault="0086194F" w:rsidP="00F666F6">
      <w:pPr>
        <w:pStyle w:val="ListParagraph"/>
        <w:numPr>
          <w:ilvl w:val="0"/>
          <w:numId w:val="41"/>
        </w:numPr>
      </w:pPr>
      <w:proofErr w:type="gramStart"/>
      <w:r w:rsidRPr="003F46ED">
        <w:t>efforts</w:t>
      </w:r>
      <w:proofErr w:type="gramEnd"/>
      <w:r w:rsidRPr="003F46ED">
        <w:t xml:space="preserve"> to increase senior secondary </w:t>
      </w:r>
      <w:r w:rsidR="00D91A90" w:rsidRPr="003F46ED">
        <w:t xml:space="preserve">languages </w:t>
      </w:r>
      <w:r w:rsidRPr="003F46ED">
        <w:t>enrolments can focus on ‘converting the unconverted’ and sustaining demand through a quality language learning experience.</w:t>
      </w:r>
    </w:p>
    <w:p w14:paraId="01AD209E" w14:textId="77777777" w:rsidR="007B1D45" w:rsidRPr="003F46ED" w:rsidRDefault="00551E7B" w:rsidP="00F666F6">
      <w:pPr>
        <w:pStyle w:val="ListParagraph"/>
        <w:numPr>
          <w:ilvl w:val="0"/>
          <w:numId w:val="41"/>
        </w:numPr>
      </w:pPr>
      <w:r w:rsidRPr="003F46ED">
        <w:t xml:space="preserve">Any attempt to build student demand for languages at senior secondary level will </w:t>
      </w:r>
      <w:r w:rsidR="00C37067" w:rsidRPr="003F46ED">
        <w:t xml:space="preserve">also </w:t>
      </w:r>
      <w:r w:rsidRPr="003F46ED">
        <w:t xml:space="preserve">require access issues to be </w:t>
      </w:r>
      <w:r w:rsidR="00D90DED" w:rsidRPr="003F46ED">
        <w:t>resolved</w:t>
      </w:r>
      <w:r w:rsidRPr="003F46ED">
        <w:t xml:space="preserve"> via</w:t>
      </w:r>
      <w:r w:rsidR="00D252C4" w:rsidRPr="003F46ED">
        <w:t xml:space="preserve"> system level</w:t>
      </w:r>
      <w:r w:rsidRPr="003F46ED">
        <w:t xml:space="preserve"> polic</w:t>
      </w:r>
      <w:r w:rsidR="00D252C4" w:rsidRPr="003F46ED">
        <w:t>ies</w:t>
      </w:r>
      <w:r w:rsidRPr="003F46ED">
        <w:t>. It is unreasonable to expect schools to address access issues on their own without systemic support. This is because languages provision is already distributed unevenly along SES, geo-location</w:t>
      </w:r>
      <w:r w:rsidR="00D90DED" w:rsidRPr="003F46ED">
        <w:t>al</w:t>
      </w:r>
      <w:r w:rsidRPr="003F46ED">
        <w:t xml:space="preserve"> and sectoral lines.</w:t>
      </w:r>
    </w:p>
    <w:p w14:paraId="5FE2BB29" w14:textId="77777777" w:rsidR="007B1D45" w:rsidRPr="003F46ED" w:rsidRDefault="00436A2E" w:rsidP="00116C8E">
      <w:pPr>
        <w:pStyle w:val="Heading4"/>
      </w:pPr>
      <w:r w:rsidRPr="003F46ED">
        <w:t>Recognition</w:t>
      </w:r>
    </w:p>
    <w:p w14:paraId="750AD4A3" w14:textId="77777777" w:rsidR="007B1D45" w:rsidRPr="003F46ED" w:rsidRDefault="00436A2E" w:rsidP="00116C8E">
      <w:pPr>
        <w:pStyle w:val="Heading5"/>
      </w:pPr>
      <w:r w:rsidRPr="003F46ED">
        <w:t>Language learners needs consistent and constant recognition</w:t>
      </w:r>
    </w:p>
    <w:p w14:paraId="16386400" w14:textId="77777777" w:rsidR="007B1D45" w:rsidRPr="003F46ED" w:rsidRDefault="00853643" w:rsidP="00B30583">
      <w:r w:rsidRPr="003F46ED">
        <w:t>C</w:t>
      </w:r>
      <w:r w:rsidR="00503D14" w:rsidRPr="003F46ED">
        <w:t>onsistent and constant recognition of language learning improves student engagement and outcomes</w:t>
      </w:r>
      <w:r w:rsidR="00F9106E" w:rsidRPr="003F46ED">
        <w:t xml:space="preserve"> (</w:t>
      </w:r>
      <w:r w:rsidRPr="003F46ED">
        <w:t>Kohler &amp; Curnow, 2014)</w:t>
      </w:r>
      <w:r w:rsidR="00503D14" w:rsidRPr="003F46ED">
        <w:t>. S</w:t>
      </w:r>
      <w:r w:rsidR="00436A2E" w:rsidRPr="003F46ED">
        <w:t xml:space="preserve">tudents </w:t>
      </w:r>
      <w:r w:rsidR="00503D14" w:rsidRPr="003F46ED">
        <w:t>should be</w:t>
      </w:r>
      <w:r w:rsidR="00436A2E" w:rsidRPr="003F46ED">
        <w:t xml:space="preserve"> recognised</w:t>
      </w:r>
      <w:r w:rsidR="00503D14" w:rsidRPr="003F46ED">
        <w:t xml:space="preserve"> formally</w:t>
      </w:r>
      <w:r w:rsidR="00436A2E" w:rsidRPr="003F46ED">
        <w:t xml:space="preserve"> for their language learning progression and achievement through various stages of schooling. </w:t>
      </w:r>
      <w:r w:rsidR="005A5660" w:rsidRPr="003F46ED">
        <w:t>Lack of such recognition prevents students from gaining a sense of achievement, which is vital to keeping students enga</w:t>
      </w:r>
      <w:r w:rsidR="00F9106E" w:rsidRPr="003F46ED">
        <w:t>ged in learning a language (</w:t>
      </w:r>
      <w:r w:rsidR="005A5660" w:rsidRPr="003F46ED">
        <w:t>Kohler &amp; Curnow, 2014).</w:t>
      </w:r>
    </w:p>
    <w:p w14:paraId="02573A43" w14:textId="77777777" w:rsidR="007B1D45" w:rsidRPr="003F46ED" w:rsidRDefault="00436A2E" w:rsidP="00B30583">
      <w:r w:rsidRPr="003F46ED">
        <w:lastRenderedPageBreak/>
        <w:t xml:space="preserve">The language ‘passport’, which is part of the Common European Framework of Reference for </w:t>
      </w:r>
      <w:proofErr w:type="gramStart"/>
      <w:r w:rsidRPr="003F46ED">
        <w:t>Languages</w:t>
      </w:r>
      <w:proofErr w:type="gramEnd"/>
      <w:r w:rsidRPr="003F46ED">
        <w:t>: Learning, Teaching, Assessment (</w:t>
      </w:r>
      <w:proofErr w:type="spellStart"/>
      <w:r w:rsidRPr="003F46ED">
        <w:t>CEFR</w:t>
      </w:r>
      <w:proofErr w:type="spellEnd"/>
      <w:r w:rsidRPr="003F46ED">
        <w:t xml:space="preserve">), is one example of the type of recognition possible. </w:t>
      </w:r>
      <w:r w:rsidR="00EB5C58" w:rsidRPr="003F46ED">
        <w:t>Vic</w:t>
      </w:r>
      <w:r w:rsidR="00BA2617" w:rsidRPr="003F46ED">
        <w:t>toria</w:t>
      </w:r>
      <w:r w:rsidR="006871C1" w:rsidRPr="003F46ED">
        <w:t xml:space="preserve"> has adopted a ‘passport’ model (for Years F</w:t>
      </w:r>
      <w:r w:rsidR="002D3B73" w:rsidRPr="003F46ED">
        <w:t>–</w:t>
      </w:r>
      <w:r w:rsidR="006871C1" w:rsidRPr="003F46ED">
        <w:t>3)</w:t>
      </w:r>
      <w:r w:rsidR="00A610F1" w:rsidRPr="003F46ED">
        <w:t xml:space="preserve">, though </w:t>
      </w:r>
      <w:r w:rsidR="00F34FE1" w:rsidRPr="003F46ED">
        <w:t>it is yet to be seen if these have</w:t>
      </w:r>
      <w:r w:rsidR="009C11F0" w:rsidRPr="003F46ED">
        <w:t xml:space="preserve"> a long-term impact on increasing senior </w:t>
      </w:r>
      <w:r w:rsidR="003C67D9" w:rsidRPr="003F46ED">
        <w:t>secondary languages enrolments.</w:t>
      </w:r>
    </w:p>
    <w:p w14:paraId="5535B1D0" w14:textId="77777777" w:rsidR="007B1D45" w:rsidRPr="003F46ED" w:rsidRDefault="00436A2E" w:rsidP="00116C8E">
      <w:pPr>
        <w:pStyle w:val="Heading5"/>
      </w:pPr>
      <w:r w:rsidRPr="003F46ED">
        <w:t>Lack of consistent and comparable data</w:t>
      </w:r>
    </w:p>
    <w:p w14:paraId="2033A27C" w14:textId="77777777" w:rsidR="007B1D45" w:rsidRPr="003F46ED" w:rsidRDefault="00D40907" w:rsidP="00B30583">
      <w:r w:rsidRPr="003F46ED">
        <w:t>Robust national data is</w:t>
      </w:r>
      <w:r w:rsidR="00436A2E" w:rsidRPr="003F46ED">
        <w:t xml:space="preserve"> an essential support structure to help improve the quality of languages education in Australia. There is currently </w:t>
      </w:r>
      <w:r w:rsidR="00940C64" w:rsidRPr="003F46ED">
        <w:t>lack of a national framework</w:t>
      </w:r>
      <w:r w:rsidR="00436A2E" w:rsidRPr="003F46ED">
        <w:t xml:space="preserve"> for tracking student enrolments and participation patterns in any language, at any level. This inhibits comprehensive language planning. </w:t>
      </w:r>
      <w:r w:rsidR="00AD30CD" w:rsidRPr="003F46ED">
        <w:t>The extent</w:t>
      </w:r>
      <w:r w:rsidR="004B1162" w:rsidRPr="003F46ED">
        <w:t xml:space="preserve"> and nature</w:t>
      </w:r>
      <w:r w:rsidR="00AD30CD" w:rsidRPr="003F46ED">
        <w:t xml:space="preserve"> of data collection differs from jurisdiction to jurisdiction and from sector to sector.</w:t>
      </w:r>
      <w:r w:rsidR="00436A2E" w:rsidRPr="003F46ED">
        <w:t xml:space="preserve"> </w:t>
      </w:r>
      <w:r w:rsidR="004B1162" w:rsidRPr="003F46ED">
        <w:t xml:space="preserve">However, </w:t>
      </w:r>
      <w:r w:rsidR="00EB5C58" w:rsidRPr="003F46ED">
        <w:t>Vic</w:t>
      </w:r>
      <w:r w:rsidR="00436A2E" w:rsidRPr="003F46ED">
        <w:t xml:space="preserve"> has published comprehensive </w:t>
      </w:r>
      <w:r w:rsidR="004B1162" w:rsidRPr="003F46ED">
        <w:t>data</w:t>
      </w:r>
      <w:r w:rsidR="00436A2E" w:rsidRPr="003F46ED">
        <w:t xml:space="preserve"> on languages taught in governmen</w:t>
      </w:r>
      <w:r w:rsidR="0051586F" w:rsidRPr="003F46ED">
        <w:t>t schools for over two decades.</w:t>
      </w:r>
    </w:p>
    <w:p w14:paraId="6BF13F91" w14:textId="07F369EF" w:rsidR="00EE5871" w:rsidRPr="003F46ED" w:rsidRDefault="00436A2E" w:rsidP="00B30583">
      <w:r w:rsidRPr="003F46ED">
        <w:t>The most comprehensive</w:t>
      </w:r>
      <w:r w:rsidR="005E7868" w:rsidRPr="003F46ED">
        <w:t xml:space="preserve"> national</w:t>
      </w:r>
      <w:r w:rsidR="00BE24DB" w:rsidRPr="003F46ED">
        <w:t xml:space="preserve"> and jurisdiction</w:t>
      </w:r>
      <w:r w:rsidRPr="003F46ED">
        <w:t xml:space="preserve"> data is available for Chinese, Indonesian, Japanese and Korean </w:t>
      </w:r>
      <w:r w:rsidR="00AC1C76" w:rsidRPr="003F46ED">
        <w:t>from</w:t>
      </w:r>
      <w:r w:rsidRPr="003F46ED">
        <w:t xml:space="preserve"> the </w:t>
      </w:r>
      <w:proofErr w:type="spellStart"/>
      <w:r w:rsidRPr="003F46ED">
        <w:t>NALSAS</w:t>
      </w:r>
      <w:proofErr w:type="spellEnd"/>
      <w:r w:rsidRPr="003F46ED">
        <w:t xml:space="preserve"> and </w:t>
      </w:r>
      <w:proofErr w:type="spellStart"/>
      <w:r w:rsidRPr="003F46ED">
        <w:t>NALSSP</w:t>
      </w:r>
      <w:proofErr w:type="spellEnd"/>
      <w:r w:rsidRPr="003F46ED">
        <w:t xml:space="preserve"> periods, when reporting student participation data was mandatory</w:t>
      </w:r>
      <w:r w:rsidR="006F7BA7" w:rsidRPr="003F46ED">
        <w:t xml:space="preserve"> (Kohler &amp; Curnow, 2014</w:t>
      </w:r>
      <w:r w:rsidR="007D2BB7" w:rsidRPr="003F46ED">
        <w:t xml:space="preserve">; see also </w:t>
      </w:r>
      <w:r w:rsidR="009C5348" w:rsidRPr="003F46ED">
        <w:t xml:space="preserve">de </w:t>
      </w:r>
      <w:proofErr w:type="spellStart"/>
      <w:r w:rsidR="009C5348" w:rsidRPr="003F46ED">
        <w:t>Kretser</w:t>
      </w:r>
      <w:proofErr w:type="spellEnd"/>
      <w:r w:rsidR="009C5348" w:rsidRPr="003F46ED">
        <w:t xml:space="preserve"> &amp; Spence-Brown, 2010; Kohler &amp; </w:t>
      </w:r>
      <w:proofErr w:type="spellStart"/>
      <w:r w:rsidR="009C5348" w:rsidRPr="003F46ED">
        <w:t>Mahnken</w:t>
      </w:r>
      <w:proofErr w:type="spellEnd"/>
      <w:r w:rsidR="009C5348" w:rsidRPr="003F46ED">
        <w:t>, 2010; Orton, 2010; Shin, 2010</w:t>
      </w:r>
      <w:r w:rsidR="006F7BA7" w:rsidRPr="003F46ED">
        <w:t>).</w:t>
      </w:r>
      <w:bookmarkStart w:id="571" w:name="_Toc273790547"/>
      <w:bookmarkStart w:id="572" w:name="_Toc402180777"/>
      <w:r w:rsidR="00EE5871" w:rsidRPr="003F46ED">
        <w:br w:type="page"/>
      </w:r>
    </w:p>
    <w:p w14:paraId="60CDAF47" w14:textId="77777777" w:rsidR="007B1D45" w:rsidRPr="003F46ED" w:rsidRDefault="00436A2E" w:rsidP="00116C8E">
      <w:pPr>
        <w:pStyle w:val="Heading1"/>
      </w:pPr>
      <w:bookmarkStart w:id="573" w:name="_Toc276245096"/>
      <w:bookmarkStart w:id="574" w:name="_Toc445305268"/>
      <w:r w:rsidRPr="003F46ED">
        <w:lastRenderedPageBreak/>
        <w:t>Recommendations</w:t>
      </w:r>
      <w:bookmarkEnd w:id="571"/>
      <w:bookmarkEnd w:id="572"/>
      <w:bookmarkEnd w:id="573"/>
      <w:bookmarkEnd w:id="574"/>
    </w:p>
    <w:p w14:paraId="6092F2FB" w14:textId="77777777" w:rsidR="007B1D45" w:rsidRPr="003F46ED" w:rsidRDefault="00124A50" w:rsidP="00B30583">
      <w:r w:rsidRPr="003F46ED">
        <w:t>Based on a synthesis of</w:t>
      </w:r>
      <w:r w:rsidR="00FA792A" w:rsidRPr="003F46ED">
        <w:t xml:space="preserve"> the</w:t>
      </w:r>
      <w:r w:rsidRPr="003F46ED">
        <w:t xml:space="preserve"> key findings, </w:t>
      </w:r>
      <w:r w:rsidR="00A86B1E" w:rsidRPr="003F46ED">
        <w:t>four underlying issues limit the capacity to increase senior secondary languages enrolments in Australia over time</w:t>
      </w:r>
      <w:r w:rsidR="00970246" w:rsidRPr="003F46ED">
        <w:t>. These problems and the</w:t>
      </w:r>
      <w:r w:rsidR="00240606" w:rsidRPr="003F46ED">
        <w:t>ir</w:t>
      </w:r>
      <w:r w:rsidR="00970246" w:rsidRPr="003F46ED">
        <w:t xml:space="preserve"> corresponding recommendatio</w:t>
      </w:r>
      <w:r w:rsidR="00D51C89" w:rsidRPr="003F46ED">
        <w:t>ns are presented below.</w:t>
      </w:r>
    </w:p>
    <w:p w14:paraId="5B0DD2B5" w14:textId="77777777" w:rsidR="007B1D45" w:rsidRPr="003F46ED" w:rsidRDefault="00DD17B5" w:rsidP="00B30583">
      <w:r w:rsidRPr="003F46ED">
        <w:t>The recommendations are all targeted at building and sustaining student demand for senior sec</w:t>
      </w:r>
      <w:r w:rsidR="00277EF8" w:rsidRPr="003F46ED">
        <w:t>ondary languages (see Figure 4.2</w:t>
      </w:r>
      <w:r w:rsidRPr="003F46ED">
        <w:t xml:space="preserve">). They represent concurrent and interconnected actions. Isolated action is unlikely to </w:t>
      </w:r>
      <w:r w:rsidR="00D919CE" w:rsidRPr="003F46ED">
        <w:t>produce</w:t>
      </w:r>
      <w:r w:rsidRPr="003F46ED">
        <w:t xml:space="preserve"> a substantial increase in senior secondary languages enrolments</w:t>
      </w:r>
      <w:r w:rsidR="00120F61" w:rsidRPr="003F46ED">
        <w:t>, whether this</w:t>
      </w:r>
      <w:r w:rsidR="005D6A95" w:rsidRPr="003F46ED">
        <w:t xml:space="preserve"> increase is </w:t>
      </w:r>
      <w:r w:rsidR="007B3BFB" w:rsidRPr="003F46ED">
        <w:t>a result of</w:t>
      </w:r>
      <w:r w:rsidR="005D6A95" w:rsidRPr="003F46ED">
        <w:t xml:space="preserve"> better student continuity and retention or </w:t>
      </w:r>
      <w:r w:rsidR="009832EE" w:rsidRPr="003F46ED">
        <w:t>expanded</w:t>
      </w:r>
      <w:r w:rsidR="005D6A95" w:rsidRPr="003F46ED">
        <w:t xml:space="preserve"> language learning pathways (e.g. Beginners courses at senior secondary level and language study in non-school settings recognised for senior certification).</w:t>
      </w:r>
    </w:p>
    <w:p w14:paraId="20E0DE20" w14:textId="493D0462" w:rsidR="00F84A70" w:rsidRPr="00BF296E" w:rsidRDefault="00F84A70" w:rsidP="00BA49C9">
      <w:pPr>
        <w:pStyle w:val="Caption"/>
        <w:rPr>
          <w:b/>
        </w:rPr>
      </w:pPr>
      <w:r w:rsidRPr="00BF296E">
        <w:rPr>
          <w:b/>
        </w:rPr>
        <w:t>Figure 4.2: Four concurrent interventions to build and sustain demand for senior secondary languages</w:t>
      </w:r>
    </w:p>
    <w:p w14:paraId="4CDBF831" w14:textId="008074CF" w:rsidR="00D41437" w:rsidRPr="003F46ED" w:rsidRDefault="00A90730" w:rsidP="00A01094">
      <w:pPr>
        <w:jc w:val="center"/>
      </w:pPr>
      <w:r w:rsidRPr="003F46ED">
        <w:rPr>
          <w:noProof/>
          <w:lang w:eastAsia="en-AU"/>
        </w:rPr>
        <w:drawing>
          <wp:inline distT="0" distB="0" distL="0" distR="0" wp14:anchorId="459C528A" wp14:editId="25BD791F">
            <wp:extent cx="2902782" cy="3060700"/>
            <wp:effectExtent l="0" t="0" r="0" b="6350"/>
            <wp:docPr id="11" name="Picture 11" descr="Figure 4.2 shows the interdependence of the four insections to build and sustain student demand for senior secondary languages. These intersections that create and sustain demand are. 1. expand opportunities for languages in senior secondary certification. 2. engage all stakeholders in recognising and promoting the value and utility of languages. 3. collaborate nationally to support languages planning and implementation. 4. Provide access to high quality languages program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LER_Interventions_231014.png"/>
                    <pic:cNvPicPr/>
                  </pic:nvPicPr>
                  <pic:blipFill>
                    <a:blip r:embed="rId15">
                      <a:extLst>
                        <a:ext uri="{28A0092B-C50C-407E-A947-70E740481C1C}">
                          <a14:useLocalDpi xmlns:a14="http://schemas.microsoft.com/office/drawing/2010/main" val="0"/>
                        </a:ext>
                      </a:extLst>
                    </a:blip>
                    <a:stretch>
                      <a:fillRect/>
                    </a:stretch>
                  </pic:blipFill>
                  <pic:spPr>
                    <a:xfrm>
                      <a:off x="0" y="0"/>
                      <a:ext cx="2904599" cy="3062616"/>
                    </a:xfrm>
                    <a:prstGeom prst="rect">
                      <a:avLst/>
                    </a:prstGeom>
                  </pic:spPr>
                </pic:pic>
              </a:graphicData>
            </a:graphic>
          </wp:inline>
        </w:drawing>
      </w:r>
    </w:p>
    <w:p w14:paraId="25147822" w14:textId="77777777" w:rsidR="007B1D45" w:rsidRPr="003F46ED" w:rsidRDefault="00D51C89" w:rsidP="00DF445E">
      <w:pPr>
        <w:pStyle w:val="Heading2"/>
        <w:numPr>
          <w:ilvl w:val="0"/>
          <w:numId w:val="50"/>
        </w:numPr>
      </w:pPr>
      <w:bookmarkStart w:id="575" w:name="_Toc445305269"/>
      <w:r w:rsidRPr="003F46ED">
        <w:t>Senior secondary certification structures and the current state of</w:t>
      </w:r>
      <w:r w:rsidR="00B57470" w:rsidRPr="003F46ED">
        <w:t xml:space="preserve"> senior secondary</w:t>
      </w:r>
      <w:r w:rsidRPr="003F46ED">
        <w:t xml:space="preserve"> languages provision are not conducive to boosting enrolment</w:t>
      </w:r>
      <w:r w:rsidR="00B57470" w:rsidRPr="003F46ED">
        <w:t>s</w:t>
      </w:r>
      <w:bookmarkEnd w:id="575"/>
    </w:p>
    <w:p w14:paraId="59B4080D" w14:textId="77777777" w:rsidR="007B1D45" w:rsidRPr="00116C8E" w:rsidRDefault="00771730" w:rsidP="00116C8E">
      <w:r w:rsidRPr="00116C8E">
        <w:t>Modifying the structure of sen</w:t>
      </w:r>
      <w:r w:rsidR="00A63E39" w:rsidRPr="00116C8E">
        <w:t>ior secondary certification is the</w:t>
      </w:r>
      <w:r w:rsidRPr="00116C8E">
        <w:t xml:space="preserve"> key lever to boost senior secondary languages enrolment</w:t>
      </w:r>
      <w:r w:rsidR="00B11E49" w:rsidRPr="00116C8E">
        <w:t>s</w:t>
      </w:r>
      <w:r w:rsidRPr="00116C8E">
        <w:t>. Certification structures that both</w:t>
      </w:r>
      <w:r w:rsidR="006F58BD" w:rsidRPr="00116C8E">
        <w:t xml:space="preserve"> expand and</w:t>
      </w:r>
      <w:r w:rsidRPr="00116C8E">
        <w:t xml:space="preserve"> incentivise opportunities for students to enrol in languages are needed.</w:t>
      </w:r>
    </w:p>
    <w:p w14:paraId="3C6A9AA0" w14:textId="1D5179A2" w:rsidR="003654BB" w:rsidRPr="003F46ED" w:rsidRDefault="00EF6135" w:rsidP="00B30583">
      <w:bookmarkStart w:id="576" w:name="_Toc402180778"/>
      <w:r w:rsidRPr="003F46ED">
        <w:t>Nonetheless, this research acknowledges and affirms that a stronger pipeline of languages students from the Early Years to Year 10 is required to scale up senior secondary languages enrolments. The pipeline is largely to do with s</w:t>
      </w:r>
      <w:r w:rsidR="002C3134" w:rsidRPr="003F46ED">
        <w:t>tudent retention and continuity:</w:t>
      </w:r>
      <w:r w:rsidR="00637F23" w:rsidRPr="003F46ED">
        <w:t xml:space="preserve"> </w:t>
      </w:r>
      <w:r w:rsidR="002C3134" w:rsidRPr="003F46ED">
        <w:t>m</w:t>
      </w:r>
      <w:r w:rsidR="00637F23" w:rsidRPr="003F46ED">
        <w:t xml:space="preserve">ore students </w:t>
      </w:r>
      <w:r w:rsidR="00080DA1" w:rsidRPr="003F46ED">
        <w:t>in Years 9-</w:t>
      </w:r>
      <w:r w:rsidR="00730194" w:rsidRPr="003F46ED">
        <w:t xml:space="preserve">10 </w:t>
      </w:r>
      <w:r w:rsidR="00080DA1" w:rsidRPr="003F46ED">
        <w:t>need to be in a</w:t>
      </w:r>
      <w:r w:rsidR="00637F23" w:rsidRPr="003F46ED">
        <w:t xml:space="preserve"> position to choose </w:t>
      </w:r>
      <w:r w:rsidR="00080DA1" w:rsidRPr="003F46ED">
        <w:t xml:space="preserve">to </w:t>
      </w:r>
      <w:r w:rsidR="00637F23" w:rsidRPr="003F46ED">
        <w:t>study</w:t>
      </w:r>
      <w:r w:rsidR="00080DA1" w:rsidRPr="003F46ED">
        <w:t xml:space="preserve"> </w:t>
      </w:r>
      <w:r w:rsidR="00637F23" w:rsidRPr="003F46ED">
        <w:t xml:space="preserve">a language </w:t>
      </w:r>
      <w:r w:rsidR="00912965" w:rsidRPr="003F46ED">
        <w:t>for</w:t>
      </w:r>
      <w:r w:rsidR="00637F23" w:rsidRPr="003F46ED">
        <w:t xml:space="preserve"> senior </w:t>
      </w:r>
      <w:r w:rsidR="00912965" w:rsidRPr="003F46ED">
        <w:t>certification</w:t>
      </w:r>
      <w:r w:rsidR="00C444F4" w:rsidRPr="003F46ED">
        <w:t xml:space="preserve">. </w:t>
      </w:r>
      <w:r w:rsidR="00144972" w:rsidRPr="003F46ED">
        <w:t>Presently, Australia has a large</w:t>
      </w:r>
      <w:r w:rsidR="001927BE" w:rsidRPr="003F46ED">
        <w:t>ly broken pipeline after Year 8,</w:t>
      </w:r>
      <w:r w:rsidR="00144972" w:rsidRPr="003F46ED">
        <w:t xml:space="preserve"> as evidenced in the ‘Policy and literature review’ (Attachment 1). Yet, the literature suggests that the chances of retention are greater the later</w:t>
      </w:r>
      <w:r w:rsidR="00836DC5" w:rsidRPr="003F46ED">
        <w:t xml:space="preserve"> students make</w:t>
      </w:r>
      <w:r w:rsidR="00144972" w:rsidRPr="003F46ED">
        <w:t xml:space="preserve"> the choice to study a language</w:t>
      </w:r>
      <w:r w:rsidR="00F9106E" w:rsidRPr="003F46ED">
        <w:t xml:space="preserve"> (</w:t>
      </w:r>
      <w:r w:rsidR="00BA0550" w:rsidRPr="003F46ED">
        <w:t>Kohler &amp; Curnow, 2014)</w:t>
      </w:r>
      <w:r w:rsidR="00836DC5" w:rsidRPr="003F46ED">
        <w:t>, e.g. making the choice at Year 10 is better than at Year 8</w:t>
      </w:r>
      <w:r w:rsidR="00144972" w:rsidRPr="003F46ED">
        <w:t>.</w:t>
      </w:r>
      <w:bookmarkEnd w:id="576"/>
    </w:p>
    <w:p w14:paraId="60BABB3F" w14:textId="77777777" w:rsidR="00C444F4" w:rsidRPr="003F46ED" w:rsidRDefault="0046242B" w:rsidP="00B30583">
      <w:bookmarkStart w:id="577" w:name="_Toc402180779"/>
      <w:r w:rsidRPr="003F46ED">
        <w:lastRenderedPageBreak/>
        <w:t xml:space="preserve">A </w:t>
      </w:r>
      <w:r w:rsidR="003654BB" w:rsidRPr="003F46ED">
        <w:t>separate study on strengthening</w:t>
      </w:r>
      <w:r w:rsidR="00244EA7" w:rsidRPr="003F46ED">
        <w:t xml:space="preserve"> and expanding</w:t>
      </w:r>
      <w:r w:rsidR="003654BB" w:rsidRPr="003F46ED">
        <w:t xml:space="preserve"> the languages student pipeline would provide a complementary evidence base</w:t>
      </w:r>
      <w:r w:rsidR="005223C1" w:rsidRPr="003F46ED">
        <w:t xml:space="preserve"> to this research</w:t>
      </w:r>
      <w:r w:rsidR="002107ED" w:rsidRPr="003F46ED">
        <w:t>,</w:t>
      </w:r>
      <w:r w:rsidR="003654BB" w:rsidRPr="003F46ED">
        <w:t xml:space="preserve"> to inform continued work on increasing senior secondary languages enrolments. The angle taken by this research has been to resolve issues at the senior secondary lev</w:t>
      </w:r>
      <w:r w:rsidR="00655C98" w:rsidRPr="003F46ED">
        <w:t xml:space="preserve">el to maximise the chances of </w:t>
      </w:r>
      <w:r w:rsidR="003654BB" w:rsidRPr="003F46ED">
        <w:t>student</w:t>
      </w:r>
      <w:r w:rsidR="00655C98" w:rsidRPr="003F46ED">
        <w:t>s</w:t>
      </w:r>
      <w:r w:rsidR="003654BB" w:rsidRPr="003F46ED">
        <w:t xml:space="preserve"> enrolling in languages for senior certification.</w:t>
      </w:r>
      <w:r w:rsidR="005223C1" w:rsidRPr="003F46ED">
        <w:t xml:space="preserve"> </w:t>
      </w:r>
      <w:r w:rsidR="003F5754" w:rsidRPr="003F46ED">
        <w:t>As observed in the UK,</w:t>
      </w:r>
      <w:r w:rsidR="005223C1" w:rsidRPr="003F46ED">
        <w:t xml:space="preserve"> a stronger pipeline does not necessarily lead to increased senior secondary languages enrolments </w:t>
      </w:r>
      <w:r w:rsidR="005223C1" w:rsidRPr="003F46ED">
        <w:rPr>
          <w:i/>
        </w:rPr>
        <w:t xml:space="preserve">unless </w:t>
      </w:r>
      <w:r w:rsidR="00AE7B67" w:rsidRPr="003F46ED">
        <w:t>issues</w:t>
      </w:r>
      <w:r w:rsidR="005223C1" w:rsidRPr="003F46ED">
        <w:t xml:space="preserve"> specific to senior se</w:t>
      </w:r>
      <w:r w:rsidR="003F5754" w:rsidRPr="003F46ED">
        <w:t xml:space="preserve">condary </w:t>
      </w:r>
      <w:r w:rsidR="00AE7B67" w:rsidRPr="003F46ED">
        <w:t xml:space="preserve">certification </w:t>
      </w:r>
      <w:r w:rsidR="003F5754" w:rsidRPr="003F46ED">
        <w:t xml:space="preserve">structures are </w:t>
      </w:r>
      <w:r w:rsidR="003A6AB1" w:rsidRPr="003F46ED">
        <w:t xml:space="preserve">also </w:t>
      </w:r>
      <w:r w:rsidR="00AE7B67" w:rsidRPr="003F46ED">
        <w:t>resolved</w:t>
      </w:r>
      <w:r w:rsidR="00F9106E" w:rsidRPr="003F46ED">
        <w:t xml:space="preserve"> (</w:t>
      </w:r>
      <w:r w:rsidR="00770093" w:rsidRPr="003F46ED">
        <w:t>Kohler &amp; Curnow, 2014)</w:t>
      </w:r>
      <w:r w:rsidR="003F5754" w:rsidRPr="003F46ED">
        <w:t>.</w:t>
      </w:r>
      <w:bookmarkEnd w:id="577"/>
    </w:p>
    <w:p w14:paraId="19953072" w14:textId="77777777" w:rsidR="00A07E6D" w:rsidRPr="003F46ED" w:rsidRDefault="006818A9" w:rsidP="00116C8E">
      <w:pPr>
        <w:pStyle w:val="Heading3"/>
      </w:pPr>
      <w:r w:rsidRPr="003F46ED">
        <w:t>Recommendations</w:t>
      </w:r>
    </w:p>
    <w:p w14:paraId="7ECBC362" w14:textId="77777777" w:rsidR="00D0212E" w:rsidRPr="003F46ED" w:rsidRDefault="00D0212E" w:rsidP="002F0716">
      <w:pPr>
        <w:pStyle w:val="Boxh4"/>
        <w:rPr>
          <w:rFonts w:cs="Calibri"/>
          <w:szCs w:val="22"/>
        </w:rPr>
      </w:pPr>
      <w:r w:rsidRPr="003F46ED">
        <w:t>Recommendation 1.1: Expand the number of subjects required for senior secondary certification to six and provide incentives for students to choose a language.</w:t>
      </w:r>
    </w:p>
    <w:p w14:paraId="763CF9BE" w14:textId="77777777" w:rsidR="007B1D45" w:rsidRPr="003F46ED" w:rsidRDefault="00D65717" w:rsidP="00DF445E">
      <w:pPr>
        <w:pStyle w:val="Heading4"/>
      </w:pPr>
      <w:r w:rsidRPr="003F46ED">
        <w:t>Rationale</w:t>
      </w:r>
    </w:p>
    <w:p w14:paraId="415B1E0B" w14:textId="77777777" w:rsidR="007B1D45" w:rsidRPr="003F46ED" w:rsidRDefault="00E84F42" w:rsidP="00116C8E">
      <w:r w:rsidRPr="003F46ED">
        <w:t xml:space="preserve">The </w:t>
      </w:r>
      <w:r w:rsidR="00913C28" w:rsidRPr="003F46ED">
        <w:t xml:space="preserve">limited number of subjects that Australian students are required to take </w:t>
      </w:r>
      <w:r w:rsidR="001908ED" w:rsidRPr="003F46ED">
        <w:t>for</w:t>
      </w:r>
      <w:r w:rsidR="00913C28" w:rsidRPr="003F46ED">
        <w:t xml:space="preserve"> senior certification is a </w:t>
      </w:r>
      <w:r w:rsidR="008B300F" w:rsidRPr="003F46ED">
        <w:t xml:space="preserve">major </w:t>
      </w:r>
      <w:r w:rsidR="00913C28" w:rsidRPr="003F46ED">
        <w:t xml:space="preserve">disincentive for language study. Most students choose </w:t>
      </w:r>
      <w:r w:rsidR="009E2308" w:rsidRPr="003F46ED">
        <w:t xml:space="preserve">four or five subjects only and </w:t>
      </w:r>
      <w:r w:rsidR="00E61036" w:rsidRPr="003F46ED">
        <w:t>l</w:t>
      </w:r>
      <w:r w:rsidR="00913C28" w:rsidRPr="003F46ED">
        <w:t xml:space="preserve">anguages </w:t>
      </w:r>
      <w:r w:rsidR="00F957BE" w:rsidRPr="003F46ED">
        <w:t xml:space="preserve">is the learning area </w:t>
      </w:r>
      <w:r w:rsidR="00913C28" w:rsidRPr="003F46ED">
        <w:t>most often not taken up.</w:t>
      </w:r>
    </w:p>
    <w:p w14:paraId="103D5A6C" w14:textId="77777777" w:rsidR="007B1D45" w:rsidRPr="003F46ED" w:rsidRDefault="00191E72" w:rsidP="00DF445E">
      <w:pPr>
        <w:pStyle w:val="Heading4"/>
      </w:pPr>
      <w:r w:rsidRPr="003F46ED">
        <w:t>Implementation</w:t>
      </w:r>
      <w:r w:rsidR="00332F04" w:rsidRPr="003F46ED">
        <w:t xml:space="preserve"> </w:t>
      </w:r>
    </w:p>
    <w:p w14:paraId="0BFD96A4" w14:textId="5F9C74E5" w:rsidR="00944693" w:rsidRPr="003F46ED" w:rsidRDefault="007221F7" w:rsidP="00116C8E">
      <w:r w:rsidRPr="003F46ED">
        <w:t>Macro</w:t>
      </w:r>
      <w:r w:rsidR="00944693" w:rsidRPr="003F46ED">
        <w:t xml:space="preserve"> changes to senior secondary certification </w:t>
      </w:r>
      <w:r w:rsidR="00842ED9" w:rsidRPr="003F46ED">
        <w:t>require time due to their regulatory nature and impact at school level</w:t>
      </w:r>
      <w:r w:rsidRPr="003F46ED">
        <w:t>. A</w:t>
      </w:r>
      <w:r w:rsidR="00944693" w:rsidRPr="003F46ED">
        <w:t xml:space="preserve">dding subjects to senior certification requirements </w:t>
      </w:r>
      <w:r w:rsidR="00842ED9" w:rsidRPr="003F46ED">
        <w:t xml:space="preserve">necessitates </w:t>
      </w:r>
      <w:r w:rsidR="00944693" w:rsidRPr="003F46ED">
        <w:t>time reductions for study of other subjects and hence curriculum modification</w:t>
      </w:r>
      <w:r w:rsidR="00842ED9" w:rsidRPr="003F46ED">
        <w:t>s</w:t>
      </w:r>
      <w:r w:rsidR="00944693" w:rsidRPr="003F46ED">
        <w:t xml:space="preserve">. </w:t>
      </w:r>
      <w:r w:rsidR="004E1049" w:rsidRPr="003F46ED">
        <w:t>A range of bonus incentive systems exist across all states and territories and can be built on.</w:t>
      </w:r>
    </w:p>
    <w:p w14:paraId="4CA97CAE" w14:textId="77777777" w:rsidR="00D0212E" w:rsidRPr="003F46ED" w:rsidRDefault="00D0212E" w:rsidP="002F0716">
      <w:pPr>
        <w:pStyle w:val="Boxh4"/>
      </w:pPr>
      <w:r w:rsidRPr="003F46ED">
        <w:t>Recommendation 1.2: Provide multiple pathways for students to gain languages certification in senior secondary, including:</w:t>
      </w:r>
    </w:p>
    <w:p w14:paraId="1D210BEF" w14:textId="77777777" w:rsidR="00D0212E" w:rsidRPr="003F46ED" w:rsidRDefault="00D0212E" w:rsidP="002F0716">
      <w:pPr>
        <w:pStyle w:val="Box"/>
        <w:numPr>
          <w:ilvl w:val="0"/>
          <w:numId w:val="28"/>
        </w:numPr>
        <w:rPr>
          <w:rFonts w:eastAsiaTheme="minorEastAsia" w:cs="Calibri"/>
        </w:rPr>
      </w:pPr>
      <w:r w:rsidRPr="003F46ED">
        <w:t>provide Beginners courses at senior secondary level</w:t>
      </w:r>
    </w:p>
    <w:p w14:paraId="17D398CF" w14:textId="77777777" w:rsidR="00D0212E" w:rsidRPr="003F46ED" w:rsidRDefault="00D0212E" w:rsidP="002F0716">
      <w:pPr>
        <w:pStyle w:val="Box"/>
        <w:numPr>
          <w:ilvl w:val="0"/>
          <w:numId w:val="28"/>
        </w:numPr>
        <w:rPr>
          <w:rFonts w:eastAsiaTheme="minorEastAsia" w:cs="Calibri"/>
        </w:rPr>
      </w:pPr>
      <w:r w:rsidRPr="003F46ED">
        <w:t>provide a Baccalaureate (or similar) senior secondary certification option that recognises students who study a language</w:t>
      </w:r>
    </w:p>
    <w:p w14:paraId="2B99ED88" w14:textId="77777777" w:rsidR="00D0212E" w:rsidRPr="003F46ED" w:rsidRDefault="00D0212E" w:rsidP="002F0716">
      <w:pPr>
        <w:pStyle w:val="Box"/>
        <w:numPr>
          <w:ilvl w:val="0"/>
          <w:numId w:val="28"/>
        </w:numPr>
        <w:rPr>
          <w:rFonts w:eastAsiaTheme="minorEastAsia" w:cs="Calibri"/>
        </w:rPr>
      </w:pPr>
      <w:r w:rsidRPr="003F46ED">
        <w:t>recognise intensive in-country language courses for senior secondary certification</w:t>
      </w:r>
    </w:p>
    <w:p w14:paraId="4B3A33F3" w14:textId="77777777" w:rsidR="00D0212E" w:rsidRPr="003F46ED" w:rsidRDefault="00D0212E" w:rsidP="002F0716">
      <w:pPr>
        <w:pStyle w:val="Box"/>
        <w:numPr>
          <w:ilvl w:val="0"/>
          <w:numId w:val="28"/>
        </w:numPr>
        <w:rPr>
          <w:rFonts w:eastAsiaTheme="minorEastAsia" w:cs="Calibri"/>
        </w:rPr>
      </w:pPr>
      <w:r w:rsidRPr="003F46ED">
        <w:t>expand accreditation of community-based language programmes to senior secondary level based on the Community Languages Australia Quality Assurance Framework</w:t>
      </w:r>
    </w:p>
    <w:p w14:paraId="12E7DE4D" w14:textId="77777777" w:rsidR="00D0212E" w:rsidRPr="003F46ED" w:rsidRDefault="00D0212E" w:rsidP="002F0716">
      <w:pPr>
        <w:pStyle w:val="Box"/>
        <w:numPr>
          <w:ilvl w:val="0"/>
          <w:numId w:val="28"/>
        </w:numPr>
        <w:rPr>
          <w:rFonts w:eastAsiaTheme="minorEastAsia" w:cs="Calibri"/>
        </w:rPr>
      </w:pPr>
      <w:proofErr w:type="gramStart"/>
      <w:r w:rsidRPr="003F46ED">
        <w:t>provide</w:t>
      </w:r>
      <w:proofErr w:type="gramEnd"/>
      <w:r w:rsidRPr="003F46ED">
        <w:t xml:space="preserve"> languages through the </w:t>
      </w:r>
      <w:proofErr w:type="spellStart"/>
      <w:r w:rsidRPr="003F46ED">
        <w:t>VETiS</w:t>
      </w:r>
      <w:proofErr w:type="spellEnd"/>
      <w:r w:rsidRPr="003F46ED">
        <w:t xml:space="preserve"> Framework (currently under national development).</w:t>
      </w:r>
    </w:p>
    <w:p w14:paraId="72176188" w14:textId="77777777" w:rsidR="007B1D45" w:rsidRPr="003F46ED" w:rsidRDefault="00D47DEF" w:rsidP="00DF445E">
      <w:pPr>
        <w:pStyle w:val="Heading4"/>
      </w:pPr>
      <w:r w:rsidRPr="003F46ED">
        <w:t>Rationale</w:t>
      </w:r>
    </w:p>
    <w:p w14:paraId="21ADEC52" w14:textId="77777777" w:rsidR="007B1D45" w:rsidRPr="003F46ED" w:rsidRDefault="00B94C34" w:rsidP="00116C8E">
      <w:r w:rsidRPr="003F46ED">
        <w:t xml:space="preserve">Opportunities for students to enrol in, and be accredited for, languages in the senior secondary years </w:t>
      </w:r>
      <w:r w:rsidR="004E2C41" w:rsidRPr="003F46ED">
        <w:t>tend to focus</w:t>
      </w:r>
      <w:r w:rsidR="0030054F" w:rsidRPr="003F46ED">
        <w:t xml:space="preserve"> on student continuity in languages from </w:t>
      </w:r>
      <w:r w:rsidR="00EE41D9" w:rsidRPr="003F46ED">
        <w:t xml:space="preserve">the </w:t>
      </w:r>
      <w:r w:rsidR="0030054F" w:rsidRPr="003F46ED">
        <w:t xml:space="preserve">earlier years of </w:t>
      </w:r>
      <w:r w:rsidR="005A0C3B" w:rsidRPr="003F46ED">
        <w:t xml:space="preserve">formal </w:t>
      </w:r>
      <w:r w:rsidR="0030054F" w:rsidRPr="003F46ED">
        <w:t>schoo</w:t>
      </w:r>
      <w:r w:rsidR="00541E59" w:rsidRPr="003F46ED">
        <w:t>ling. This excludes students</w:t>
      </w:r>
      <w:r w:rsidR="0030054F" w:rsidRPr="003F46ED">
        <w:t xml:space="preserve"> want</w:t>
      </w:r>
      <w:r w:rsidR="00541E59" w:rsidRPr="003F46ED">
        <w:t>ing</w:t>
      </w:r>
      <w:r w:rsidR="0030054F" w:rsidRPr="003F46ED">
        <w:t xml:space="preserve"> to be</w:t>
      </w:r>
      <w:r w:rsidR="00C74AE6" w:rsidRPr="003F46ED">
        <w:t xml:space="preserve">gin </w:t>
      </w:r>
      <w:r w:rsidR="00541E59" w:rsidRPr="003F46ED">
        <w:t xml:space="preserve">study of </w:t>
      </w:r>
      <w:r w:rsidR="00C74AE6" w:rsidRPr="003F46ED">
        <w:t>a language in Year</w:t>
      </w:r>
      <w:r w:rsidR="00541E59" w:rsidRPr="003F46ED">
        <w:t>s 11 or</w:t>
      </w:r>
      <w:r w:rsidR="00613A37" w:rsidRPr="003F46ED">
        <w:t xml:space="preserve"> 12.</w:t>
      </w:r>
      <w:r w:rsidR="00F770DE" w:rsidRPr="003F46ED">
        <w:t xml:space="preserve"> </w:t>
      </w:r>
      <w:r w:rsidR="00613A37" w:rsidRPr="003F46ED">
        <w:t>I</w:t>
      </w:r>
      <w:r w:rsidR="00F770DE" w:rsidRPr="003F46ED">
        <w:t>t does not provide opportunit</w:t>
      </w:r>
      <w:r w:rsidR="004E2C41" w:rsidRPr="003F46ED">
        <w:t>ies</w:t>
      </w:r>
      <w:r w:rsidR="00F770DE" w:rsidRPr="003F46ED">
        <w:t xml:space="preserve"> to recognise the achievement of students who study languages in non-school settings and misses opportunities to expand languages enrolments for students who choose vocational courses in the senior years</w:t>
      </w:r>
      <w:r w:rsidR="00387707" w:rsidRPr="003F46ED">
        <w:t xml:space="preserve">. </w:t>
      </w:r>
    </w:p>
    <w:p w14:paraId="15805782" w14:textId="77777777" w:rsidR="007B1D45" w:rsidRPr="003F46ED" w:rsidRDefault="00191E72" w:rsidP="00DF445E">
      <w:pPr>
        <w:pStyle w:val="Heading4"/>
      </w:pPr>
      <w:r w:rsidRPr="003F46ED">
        <w:t>Implementation</w:t>
      </w:r>
      <w:r w:rsidR="00D47DEF" w:rsidRPr="003F46ED">
        <w:t xml:space="preserve"> </w:t>
      </w:r>
    </w:p>
    <w:p w14:paraId="4838A9BA" w14:textId="77777777" w:rsidR="007B1D45" w:rsidRPr="003F46ED" w:rsidRDefault="00E47249" w:rsidP="00B30583">
      <w:r w:rsidRPr="003F46ED">
        <w:t>Consultation for this research indicated strong interest among systems and stakeholders to expand certification options to enable more students to study languages. Developing new courses and accreditation procedures take</w:t>
      </w:r>
      <w:r w:rsidR="00EF1289" w:rsidRPr="003F46ED">
        <w:t>s</w:t>
      </w:r>
      <w:r w:rsidRPr="003F46ED">
        <w:t xml:space="preserve"> time. Work already undertaken through </w:t>
      </w:r>
      <w:proofErr w:type="spellStart"/>
      <w:r w:rsidR="002B0361" w:rsidRPr="003F46ED">
        <w:t>CCAFL</w:t>
      </w:r>
      <w:proofErr w:type="spellEnd"/>
      <w:r w:rsidRPr="003F46ED">
        <w:t xml:space="preserve">, Community Languages </w:t>
      </w:r>
      <w:r w:rsidRPr="003F46ED">
        <w:lastRenderedPageBreak/>
        <w:t xml:space="preserve">Australia and the </w:t>
      </w:r>
      <w:proofErr w:type="spellStart"/>
      <w:r w:rsidRPr="003F46ED">
        <w:t>VETiS</w:t>
      </w:r>
      <w:proofErr w:type="spellEnd"/>
      <w:r w:rsidRPr="003F46ED">
        <w:t xml:space="preserve"> Framework can support this.</w:t>
      </w:r>
      <w:r w:rsidR="00A164BF" w:rsidRPr="003F46ED">
        <w:t xml:space="preserve"> </w:t>
      </w:r>
      <w:r w:rsidR="00C764C5" w:rsidRPr="003F46ED">
        <w:t xml:space="preserve">Some initiatives, like the </w:t>
      </w:r>
      <w:proofErr w:type="spellStart"/>
      <w:r w:rsidR="00C764C5" w:rsidRPr="003F46ED">
        <w:t>VCE</w:t>
      </w:r>
      <w:proofErr w:type="spellEnd"/>
      <w:r w:rsidR="00C764C5" w:rsidRPr="003F46ED">
        <w:t xml:space="preserve"> (Bacc</w:t>
      </w:r>
      <w:r w:rsidR="00572AED" w:rsidRPr="003F46ED">
        <w:t>alaureate), are already in place.</w:t>
      </w:r>
      <w:r w:rsidR="00E204AA" w:rsidRPr="003F46ED">
        <w:t xml:space="preserve"> </w:t>
      </w:r>
      <w:r w:rsidR="00F14F36" w:rsidRPr="003F46ED">
        <w:t>However, t</w:t>
      </w:r>
      <w:r w:rsidR="00E204AA" w:rsidRPr="003F46ED">
        <w:t xml:space="preserve">he tertiary education sector still </w:t>
      </w:r>
      <w:r w:rsidR="00D956CE" w:rsidRPr="003F46ED">
        <w:t>should</w:t>
      </w:r>
      <w:r w:rsidR="00E204AA" w:rsidRPr="003F46ED">
        <w:t xml:space="preserve"> </w:t>
      </w:r>
      <w:r w:rsidR="00EF1289" w:rsidRPr="003F46ED">
        <w:t>determine</w:t>
      </w:r>
      <w:r w:rsidR="00E204AA" w:rsidRPr="003F46ED">
        <w:t xml:space="preserve"> </w:t>
      </w:r>
      <w:r w:rsidR="00174C67" w:rsidRPr="003F46ED">
        <w:t>how</w:t>
      </w:r>
      <w:r w:rsidR="00E204AA" w:rsidRPr="003F46ED">
        <w:t xml:space="preserve"> special certification that includes study of a language might be recognised</w:t>
      </w:r>
      <w:r w:rsidR="00CA7879" w:rsidRPr="003F46ED">
        <w:t xml:space="preserve"> for entry into courses</w:t>
      </w:r>
      <w:r w:rsidR="00E204AA" w:rsidRPr="003F46ED">
        <w:t>.</w:t>
      </w:r>
    </w:p>
    <w:p w14:paraId="230D05ED" w14:textId="77777777" w:rsidR="007B1D45" w:rsidRPr="003F46ED" w:rsidRDefault="00F73BC1" w:rsidP="00DF445E">
      <w:pPr>
        <w:pStyle w:val="Heading2"/>
        <w:numPr>
          <w:ilvl w:val="0"/>
          <w:numId w:val="50"/>
        </w:numPr>
      </w:pPr>
      <w:bookmarkStart w:id="578" w:name="_Toc445305270"/>
      <w:r w:rsidRPr="003F46ED">
        <w:t>Ensuring broad access to high quality languages teaching and programmes remains a challenge</w:t>
      </w:r>
      <w:bookmarkEnd w:id="578"/>
    </w:p>
    <w:p w14:paraId="00E2FF45" w14:textId="77777777" w:rsidR="007B1D45" w:rsidRPr="003F46ED" w:rsidRDefault="006929C8" w:rsidP="00B30583">
      <w:r w:rsidRPr="003F46ED">
        <w:t>Lack of access to high quality languages programmes is a major impediment to languages enrolment in the senior secondary years</w:t>
      </w:r>
      <w:r w:rsidR="00E53451" w:rsidRPr="003F46ED">
        <w:t>.</w:t>
      </w:r>
    </w:p>
    <w:p w14:paraId="3B06D2A9" w14:textId="45A9099F" w:rsidR="00F73BC1" w:rsidRPr="003F46ED" w:rsidRDefault="00F73BC1" w:rsidP="00116C8E">
      <w:pPr>
        <w:pStyle w:val="Heading3"/>
      </w:pPr>
      <w:r w:rsidRPr="003F46ED">
        <w:t>Recommendations</w:t>
      </w:r>
    </w:p>
    <w:p w14:paraId="647DFAF0" w14:textId="77777777" w:rsidR="00D0212E" w:rsidRPr="002F0716" w:rsidRDefault="00D0212E" w:rsidP="002F0716">
      <w:pPr>
        <w:pStyle w:val="Boxh3"/>
      </w:pPr>
      <w:r w:rsidRPr="003F46ED">
        <w:t>Recommendation 2</w:t>
      </w:r>
    </w:p>
    <w:p w14:paraId="5010B65B" w14:textId="77777777" w:rsidR="00D0212E" w:rsidRPr="003F46ED" w:rsidRDefault="00D0212E" w:rsidP="002F0716">
      <w:pPr>
        <w:pStyle w:val="Box"/>
      </w:pPr>
      <w:r w:rsidRPr="003F46ED">
        <w:t>2.1 Explore if, and how, each of the following impacts on retention of students in language learning programmes:</w:t>
      </w:r>
    </w:p>
    <w:p w14:paraId="2C30B3DA" w14:textId="77777777" w:rsidR="00D0212E" w:rsidRPr="003F46ED" w:rsidRDefault="00D0212E" w:rsidP="002F0716">
      <w:pPr>
        <w:pStyle w:val="Box"/>
        <w:numPr>
          <w:ilvl w:val="0"/>
          <w:numId w:val="29"/>
        </w:numPr>
        <w:rPr>
          <w:rFonts w:eastAsiaTheme="minorEastAsia" w:cs="Calibri"/>
          <w:bCs/>
        </w:rPr>
      </w:pPr>
      <w:r w:rsidRPr="003F46ED">
        <w:t>blended (technology-based) models of language learning</w:t>
      </w:r>
    </w:p>
    <w:p w14:paraId="63707029" w14:textId="77777777" w:rsidR="00D0212E" w:rsidRPr="003F46ED" w:rsidRDefault="00D0212E" w:rsidP="002F0716">
      <w:pPr>
        <w:pStyle w:val="Box"/>
        <w:numPr>
          <w:ilvl w:val="0"/>
          <w:numId w:val="29"/>
        </w:numPr>
        <w:rPr>
          <w:rFonts w:eastAsiaTheme="minorEastAsia" w:cs="Calibri"/>
          <w:bCs/>
        </w:rPr>
      </w:pPr>
      <w:proofErr w:type="gramStart"/>
      <w:r w:rsidRPr="003F46ED">
        <w:t>immersion</w:t>
      </w:r>
      <w:proofErr w:type="gramEnd"/>
      <w:r w:rsidRPr="003F46ED">
        <w:t xml:space="preserve"> programmes like Content and Language Integrated Learning (</w:t>
      </w:r>
      <w:proofErr w:type="spellStart"/>
      <w:r w:rsidRPr="003F46ED">
        <w:t>CLIL</w:t>
      </w:r>
      <w:proofErr w:type="spellEnd"/>
      <w:r w:rsidRPr="003F46ED">
        <w:t>).</w:t>
      </w:r>
    </w:p>
    <w:p w14:paraId="6B8BB70C" w14:textId="77777777" w:rsidR="00D0212E" w:rsidRPr="003F46ED" w:rsidRDefault="00D0212E" w:rsidP="002F0716">
      <w:pPr>
        <w:pStyle w:val="Box"/>
      </w:pPr>
      <w:r w:rsidRPr="003F46ED">
        <w:rPr>
          <w:rFonts w:cs="Calibri"/>
        </w:rPr>
        <w:t xml:space="preserve">2.2 </w:t>
      </w:r>
      <w:r w:rsidRPr="003F46ED">
        <w:t>Evaluate, with a view to expand, the Language Learning Space (Education Services Australia) to include support for all Australian Curriculum languages.</w:t>
      </w:r>
    </w:p>
    <w:p w14:paraId="69FA459C" w14:textId="77777777" w:rsidR="00D0212E" w:rsidRPr="003F46ED" w:rsidRDefault="00D0212E" w:rsidP="002F0716">
      <w:pPr>
        <w:pStyle w:val="Box"/>
      </w:pPr>
      <w:r w:rsidRPr="003F46ED">
        <w:t>2.3 Explore partnerships with business to co-invest in technology-enabled languages learning.</w:t>
      </w:r>
    </w:p>
    <w:p w14:paraId="414D746C" w14:textId="77777777" w:rsidR="00D0212E" w:rsidRPr="003F46ED" w:rsidRDefault="00D0212E" w:rsidP="002F0716">
      <w:pPr>
        <w:pStyle w:val="Box"/>
      </w:pPr>
      <w:r w:rsidRPr="003F46ED">
        <w:t>2.4 Expand expert language hubs in metropolitan, regional and rural/remote areas to share languages teaching expertise and quality teaching and learning resources.</w:t>
      </w:r>
    </w:p>
    <w:p w14:paraId="53782BA6" w14:textId="77777777" w:rsidR="00D0212E" w:rsidRPr="003F46ED" w:rsidRDefault="00D0212E" w:rsidP="002F0716">
      <w:pPr>
        <w:pStyle w:val="Box"/>
        <w:rPr>
          <w:rFonts w:cs="Calibri"/>
        </w:rPr>
      </w:pPr>
      <w:r w:rsidRPr="003F46ED">
        <w:t>2.5 Improve access in initial teacher education and professional learning to language specific pedagogies, including utilising new technologies and increasing opportunities for immersion in the target language.</w:t>
      </w:r>
    </w:p>
    <w:p w14:paraId="1B5FBDF9" w14:textId="77777777" w:rsidR="007B1D45" w:rsidRPr="003F46ED" w:rsidRDefault="007E3E0D" w:rsidP="00DF445E">
      <w:pPr>
        <w:pStyle w:val="Heading4"/>
      </w:pPr>
      <w:r w:rsidRPr="003F46ED">
        <w:t>Rationale</w:t>
      </w:r>
    </w:p>
    <w:p w14:paraId="1B341677" w14:textId="77777777" w:rsidR="007B1D45" w:rsidRPr="003F46ED" w:rsidRDefault="00596027" w:rsidP="00B30583">
      <w:r w:rsidRPr="003F46ED">
        <w:t>The quality of languages programmes influences student demand for senior secondary languages study. Access</w:t>
      </w:r>
      <w:r w:rsidR="00063695" w:rsidRPr="003F46ED">
        <w:t xml:space="preserve"> to preferred la</w:t>
      </w:r>
      <w:r w:rsidR="00B93C94" w:rsidRPr="003F46ED">
        <w:t>nguage, type of language course</w:t>
      </w:r>
      <w:r w:rsidR="00063695" w:rsidRPr="003F46ED">
        <w:t xml:space="preserve"> and mode of study</w:t>
      </w:r>
      <w:r w:rsidR="00F52258" w:rsidRPr="003F46ED">
        <w:t xml:space="preserve"> is crucial</w:t>
      </w:r>
      <w:r w:rsidR="000728B0" w:rsidRPr="003F46ED">
        <w:t>,</w:t>
      </w:r>
      <w:r w:rsidRPr="003F46ED">
        <w:t xml:space="preserve"> as </w:t>
      </w:r>
      <w:r w:rsidR="00742CB9" w:rsidRPr="003F46ED">
        <w:t>lack of such access</w:t>
      </w:r>
      <w:r w:rsidRPr="003F46ED">
        <w:t xml:space="preserve"> can </w:t>
      </w:r>
      <w:r w:rsidR="00F52258" w:rsidRPr="003F46ED">
        <w:t>prohibit</w:t>
      </w:r>
      <w:r w:rsidRPr="003F46ED">
        <w:t xml:space="preserve"> study</w:t>
      </w:r>
      <w:r w:rsidR="00F52258" w:rsidRPr="003F46ED">
        <w:t xml:space="preserve"> of</w:t>
      </w:r>
      <w:r w:rsidRPr="003F46ED">
        <w:t xml:space="preserve"> a language. When access </w:t>
      </w:r>
      <w:r w:rsidR="00F65199" w:rsidRPr="003F46ED">
        <w:t xml:space="preserve">is </w:t>
      </w:r>
      <w:r w:rsidRPr="003F46ED">
        <w:t>addressed, the focus can shift to building and sustaining demand (see Figure 4.4 above).</w:t>
      </w:r>
    </w:p>
    <w:p w14:paraId="22D649A7" w14:textId="4307BEEB" w:rsidR="00513AFE" w:rsidRPr="003F46ED" w:rsidRDefault="00513AFE" w:rsidP="00B30583">
      <w:r w:rsidRPr="003F46ED">
        <w:br w:type="page"/>
      </w:r>
    </w:p>
    <w:p w14:paraId="3767815E" w14:textId="77777777" w:rsidR="007B1D45" w:rsidRPr="003F46ED" w:rsidRDefault="00191E72" w:rsidP="00DF445E">
      <w:pPr>
        <w:pStyle w:val="Heading4"/>
      </w:pPr>
      <w:r w:rsidRPr="003F46ED">
        <w:lastRenderedPageBreak/>
        <w:t>Implementation</w:t>
      </w:r>
    </w:p>
    <w:p w14:paraId="1AA99219" w14:textId="77777777" w:rsidR="007B1D45" w:rsidRPr="003F46ED" w:rsidRDefault="005F3CDA" w:rsidP="00B30583">
      <w:pPr>
        <w:rPr>
          <w:szCs w:val="22"/>
        </w:rPr>
      </w:pPr>
      <w:r w:rsidRPr="003F46ED">
        <w:t xml:space="preserve">There is </w:t>
      </w:r>
      <w:r w:rsidR="00B23956" w:rsidRPr="003F46ED">
        <w:t xml:space="preserve">national </w:t>
      </w:r>
      <w:r w:rsidRPr="003F46ED">
        <w:t>interest</w:t>
      </w:r>
      <w:r w:rsidR="00CE04D2" w:rsidRPr="003F46ED">
        <w:t xml:space="preserve"> </w:t>
      </w:r>
      <w:r w:rsidRPr="003F46ED">
        <w:t xml:space="preserve">to </w:t>
      </w:r>
      <w:r w:rsidR="00B23956" w:rsidRPr="003F46ED">
        <w:t xml:space="preserve">collaborate on </w:t>
      </w:r>
      <w:r w:rsidRPr="003F46ED">
        <w:t>technology-based and immersion approaches to language learning.</w:t>
      </w:r>
      <w:r w:rsidR="00D603DC" w:rsidRPr="003F46ED">
        <w:t xml:space="preserve"> Language hubs already established in some jurisdictions can inform implementation in others. </w:t>
      </w:r>
      <w:r w:rsidR="00191E72" w:rsidRPr="003F46ED">
        <w:t xml:space="preserve">Initial teacher preparation for languages </w:t>
      </w:r>
      <w:r w:rsidR="00BA2617" w:rsidRPr="003F46ED">
        <w:t>was</w:t>
      </w:r>
      <w:r w:rsidR="00191E72" w:rsidRPr="003F46ED">
        <w:t xml:space="preserve"> in the scope of the Teacher Education Ministerial Advisory Group.</w:t>
      </w:r>
      <w:r w:rsidR="00F52258" w:rsidRPr="003F46ED">
        <w:t xml:space="preserve"> </w:t>
      </w:r>
      <w:r w:rsidR="00191E72" w:rsidRPr="003F46ED">
        <w:rPr>
          <w:szCs w:val="22"/>
        </w:rPr>
        <w:t xml:space="preserve">The </w:t>
      </w:r>
      <w:proofErr w:type="spellStart"/>
      <w:r w:rsidR="00191E72" w:rsidRPr="003F46ED">
        <w:rPr>
          <w:szCs w:val="22"/>
        </w:rPr>
        <w:t>AFMLTA</w:t>
      </w:r>
      <w:proofErr w:type="spellEnd"/>
      <w:r w:rsidR="00191E72" w:rsidRPr="003F46ED">
        <w:rPr>
          <w:szCs w:val="22"/>
        </w:rPr>
        <w:t xml:space="preserve"> Professional Standards for Accomplished Teaching of Languages and Cultures have been aligned to the Australian Professional Standards for Teachers on ESA’s </w:t>
      </w:r>
      <w:r w:rsidR="00191E72" w:rsidRPr="003F46ED">
        <w:rPr>
          <w:i/>
          <w:szCs w:val="22"/>
        </w:rPr>
        <w:t>Language Learning Space</w:t>
      </w:r>
      <w:r w:rsidR="00912195" w:rsidRPr="003F46ED">
        <w:rPr>
          <w:szCs w:val="22"/>
        </w:rPr>
        <w:t xml:space="preserve">. These </w:t>
      </w:r>
      <w:r w:rsidR="004441B3" w:rsidRPr="003F46ED">
        <w:rPr>
          <w:szCs w:val="22"/>
        </w:rPr>
        <w:t>could</w:t>
      </w:r>
      <w:r w:rsidR="00912195" w:rsidRPr="003F46ED">
        <w:rPr>
          <w:szCs w:val="22"/>
        </w:rPr>
        <w:t xml:space="preserve"> guide </w:t>
      </w:r>
      <w:r w:rsidR="00191E72" w:rsidRPr="003F46ED">
        <w:rPr>
          <w:szCs w:val="22"/>
        </w:rPr>
        <w:t>future work in the teacher education and/or professional learning space.</w:t>
      </w:r>
    </w:p>
    <w:p w14:paraId="6F03AAF9" w14:textId="77777777" w:rsidR="007B1D45" w:rsidRPr="003F46ED" w:rsidRDefault="00435878" w:rsidP="00DF445E">
      <w:pPr>
        <w:pStyle w:val="Heading2"/>
        <w:numPr>
          <w:ilvl w:val="0"/>
          <w:numId w:val="50"/>
        </w:numPr>
      </w:pPr>
      <w:bookmarkStart w:id="579" w:name="_Toc445305271"/>
      <w:r w:rsidRPr="003F46ED">
        <w:t xml:space="preserve">Engaging </w:t>
      </w:r>
      <w:r w:rsidR="00223E8D" w:rsidRPr="003F46ED">
        <w:t>all stakeholders in recognising</w:t>
      </w:r>
      <w:r w:rsidR="00A90730" w:rsidRPr="003F46ED">
        <w:t xml:space="preserve"> and promoting</w:t>
      </w:r>
      <w:r w:rsidR="00223E8D" w:rsidRPr="003F46ED">
        <w:t xml:space="preserve"> the value and utility of languages</w:t>
      </w:r>
      <w:r w:rsidR="00CE6D08" w:rsidRPr="003F46ED">
        <w:t xml:space="preserve"> </w:t>
      </w:r>
      <w:r w:rsidRPr="003F46ED">
        <w:t>remains a challenge</w:t>
      </w:r>
      <w:bookmarkEnd w:id="579"/>
    </w:p>
    <w:p w14:paraId="258AD35B" w14:textId="77777777" w:rsidR="007B1D45" w:rsidRPr="003F46ED" w:rsidRDefault="00745BCA" w:rsidP="00715217">
      <w:pPr>
        <w:pStyle w:val="ListParagraph"/>
        <w:ind w:left="360"/>
      </w:pPr>
      <w:r w:rsidRPr="003F46ED">
        <w:t>Student demand for senior secondary languages is complex</w:t>
      </w:r>
      <w:r w:rsidR="00164D87" w:rsidRPr="003F46ED">
        <w:t>, so strategies for building and sustaining demand need to be multi-dimensional</w:t>
      </w:r>
      <w:r w:rsidR="00435878" w:rsidRPr="003F46ED">
        <w:t xml:space="preserve"> and involve a broad range of stakeholders</w:t>
      </w:r>
      <w:r w:rsidR="00164D87" w:rsidRPr="003F46ED">
        <w:t>.</w:t>
      </w:r>
      <w:r w:rsidR="00B01502" w:rsidRPr="003F46ED">
        <w:t xml:space="preserve"> The problem is to convince a broader cohort of students of th</w:t>
      </w:r>
      <w:r w:rsidR="00864170" w:rsidRPr="003F46ED">
        <w:t>e utility and value of language</w:t>
      </w:r>
      <w:r w:rsidR="00B01502" w:rsidRPr="003F46ED">
        <w:t xml:space="preserve"> learning in the senior secondary years.</w:t>
      </w:r>
    </w:p>
    <w:p w14:paraId="0CE374B0" w14:textId="7AC2FDAD" w:rsidR="00CE6D08" w:rsidRPr="003F46ED" w:rsidRDefault="006818A9" w:rsidP="00715217">
      <w:pPr>
        <w:pStyle w:val="ListParagraph"/>
        <w:ind w:left="360"/>
      </w:pPr>
      <w:r w:rsidRPr="003F46ED">
        <w:t>Recommendations</w:t>
      </w:r>
    </w:p>
    <w:p w14:paraId="16E8E8A0" w14:textId="77777777" w:rsidR="00D0212E" w:rsidRPr="00DF445E" w:rsidRDefault="00D0212E" w:rsidP="002F0716">
      <w:pPr>
        <w:pStyle w:val="Boxh3"/>
      </w:pPr>
      <w:r w:rsidRPr="00DF445E">
        <w:t>Recommendation 3</w:t>
      </w:r>
    </w:p>
    <w:p w14:paraId="0031074A" w14:textId="77777777" w:rsidR="00D0212E" w:rsidRPr="003F46ED" w:rsidRDefault="00D0212E" w:rsidP="002F0716">
      <w:pPr>
        <w:pStyle w:val="Box"/>
      </w:pPr>
      <w:r w:rsidRPr="003F46ED">
        <w:t>3.1 Develop and promote a nationally agreed set of messages to build demand for languages that:</w:t>
      </w:r>
    </w:p>
    <w:p w14:paraId="73F14818" w14:textId="77777777" w:rsidR="00D0212E" w:rsidRPr="003F46ED" w:rsidRDefault="00D0212E" w:rsidP="002F0716">
      <w:pPr>
        <w:pStyle w:val="Box"/>
        <w:numPr>
          <w:ilvl w:val="0"/>
          <w:numId w:val="30"/>
        </w:numPr>
        <w:rPr>
          <w:bCs/>
        </w:rPr>
      </w:pPr>
      <w:r w:rsidRPr="003F46ED">
        <w:t>speak directly to the interests of senior secondary students</w:t>
      </w:r>
    </w:p>
    <w:p w14:paraId="0A67B2FD" w14:textId="77777777" w:rsidR="00D0212E" w:rsidRPr="003F46ED" w:rsidRDefault="00D0212E" w:rsidP="002F0716">
      <w:pPr>
        <w:pStyle w:val="Box"/>
        <w:numPr>
          <w:ilvl w:val="0"/>
          <w:numId w:val="30"/>
        </w:numPr>
        <w:rPr>
          <w:bCs/>
        </w:rPr>
      </w:pPr>
      <w:r w:rsidRPr="003F46ED">
        <w:t>engage schools, business, community groups and tertiary education sector to ensure a consistent message and support</w:t>
      </w:r>
    </w:p>
    <w:p w14:paraId="474A55C6" w14:textId="77777777" w:rsidR="00D0212E" w:rsidRPr="003F46ED" w:rsidRDefault="00D0212E" w:rsidP="002F0716">
      <w:pPr>
        <w:pStyle w:val="Box"/>
        <w:numPr>
          <w:ilvl w:val="0"/>
          <w:numId w:val="30"/>
        </w:numPr>
        <w:rPr>
          <w:bCs/>
        </w:rPr>
      </w:pPr>
      <w:proofErr w:type="gramStart"/>
      <w:r w:rsidRPr="003F46ED">
        <w:t>adopt</w:t>
      </w:r>
      <w:proofErr w:type="gramEnd"/>
      <w:r w:rsidRPr="003F46ED">
        <w:t xml:space="preserve"> effective communication channels relevant to the target audience.</w:t>
      </w:r>
    </w:p>
    <w:p w14:paraId="09C959CF" w14:textId="77777777" w:rsidR="00D0212E" w:rsidRPr="003F46ED" w:rsidRDefault="00D0212E" w:rsidP="002F0716">
      <w:pPr>
        <w:pStyle w:val="Box"/>
      </w:pPr>
      <w:r w:rsidRPr="003F46ED">
        <w:t>3.2 Engage school leaders in promoting and supporting languages.</w:t>
      </w:r>
    </w:p>
    <w:p w14:paraId="0C871B9D" w14:textId="77777777" w:rsidR="00D0212E" w:rsidRPr="003F46ED" w:rsidRDefault="00D0212E" w:rsidP="002F0716">
      <w:pPr>
        <w:pStyle w:val="Box"/>
      </w:pPr>
      <w:r w:rsidRPr="003F46ED">
        <w:t>3.3 Recognise student progress in languages at stages of learning prior to the senior secondary years (e.g. a Languages Passport).</w:t>
      </w:r>
    </w:p>
    <w:p w14:paraId="363B1F77" w14:textId="77777777" w:rsidR="00D0212E" w:rsidRPr="003F46ED" w:rsidRDefault="00D0212E" w:rsidP="002F0716">
      <w:pPr>
        <w:pStyle w:val="Box"/>
      </w:pPr>
      <w:r w:rsidRPr="003F46ED">
        <w:t>3.4 Provide students with expanded post-secondary languages pathways in universities and VET.</w:t>
      </w:r>
    </w:p>
    <w:p w14:paraId="0A7AB6CE" w14:textId="77777777" w:rsidR="007B1D45" w:rsidRPr="003F46ED" w:rsidRDefault="000716C9" w:rsidP="00DF445E">
      <w:pPr>
        <w:pStyle w:val="Heading4"/>
      </w:pPr>
      <w:r w:rsidRPr="003F46ED">
        <w:t>Rationale</w:t>
      </w:r>
    </w:p>
    <w:p w14:paraId="0F1EB56D" w14:textId="77777777" w:rsidR="007B1D45" w:rsidRPr="003F46ED" w:rsidRDefault="00824CD8" w:rsidP="00B30583">
      <w:r w:rsidRPr="003F46ED">
        <w:t>Student demand for languages is disproportionate along several lines</w:t>
      </w:r>
      <w:r w:rsidR="00805B8E" w:rsidRPr="003F46ED">
        <w:t>, which indicates its perceived lack of value and utility by particular types of students</w:t>
      </w:r>
      <w:r w:rsidRPr="003F46ED">
        <w:t xml:space="preserve">. </w:t>
      </w:r>
      <w:r w:rsidR="00492793" w:rsidRPr="003F46ED">
        <w:t>L</w:t>
      </w:r>
      <w:r w:rsidR="004C37B9" w:rsidRPr="003F46ED">
        <w:t xml:space="preserve">anguages are typically seen as a subject for the academically inclined and socio-economically privileged. The most likely profile of a language learner includes characteristics such as being female, having a parent born overseas in a non-English speaking country, high </w:t>
      </w:r>
      <w:r w:rsidR="00D65144" w:rsidRPr="003F46ED">
        <w:t>SES</w:t>
      </w:r>
      <w:r w:rsidR="004C37B9" w:rsidRPr="003F46ED">
        <w:t xml:space="preserve">, high </w:t>
      </w:r>
      <w:r w:rsidR="00190A69" w:rsidRPr="003F46ED">
        <w:t xml:space="preserve">academic </w:t>
      </w:r>
      <w:r w:rsidR="004C37B9" w:rsidRPr="003F46ED">
        <w:t xml:space="preserve">achievement and attending an Independent school in a </w:t>
      </w:r>
      <w:r w:rsidRPr="003F46ED">
        <w:t>capital city.</w:t>
      </w:r>
    </w:p>
    <w:p w14:paraId="5B24BBC3" w14:textId="77777777" w:rsidR="007B1D45" w:rsidRPr="003F46ED" w:rsidRDefault="00432F42" w:rsidP="00B30583">
      <w:r w:rsidRPr="003F46ED">
        <w:t xml:space="preserve">Language learning is potentially for </w:t>
      </w:r>
      <w:r w:rsidRPr="003F46ED">
        <w:rPr>
          <w:i/>
        </w:rPr>
        <w:t xml:space="preserve">all </w:t>
      </w:r>
      <w:r w:rsidRPr="003F46ED">
        <w:t xml:space="preserve">students from </w:t>
      </w:r>
      <w:r w:rsidRPr="003F46ED">
        <w:rPr>
          <w:i/>
        </w:rPr>
        <w:t xml:space="preserve">all </w:t>
      </w:r>
      <w:r w:rsidRPr="003F46ED">
        <w:t xml:space="preserve">backgrounds. </w:t>
      </w:r>
      <w:r w:rsidR="002E4171" w:rsidRPr="003F46ED">
        <w:t>The educational benefits of studying languages need to be reinforced among school leaders and the community</w:t>
      </w:r>
      <w:r w:rsidR="00856139" w:rsidRPr="003F46ED">
        <w:t xml:space="preserve">. These </w:t>
      </w:r>
      <w:r w:rsidR="002E4171" w:rsidRPr="003F46ED">
        <w:t>includ</w:t>
      </w:r>
      <w:r w:rsidR="00856139" w:rsidRPr="003F46ED">
        <w:t>e</w:t>
      </w:r>
      <w:r w:rsidR="002E4171" w:rsidRPr="003F46ED">
        <w:t xml:space="preserve"> the cognitive benefits of language study for learning English, and gains for intercultural understanding arising </w:t>
      </w:r>
      <w:r w:rsidR="003F0629" w:rsidRPr="003F46ED">
        <w:t xml:space="preserve">from study of another language. </w:t>
      </w:r>
      <w:r w:rsidR="00C54DC4" w:rsidRPr="003F46ED">
        <w:t xml:space="preserve">This reinforcement is necessary as the consultations have revealed </w:t>
      </w:r>
      <w:r w:rsidR="003F0629" w:rsidRPr="003F46ED">
        <w:t>lingering</w:t>
      </w:r>
      <w:r w:rsidR="00C54DC4" w:rsidRPr="003F46ED">
        <w:t xml:space="preserve"> misperceptions – within school</w:t>
      </w:r>
      <w:r w:rsidR="00587ECA" w:rsidRPr="003F46ED">
        <w:t>s</w:t>
      </w:r>
      <w:r w:rsidR="00C54DC4" w:rsidRPr="003F46ED">
        <w:t xml:space="preserve"> and broader communities – that learning a</w:t>
      </w:r>
      <w:r w:rsidR="00EE0F13" w:rsidRPr="003F46ED">
        <w:t xml:space="preserve">n additional language takes </w:t>
      </w:r>
      <w:r w:rsidR="00C54DC4" w:rsidRPr="003F46ED">
        <w:t>focus away from English literacy.</w:t>
      </w:r>
      <w:r w:rsidR="004636ED" w:rsidRPr="003F46ED">
        <w:t xml:space="preserve"> Yet, the research shows </w:t>
      </w:r>
      <w:r w:rsidR="00AD2753" w:rsidRPr="003F46ED">
        <w:t xml:space="preserve">that learning an additional language has </w:t>
      </w:r>
      <w:r w:rsidR="008628D3" w:rsidRPr="003F46ED">
        <w:t xml:space="preserve">clear </w:t>
      </w:r>
      <w:r w:rsidR="00AD2753" w:rsidRPr="003F46ED">
        <w:t>cognitive benefits</w:t>
      </w:r>
      <w:r w:rsidR="007060B1" w:rsidRPr="003F46ED">
        <w:t>, including better literacy skills overall (</w:t>
      </w:r>
      <w:r w:rsidR="00692341" w:rsidRPr="003F46ED">
        <w:t xml:space="preserve">see, for example, de Groot &amp; Kroll, 1997). </w:t>
      </w:r>
    </w:p>
    <w:p w14:paraId="6B23C054" w14:textId="77777777" w:rsidR="007B1D45" w:rsidRPr="003F46ED" w:rsidRDefault="002E4171" w:rsidP="00B30583">
      <w:r w:rsidRPr="003F46ED">
        <w:lastRenderedPageBreak/>
        <w:t>Supportive school leadership and positive school culture are essential to build and sustain student demand for languages. When languages are portrayed in schools as a non-essential subject</w:t>
      </w:r>
      <w:r w:rsidR="00CC1082" w:rsidRPr="003F46ED">
        <w:t>,</w:t>
      </w:r>
      <w:r w:rsidRPr="003F46ED">
        <w:t xml:space="preserve"> with poor time allocations and timetabling, students also see them as relatively unimportant. </w:t>
      </w:r>
    </w:p>
    <w:p w14:paraId="01CEF683" w14:textId="77777777" w:rsidR="007B1D45" w:rsidRPr="003F46ED" w:rsidRDefault="002E4171" w:rsidP="00B30583">
      <w:r w:rsidRPr="003F46ED">
        <w:t>Language learners need recognition of progress and achievement to sustain their interest in continuing languages</w:t>
      </w:r>
      <w:r w:rsidR="00C30601" w:rsidRPr="003F46ED">
        <w:t xml:space="preserve"> (</w:t>
      </w:r>
      <w:r w:rsidRPr="003F46ED">
        <w:t>in a similar way to music students</w:t>
      </w:r>
      <w:r w:rsidR="00C30601" w:rsidRPr="003F46ED">
        <w:t>)</w:t>
      </w:r>
      <w:r w:rsidRPr="003F46ED">
        <w:t>. The European Union’s ‘Language Passport’ provides external recognition of student achievement.</w:t>
      </w:r>
      <w:r w:rsidR="00C30601" w:rsidRPr="003F46ED">
        <w:t xml:space="preserve"> Target country study opportunities at critical student choice times (like Years 9, 10 and 11) </w:t>
      </w:r>
      <w:r w:rsidR="003C4C77" w:rsidRPr="003F46ED">
        <w:t xml:space="preserve">can </w:t>
      </w:r>
      <w:r w:rsidR="00C30601" w:rsidRPr="003F46ED">
        <w:t>strongly motivate students to continue languages.</w:t>
      </w:r>
      <w:r w:rsidRPr="003F46ED">
        <w:t xml:space="preserve"> </w:t>
      </w:r>
    </w:p>
    <w:p w14:paraId="01E2D7DD" w14:textId="77777777" w:rsidR="007B1D45" w:rsidRPr="003F46ED" w:rsidRDefault="0094329F" w:rsidP="00B30583">
      <w:r w:rsidRPr="003F46ED">
        <w:t>Strengthening the pull factor from the</w:t>
      </w:r>
      <w:r w:rsidR="00030CED" w:rsidRPr="003F46ED">
        <w:t xml:space="preserve"> business sector and</w:t>
      </w:r>
      <w:r w:rsidRPr="003F46ED">
        <w:t xml:space="preserve"> tertiary education sector could also help to build and sustain demand through the senior secondary years</w:t>
      </w:r>
      <w:r w:rsidR="002E4171" w:rsidRPr="003F46ED">
        <w:t xml:space="preserve">. Currently few options for students to continue languages exist in most university and vocational courses. </w:t>
      </w:r>
      <w:r w:rsidR="00EB6CA2" w:rsidRPr="003F46ED">
        <w:t>As mentioned previously, s</w:t>
      </w:r>
      <w:r w:rsidR="002E4171" w:rsidRPr="003F46ED">
        <w:t>ome institutions have made impressive progress in increasing the number of students taking languages by opening up subject choices and providing options for concurrent languages study.</w:t>
      </w:r>
      <w:r w:rsidR="00842756" w:rsidRPr="003F46ED">
        <w:t xml:space="preserve"> </w:t>
      </w:r>
    </w:p>
    <w:p w14:paraId="26D86D6D" w14:textId="77777777" w:rsidR="007B1D45" w:rsidRPr="003F46ED" w:rsidRDefault="00842756" w:rsidP="00B30583">
      <w:r w:rsidRPr="003F46ED">
        <w:t xml:space="preserve">In addition, tertiary institutions can provide fee subsidies </w:t>
      </w:r>
      <w:r w:rsidR="002B67AF" w:rsidRPr="003F46ED">
        <w:t xml:space="preserve">or credit towards a course </w:t>
      </w:r>
      <w:r w:rsidR="00576626" w:rsidRPr="003F46ED">
        <w:t>as incentive</w:t>
      </w:r>
      <w:r w:rsidR="002B67AF" w:rsidRPr="003F46ED">
        <w:t>s</w:t>
      </w:r>
      <w:r w:rsidR="00576626" w:rsidRPr="003F46ED">
        <w:t xml:space="preserve"> for </w:t>
      </w:r>
      <w:r w:rsidRPr="003F46ED">
        <w:t xml:space="preserve">students </w:t>
      </w:r>
      <w:r w:rsidR="004870AE" w:rsidRPr="003F46ED">
        <w:t>to</w:t>
      </w:r>
      <w:r w:rsidRPr="003F46ED">
        <w:t xml:space="preserve"> complete Year 12 language study.</w:t>
      </w:r>
      <w:r w:rsidR="002B67AF" w:rsidRPr="003F46ED">
        <w:t xml:space="preserve"> The </w:t>
      </w:r>
      <w:r w:rsidRPr="003F46ED">
        <w:t>University of Tasmania (</w:t>
      </w:r>
      <w:proofErr w:type="spellStart"/>
      <w:r w:rsidRPr="003F46ED">
        <w:t>UTAS</w:t>
      </w:r>
      <w:proofErr w:type="spellEnd"/>
      <w:r w:rsidRPr="003F46ED">
        <w:t>) High Achiever Program</w:t>
      </w:r>
      <w:r w:rsidR="002B67AF" w:rsidRPr="003F46ED">
        <w:t xml:space="preserve"> is one example of this approach. </w:t>
      </w:r>
      <w:proofErr w:type="spellStart"/>
      <w:r w:rsidRPr="003F46ED">
        <w:t>UTAS</w:t>
      </w:r>
      <w:proofErr w:type="spellEnd"/>
      <w:r w:rsidR="002B67AF" w:rsidRPr="003F46ED">
        <w:t xml:space="preserve"> also has a</w:t>
      </w:r>
      <w:r w:rsidRPr="003F46ED">
        <w:t xml:space="preserve"> College Program, </w:t>
      </w:r>
      <w:r w:rsidR="002B67AF" w:rsidRPr="003F46ED">
        <w:t xml:space="preserve">which enables students in </w:t>
      </w:r>
      <w:r w:rsidRPr="003F46ED">
        <w:t>Year</w:t>
      </w:r>
      <w:r w:rsidR="002B67AF" w:rsidRPr="003F46ED">
        <w:t>s</w:t>
      </w:r>
      <w:r w:rsidRPr="003F46ED">
        <w:t xml:space="preserve"> 11 and 12 to enrol in </w:t>
      </w:r>
      <w:proofErr w:type="spellStart"/>
      <w:r w:rsidRPr="003F46ED">
        <w:t>UTAS</w:t>
      </w:r>
      <w:proofErr w:type="spellEnd"/>
      <w:r w:rsidRPr="003F46ED">
        <w:t xml:space="preserve"> units</w:t>
      </w:r>
      <w:r w:rsidR="00841023" w:rsidRPr="003F46ED">
        <w:t>,</w:t>
      </w:r>
      <w:r w:rsidR="00AA7EBB" w:rsidRPr="003F46ED">
        <w:t xml:space="preserve"> such as </w:t>
      </w:r>
      <w:r w:rsidR="002B67AF" w:rsidRPr="003F46ED">
        <w:t xml:space="preserve">a </w:t>
      </w:r>
      <w:r w:rsidRPr="003F46ED">
        <w:t>specialist Asian Studies Pathway</w:t>
      </w:r>
      <w:r w:rsidR="002B67AF" w:rsidRPr="003F46ED">
        <w:t xml:space="preserve"> that </w:t>
      </w:r>
      <w:r w:rsidRPr="003F46ED">
        <w:t>provid</w:t>
      </w:r>
      <w:r w:rsidR="002B67AF" w:rsidRPr="003F46ED">
        <w:t>es</w:t>
      </w:r>
      <w:r w:rsidRPr="003F46ED">
        <w:t xml:space="preserve"> a focus on Asian languages and cultures.</w:t>
      </w:r>
    </w:p>
    <w:p w14:paraId="63A2932B" w14:textId="77777777" w:rsidR="007B1D45" w:rsidRPr="003F46ED" w:rsidRDefault="009B0069" w:rsidP="00DF445E">
      <w:pPr>
        <w:pStyle w:val="Heading4"/>
      </w:pPr>
      <w:r w:rsidRPr="003F46ED">
        <w:t>Implementation</w:t>
      </w:r>
    </w:p>
    <w:p w14:paraId="41E9EB6E" w14:textId="77777777" w:rsidR="007B1D45" w:rsidRPr="003F46ED" w:rsidRDefault="00866780" w:rsidP="00B30583">
      <w:r w:rsidRPr="003F46ED">
        <w:t>The Education Council is an appropriate forum to agree on key messaging to build student demand for languages and to harness the support of school leaders, business, community and the tertiary sector.</w:t>
      </w:r>
    </w:p>
    <w:p w14:paraId="151BCADC" w14:textId="77777777" w:rsidR="007B1D45" w:rsidRPr="003F46ED" w:rsidRDefault="00EE6CFB" w:rsidP="00DF445E">
      <w:pPr>
        <w:pStyle w:val="Heading2"/>
        <w:numPr>
          <w:ilvl w:val="0"/>
          <w:numId w:val="50"/>
        </w:numPr>
      </w:pPr>
      <w:bookmarkStart w:id="580" w:name="_Toc445305272"/>
      <w:r w:rsidRPr="003F46ED">
        <w:t xml:space="preserve">The </w:t>
      </w:r>
      <w:r w:rsidR="00112BE2" w:rsidRPr="003F46ED">
        <w:t>varied</w:t>
      </w:r>
      <w:r w:rsidRPr="003F46ED">
        <w:t xml:space="preserve"> nature of language</w:t>
      </w:r>
      <w:r w:rsidR="004B39C4" w:rsidRPr="003F46ED">
        <w:t>s</w:t>
      </w:r>
      <w:r w:rsidRPr="003F46ED">
        <w:t xml:space="preserve"> policy in Australia and lack of a consistent national data framework inhibits </w:t>
      </w:r>
      <w:r w:rsidR="006A403D" w:rsidRPr="003F46ED">
        <w:t>evidence-informed planning</w:t>
      </w:r>
      <w:r w:rsidR="00C45306" w:rsidRPr="003F46ED">
        <w:t xml:space="preserve"> for improvement</w:t>
      </w:r>
      <w:bookmarkEnd w:id="580"/>
    </w:p>
    <w:p w14:paraId="0E175E98" w14:textId="77777777" w:rsidR="007B1D45" w:rsidRPr="00116C8E" w:rsidRDefault="00812BBB" w:rsidP="00116C8E">
      <w:r w:rsidRPr="00116C8E">
        <w:t>Lack of nationally consistent</w:t>
      </w:r>
      <w:r w:rsidR="00D1180C" w:rsidRPr="00116C8E">
        <w:t xml:space="preserve"> and comparable</w:t>
      </w:r>
      <w:r w:rsidRPr="00116C8E">
        <w:t xml:space="preserve"> student </w:t>
      </w:r>
      <w:r w:rsidR="000D2141" w:rsidRPr="00116C8E">
        <w:t>languages</w:t>
      </w:r>
      <w:r w:rsidRPr="00116C8E">
        <w:t xml:space="preserve"> data is a major barrier to languages planning in Australia. </w:t>
      </w:r>
      <w:r w:rsidR="0087567A" w:rsidRPr="00116C8E">
        <w:t xml:space="preserve">Successful strategies in some jurisdictions and sectors to boost </w:t>
      </w:r>
      <w:r w:rsidR="00F455EC" w:rsidRPr="00116C8E">
        <w:t xml:space="preserve">senior secondary </w:t>
      </w:r>
      <w:r w:rsidR="0087567A" w:rsidRPr="00116C8E">
        <w:t xml:space="preserve">language enrolments </w:t>
      </w:r>
      <w:r w:rsidR="00F455EC" w:rsidRPr="00116C8E">
        <w:t xml:space="preserve">and </w:t>
      </w:r>
      <w:r w:rsidR="007E2AEB" w:rsidRPr="00116C8E">
        <w:t>to expand and strengthen the language student pipeline</w:t>
      </w:r>
      <w:r w:rsidR="0087567A" w:rsidRPr="00116C8E">
        <w:t xml:space="preserve"> are not necessarily informing practice nationally.</w:t>
      </w:r>
    </w:p>
    <w:p w14:paraId="1A3C4F2A" w14:textId="6642071A" w:rsidR="003277D3" w:rsidRPr="003F46ED" w:rsidRDefault="003277D3" w:rsidP="00B30583">
      <w:r w:rsidRPr="003F46ED">
        <w:br w:type="page"/>
      </w:r>
    </w:p>
    <w:p w14:paraId="16B5CAD6" w14:textId="77777777" w:rsidR="006818A9" w:rsidRPr="003F46ED" w:rsidRDefault="000D5CF3" w:rsidP="002F0716">
      <w:pPr>
        <w:pStyle w:val="Boxh3"/>
      </w:pPr>
      <w:r w:rsidRPr="003F46ED">
        <w:lastRenderedPageBreak/>
        <w:t>Recommendation</w:t>
      </w:r>
    </w:p>
    <w:p w14:paraId="6E574283" w14:textId="77777777" w:rsidR="00D0212E" w:rsidRPr="003F46ED" w:rsidRDefault="00D0212E" w:rsidP="002F0716">
      <w:pPr>
        <w:pStyle w:val="Boxh4"/>
      </w:pPr>
      <w:r w:rsidRPr="003F46ED">
        <w:t>Recommendation 4: The Education Council commits to national collaborative work to boost enrolments in languages at the senior secondary level and establishes mechanisms to:</w:t>
      </w:r>
    </w:p>
    <w:p w14:paraId="249F9221" w14:textId="77777777" w:rsidR="00D0212E" w:rsidRPr="003F46ED" w:rsidRDefault="00D0212E" w:rsidP="002F0716">
      <w:pPr>
        <w:pStyle w:val="Box"/>
        <w:numPr>
          <w:ilvl w:val="0"/>
          <w:numId w:val="31"/>
        </w:numPr>
        <w:rPr>
          <w:rFonts w:eastAsiaTheme="minorEastAsia"/>
        </w:rPr>
      </w:pPr>
      <w:r w:rsidRPr="003F46ED">
        <w:t>ensure a nationally consistent languages data collection and reporting framework</w:t>
      </w:r>
    </w:p>
    <w:p w14:paraId="18B5BD1B" w14:textId="77777777" w:rsidR="00D0212E" w:rsidRPr="003F46ED" w:rsidRDefault="00D0212E" w:rsidP="002F0716">
      <w:pPr>
        <w:pStyle w:val="Box"/>
        <w:numPr>
          <w:ilvl w:val="0"/>
          <w:numId w:val="31"/>
        </w:numPr>
        <w:rPr>
          <w:rFonts w:eastAsiaTheme="minorEastAsia"/>
        </w:rPr>
      </w:pPr>
      <w:r w:rsidRPr="003F46ED">
        <w:t>share evidence of policies and strategies that boost student enrolment numbers</w:t>
      </w:r>
    </w:p>
    <w:p w14:paraId="0F24625E" w14:textId="77777777" w:rsidR="00D0212E" w:rsidRPr="003F46ED" w:rsidRDefault="00D0212E" w:rsidP="002F0716">
      <w:pPr>
        <w:pStyle w:val="Box"/>
        <w:numPr>
          <w:ilvl w:val="0"/>
          <w:numId w:val="31"/>
        </w:numPr>
        <w:rPr>
          <w:rFonts w:eastAsiaTheme="minorEastAsia"/>
        </w:rPr>
      </w:pPr>
      <w:r w:rsidRPr="003F46ED">
        <w:t>collaborate on strategies of national interest</w:t>
      </w:r>
    </w:p>
    <w:p w14:paraId="01DE746A" w14:textId="77777777" w:rsidR="00D0212E" w:rsidRPr="003F46ED" w:rsidRDefault="00D0212E" w:rsidP="002F0716">
      <w:pPr>
        <w:pStyle w:val="Box"/>
        <w:numPr>
          <w:ilvl w:val="0"/>
          <w:numId w:val="31"/>
        </w:numPr>
        <w:rPr>
          <w:rFonts w:eastAsiaTheme="minorEastAsia"/>
        </w:rPr>
      </w:pPr>
      <w:proofErr w:type="gramStart"/>
      <w:r w:rsidRPr="003F46ED">
        <w:t>further</w:t>
      </w:r>
      <w:proofErr w:type="gramEnd"/>
      <w:r w:rsidRPr="003F46ED">
        <w:t xml:space="preserve"> investigate ways to expand and strengthen the language student pipeline from the Early Years to Year 10.</w:t>
      </w:r>
    </w:p>
    <w:p w14:paraId="2DF6DD90" w14:textId="77777777" w:rsidR="007B1D45" w:rsidRPr="003F46ED" w:rsidRDefault="00C56909" w:rsidP="00DF445E">
      <w:pPr>
        <w:pStyle w:val="Heading4"/>
      </w:pPr>
      <w:r w:rsidRPr="003F46ED">
        <w:t>Rationale</w:t>
      </w:r>
    </w:p>
    <w:p w14:paraId="4A1F504B" w14:textId="77777777" w:rsidR="007B1D45" w:rsidRPr="003F46ED" w:rsidRDefault="00D1180C" w:rsidP="00B30583">
      <w:r w:rsidRPr="003F46ED">
        <w:t>A high degree of stakeholder interest in national collaboration to boost languages enrolments in the senior secondary years exists. Data on student participation in languages varies significantly between jurisdictions and is not nationally comparable. There is no national process in place to track student enrolment and participation patterns in any language, at any level.</w:t>
      </w:r>
    </w:p>
    <w:p w14:paraId="0759033C" w14:textId="77777777" w:rsidR="007B1D45" w:rsidRPr="003F46ED" w:rsidRDefault="00914454" w:rsidP="00DF445E">
      <w:pPr>
        <w:pStyle w:val="Heading4"/>
      </w:pPr>
      <w:bookmarkStart w:id="581" w:name="_Toc402180780"/>
      <w:r w:rsidRPr="003F46ED">
        <w:t>Implementation</w:t>
      </w:r>
      <w:bookmarkEnd w:id="581"/>
    </w:p>
    <w:p w14:paraId="6616578B" w14:textId="77777777" w:rsidR="007B1D45" w:rsidRPr="003F46ED" w:rsidRDefault="00602F15" w:rsidP="00B30583">
      <w:bookmarkStart w:id="582" w:name="_Toc402180781"/>
      <w:r w:rsidRPr="003F46ED">
        <w:t xml:space="preserve">Jurisdictions already collect and own </w:t>
      </w:r>
      <w:r w:rsidR="00D5631A" w:rsidRPr="003F46ED">
        <w:t>student participation data. C</w:t>
      </w:r>
      <w:r w:rsidRPr="003F46ED">
        <w:t xml:space="preserve">ollaborative work for national data collection could build on that and be facilitated through </w:t>
      </w:r>
      <w:proofErr w:type="spellStart"/>
      <w:r w:rsidR="00944B72" w:rsidRPr="003F46ED">
        <w:rPr>
          <w:rFonts w:cs="Calibri"/>
          <w:szCs w:val="22"/>
        </w:rPr>
        <w:t>ACACA</w:t>
      </w:r>
      <w:proofErr w:type="spellEnd"/>
      <w:r w:rsidRPr="003F46ED">
        <w:t xml:space="preserve"> and the Data Strategy Group of the Education Council.</w:t>
      </w:r>
      <w:bookmarkEnd w:id="582"/>
    </w:p>
    <w:p w14:paraId="3CEE30B9" w14:textId="7CDDDA8D" w:rsidR="00F649F1" w:rsidRPr="003F46ED" w:rsidRDefault="00F649F1" w:rsidP="00B30583">
      <w:pPr>
        <w:sectPr w:rsidR="00F649F1" w:rsidRPr="003F46ED" w:rsidSect="00527947">
          <w:type w:val="continuous"/>
          <w:pgSz w:w="11900" w:h="16840"/>
          <w:pgMar w:top="1985" w:right="1134" w:bottom="1440" w:left="1134" w:header="709" w:footer="709" w:gutter="0"/>
          <w:cols w:space="720"/>
          <w:docGrid w:linePitch="299"/>
        </w:sectPr>
      </w:pPr>
    </w:p>
    <w:p w14:paraId="09674672" w14:textId="77777777" w:rsidR="007B1D45" w:rsidRPr="003F46ED" w:rsidRDefault="005D30C8" w:rsidP="00880FD8">
      <w:pPr>
        <w:pStyle w:val="Heading1"/>
      </w:pPr>
      <w:bookmarkStart w:id="583" w:name="_Toc273790548"/>
      <w:bookmarkStart w:id="584" w:name="_Toc402180782"/>
      <w:bookmarkStart w:id="585" w:name="_Toc276245097"/>
      <w:bookmarkStart w:id="586" w:name="_Toc445305273"/>
      <w:r w:rsidRPr="003F46ED">
        <w:lastRenderedPageBreak/>
        <w:t>References</w:t>
      </w:r>
      <w:bookmarkEnd w:id="583"/>
      <w:bookmarkEnd w:id="584"/>
      <w:bookmarkEnd w:id="585"/>
      <w:bookmarkEnd w:id="586"/>
    </w:p>
    <w:p w14:paraId="7F644CE5" w14:textId="77777777" w:rsidR="00AD39AF" w:rsidRPr="003F46ED" w:rsidRDefault="00AD39AF" w:rsidP="00B30583">
      <w:bookmarkStart w:id="587" w:name="_Toc402180783"/>
      <w:proofErr w:type="spellStart"/>
      <w:proofErr w:type="gramStart"/>
      <w:r w:rsidRPr="003F46ED">
        <w:t>Ainley</w:t>
      </w:r>
      <w:proofErr w:type="spellEnd"/>
      <w:r w:rsidRPr="003F46ED">
        <w:t xml:space="preserve">, J., Robinson, L., Harvey-Beavis, A., </w:t>
      </w:r>
      <w:proofErr w:type="spellStart"/>
      <w:r w:rsidRPr="003F46ED">
        <w:t>Elsworth</w:t>
      </w:r>
      <w:proofErr w:type="spellEnd"/>
      <w:r w:rsidRPr="003F46ED">
        <w:t>, G., &amp; Fleming, M. (1994).</w:t>
      </w:r>
      <w:proofErr w:type="gramEnd"/>
      <w:r w:rsidRPr="003F46ED">
        <w:t xml:space="preserve"> </w:t>
      </w:r>
      <w:proofErr w:type="gramStart"/>
      <w:r w:rsidRPr="003F46ED">
        <w:rPr>
          <w:i/>
          <w:iCs/>
        </w:rPr>
        <w:t>Subject choice in Years 11 and 12</w:t>
      </w:r>
      <w:r w:rsidRPr="003F46ED">
        <w:t>.</w:t>
      </w:r>
      <w:proofErr w:type="gramEnd"/>
      <w:r w:rsidRPr="003F46ED">
        <w:t xml:space="preserve"> Canberra, ACT: Australian Government Public Service.</w:t>
      </w:r>
      <w:bookmarkEnd w:id="587"/>
    </w:p>
    <w:p w14:paraId="45E6FCC1" w14:textId="77777777" w:rsidR="00863DB0" w:rsidRPr="003F46ED" w:rsidRDefault="00863DB0" w:rsidP="00B30583">
      <w:bookmarkStart w:id="588" w:name="_Toc402180784"/>
      <w:proofErr w:type="gramStart"/>
      <w:r w:rsidRPr="003F46ED">
        <w:t>Asia Education Foundation.</w:t>
      </w:r>
      <w:proofErr w:type="gramEnd"/>
      <w:r w:rsidRPr="003F46ED">
        <w:t xml:space="preserve"> (2010). </w:t>
      </w:r>
      <w:proofErr w:type="gramStart"/>
      <w:r w:rsidRPr="003F46ED">
        <w:t>The</w:t>
      </w:r>
      <w:proofErr w:type="gramEnd"/>
      <w:r w:rsidRPr="003F46ED">
        <w:t xml:space="preserve"> Current State of Chinese, Indonesian, Japanese and Korean Language Education in Australian Schools</w:t>
      </w:r>
      <w:r w:rsidR="006425D3" w:rsidRPr="003F46ED">
        <w:t>:</w:t>
      </w:r>
      <w:r w:rsidRPr="003F46ED">
        <w:t xml:space="preserve"> Four Languages, Four Stories. Carlton South, </w:t>
      </w:r>
      <w:r w:rsidR="007C0E68" w:rsidRPr="003F46ED">
        <w:t>Vic</w:t>
      </w:r>
      <w:r w:rsidRPr="003F46ED">
        <w:t>: Education Services Australia.</w:t>
      </w:r>
      <w:bookmarkEnd w:id="588"/>
    </w:p>
    <w:p w14:paraId="497B52DA" w14:textId="77777777" w:rsidR="00EB6170" w:rsidRPr="003F46ED" w:rsidRDefault="00EB6170" w:rsidP="00B30583">
      <w:bookmarkStart w:id="589" w:name="_Toc402180785"/>
      <w:proofErr w:type="gramStart"/>
      <w:r w:rsidRPr="003F46ED">
        <w:t>Asia Education Foundation.</w:t>
      </w:r>
      <w:proofErr w:type="gramEnd"/>
      <w:r w:rsidRPr="003F46ED">
        <w:t xml:space="preserve"> (2013). </w:t>
      </w:r>
      <w:r w:rsidRPr="003F46ED">
        <w:rPr>
          <w:i/>
          <w:iCs/>
        </w:rPr>
        <w:t xml:space="preserve">What Works 5 </w:t>
      </w:r>
      <w:r w:rsidR="008D2C73" w:rsidRPr="003F46ED">
        <w:rPr>
          <w:i/>
          <w:iCs/>
        </w:rPr>
        <w:t>–</w:t>
      </w:r>
      <w:r w:rsidRPr="003F46ED">
        <w:rPr>
          <w:i/>
          <w:iCs/>
        </w:rPr>
        <w:t xml:space="preserve"> Schools becoming Asia literate: what works?</w:t>
      </w:r>
      <w:r w:rsidRPr="003F46ED">
        <w:t xml:space="preserve"> The University of Melbourne, </w:t>
      </w:r>
      <w:r w:rsidR="007C0E68" w:rsidRPr="003F46ED">
        <w:t>Vic</w:t>
      </w:r>
      <w:r w:rsidRPr="003F46ED">
        <w:t>: Asia Education Foundation.</w:t>
      </w:r>
      <w:bookmarkEnd w:id="589"/>
    </w:p>
    <w:p w14:paraId="1B264DC3" w14:textId="77777777" w:rsidR="00713CDA" w:rsidRPr="003F46ED" w:rsidRDefault="00713CDA" w:rsidP="00B30583">
      <w:bookmarkStart w:id="590" w:name="_Toc402180786"/>
      <w:proofErr w:type="gramStart"/>
      <w:r w:rsidRPr="003F46ED">
        <w:t>Australian Bureau of Statistics.</w:t>
      </w:r>
      <w:proofErr w:type="gramEnd"/>
      <w:r w:rsidRPr="003F46ED">
        <w:t xml:space="preserve"> (2012). 2011 Census shows Asian languages on the rise in Australian households.</w:t>
      </w:r>
      <w:r w:rsidR="00574EA1" w:rsidRPr="003F46ED">
        <w:t xml:space="preserve"> </w:t>
      </w:r>
      <w:r w:rsidRPr="003F46ED">
        <w:t xml:space="preserve">Retrieved 1 September 2014, from </w:t>
      </w:r>
      <w:hyperlink r:id="rId30" w:history="1">
        <w:r w:rsidRPr="003F46ED">
          <w:rPr>
            <w:rStyle w:val="Hyperlink"/>
            <w:rFonts w:ascii="Calibri" w:hAnsi="Calibri"/>
            <w:bCs/>
            <w:szCs w:val="22"/>
          </w:rPr>
          <w:t>http://www.abs.gov.au/websitedbs/censushome.nsf/home/CO-60</w:t>
        </w:r>
        <w:bookmarkEnd w:id="590"/>
      </w:hyperlink>
    </w:p>
    <w:p w14:paraId="27820024" w14:textId="77777777" w:rsidR="00427D2E" w:rsidRPr="003F46ED" w:rsidRDefault="00427D2E" w:rsidP="00B30583">
      <w:proofErr w:type="gramStart"/>
      <w:r w:rsidRPr="003F46ED">
        <w:t>Australian Curriculum Assessment and Reporting Authority.</w:t>
      </w:r>
      <w:proofErr w:type="gramEnd"/>
      <w:r w:rsidRPr="003F46ED">
        <w:t xml:space="preserve"> </w:t>
      </w:r>
      <w:proofErr w:type="gramStart"/>
      <w:r w:rsidRPr="003F46ED">
        <w:t>(2014). National Report on Schooling in Australia 2010.</w:t>
      </w:r>
      <w:proofErr w:type="gramEnd"/>
      <w:r w:rsidRPr="003F46ED">
        <w:t xml:space="preserve"> Retrieved 23 October 2014, from</w:t>
      </w:r>
    </w:p>
    <w:p w14:paraId="414C37CD" w14:textId="77777777" w:rsidR="00427D2E" w:rsidRPr="003F46ED" w:rsidRDefault="006E5D16" w:rsidP="00B30583">
      <w:pPr>
        <w:rPr>
          <w:rFonts w:ascii="Calibri" w:hAnsi="Calibri"/>
          <w:bCs/>
          <w:szCs w:val="22"/>
        </w:rPr>
      </w:pPr>
      <w:hyperlink r:id="rId31" w:history="1">
        <w:r w:rsidR="00427D2E" w:rsidRPr="003F46ED">
          <w:rPr>
            <w:rStyle w:val="Hyperlink"/>
            <w:rFonts w:ascii="Calibri" w:hAnsi="Calibri"/>
            <w:bCs/>
            <w:szCs w:val="22"/>
          </w:rPr>
          <w:t>http://www.acara.edu.au/reporting/national_report_on_schooling_2010/national_report_on_schooling_2.html</w:t>
        </w:r>
      </w:hyperlink>
      <w:r w:rsidR="00427D2E" w:rsidRPr="003F46ED">
        <w:rPr>
          <w:rFonts w:ascii="Calibri" w:hAnsi="Calibri"/>
          <w:bCs/>
          <w:szCs w:val="22"/>
        </w:rPr>
        <w:t xml:space="preserve"> </w:t>
      </w:r>
    </w:p>
    <w:p w14:paraId="24057B55" w14:textId="77777777" w:rsidR="005D30C8" w:rsidRPr="003F46ED" w:rsidRDefault="005D30C8" w:rsidP="00B30583">
      <w:bookmarkStart w:id="591" w:name="_Toc402180787"/>
      <w:proofErr w:type="gramStart"/>
      <w:r w:rsidRPr="003F46ED">
        <w:t>Australian Government Department of Education.</w:t>
      </w:r>
      <w:proofErr w:type="gramEnd"/>
      <w:r w:rsidRPr="003F46ED">
        <w:t xml:space="preserve"> (2014). Strengthen</w:t>
      </w:r>
      <w:r w:rsidR="00574EA1" w:rsidRPr="003F46ED">
        <w:t>ing the Australian Curriculum.</w:t>
      </w:r>
      <w:r w:rsidRPr="003F46ED">
        <w:t xml:space="preserve"> Retrieved 1 September 2014, from </w:t>
      </w:r>
      <w:hyperlink r:id="rId32" w:history="1">
        <w:r w:rsidRPr="003F46ED">
          <w:rPr>
            <w:rStyle w:val="Hyperlink"/>
            <w:rFonts w:ascii="Calibri" w:hAnsi="Calibri"/>
            <w:bCs/>
            <w:szCs w:val="22"/>
          </w:rPr>
          <w:t>http://www.studentsfirst.gov.au/strengthening-australian-curriculum</w:t>
        </w:r>
        <w:bookmarkEnd w:id="591"/>
      </w:hyperlink>
      <w:r w:rsidRPr="003F46ED">
        <w:t xml:space="preserve"> </w:t>
      </w:r>
    </w:p>
    <w:p w14:paraId="015926C7" w14:textId="77777777" w:rsidR="001D6DEA" w:rsidRPr="003F46ED" w:rsidRDefault="001D6DEA" w:rsidP="00B30583">
      <w:bookmarkStart w:id="592" w:name="_Toc402180788"/>
      <w:proofErr w:type="gramStart"/>
      <w:r w:rsidRPr="003F46ED">
        <w:t>Australian Government Department of Prime Minister and Cabinet.</w:t>
      </w:r>
      <w:proofErr w:type="gramEnd"/>
      <w:r w:rsidRPr="003F46ED">
        <w:t xml:space="preserve"> (2014). </w:t>
      </w:r>
      <w:r w:rsidRPr="003F46ED">
        <w:rPr>
          <w:i/>
        </w:rPr>
        <w:t xml:space="preserve">Industry Innovation and Competitiveness Agenda: </w:t>
      </w:r>
      <w:r w:rsidR="002D3E6D" w:rsidRPr="003F46ED">
        <w:rPr>
          <w:i/>
        </w:rPr>
        <w:t>An action plan for a stronger Australia</w:t>
      </w:r>
      <w:r w:rsidR="002D3E6D" w:rsidRPr="003F46ED">
        <w:t>. Canberra, ACT: Commonwealth of Australia.</w:t>
      </w:r>
      <w:bookmarkEnd w:id="592"/>
    </w:p>
    <w:p w14:paraId="54314AED" w14:textId="77777777" w:rsidR="000606C2" w:rsidRPr="003F46ED" w:rsidRDefault="000606C2" w:rsidP="00B30583">
      <w:bookmarkStart w:id="593" w:name="_Toc402180789"/>
      <w:r w:rsidRPr="003F46ED">
        <w:t xml:space="preserve">Boudreaux, N. S. (2010). </w:t>
      </w:r>
      <w:proofErr w:type="gramStart"/>
      <w:r w:rsidRPr="003F46ED">
        <w:t>A mixed methodological study of factors contributing to student persistence and their impact on student attrition in foreign language immersion programs.</w:t>
      </w:r>
      <w:proofErr w:type="gramEnd"/>
      <w:r w:rsidRPr="003F46ED">
        <w:t xml:space="preserve"> </w:t>
      </w:r>
      <w:proofErr w:type="gramStart"/>
      <w:r w:rsidRPr="003F46ED">
        <w:t>PhD, University of Louisiana at Lafayette.</w:t>
      </w:r>
      <w:bookmarkEnd w:id="593"/>
      <w:proofErr w:type="gramEnd"/>
    </w:p>
    <w:p w14:paraId="02144D81" w14:textId="77777777" w:rsidR="00626C50" w:rsidRPr="003F46ED" w:rsidRDefault="00626C50" w:rsidP="00B30583">
      <w:bookmarkStart w:id="594" w:name="_Toc402180790"/>
      <w:proofErr w:type="spellStart"/>
      <w:r w:rsidRPr="003F46ED">
        <w:t>Carr</w:t>
      </w:r>
      <w:proofErr w:type="spellEnd"/>
      <w:r w:rsidRPr="003F46ED">
        <w:t xml:space="preserve">, J. (2002). Why boys into languages won't go: The problematic gender agenda in languages education. </w:t>
      </w:r>
      <w:r w:rsidRPr="003F46ED">
        <w:rPr>
          <w:i/>
          <w:iCs/>
        </w:rPr>
        <w:t>Babel, 37</w:t>
      </w:r>
      <w:r w:rsidRPr="003F46ED">
        <w:t>(2), 4</w:t>
      </w:r>
      <w:r w:rsidR="008D2C73" w:rsidRPr="003F46ED">
        <w:t>–</w:t>
      </w:r>
      <w:r w:rsidRPr="003F46ED">
        <w:t>9.</w:t>
      </w:r>
      <w:bookmarkEnd w:id="594"/>
    </w:p>
    <w:p w14:paraId="5FEDFFEA" w14:textId="77777777" w:rsidR="00DD4954" w:rsidRPr="003F46ED" w:rsidRDefault="00DD4954" w:rsidP="00B30583">
      <w:bookmarkStart w:id="595" w:name="_Toc402180791"/>
      <w:proofErr w:type="spellStart"/>
      <w:r w:rsidRPr="003F46ED">
        <w:t>Clyne</w:t>
      </w:r>
      <w:proofErr w:type="spellEnd"/>
      <w:r w:rsidRPr="003F46ED">
        <w:t xml:space="preserve">, M., Fernandez, S., Chen, I., &amp; </w:t>
      </w:r>
      <w:proofErr w:type="spellStart"/>
      <w:r w:rsidRPr="003F46ED">
        <w:t>Summo</w:t>
      </w:r>
      <w:proofErr w:type="spellEnd"/>
      <w:r w:rsidRPr="003F46ED">
        <w:t xml:space="preserve">-O’Connell, R. (1997). </w:t>
      </w:r>
      <w:r w:rsidRPr="003F46ED">
        <w:rPr>
          <w:i/>
          <w:iCs/>
        </w:rPr>
        <w:t xml:space="preserve">Background Speakers: Diversity and its Management in </w:t>
      </w:r>
      <w:proofErr w:type="spellStart"/>
      <w:r w:rsidRPr="003F46ED">
        <w:rPr>
          <w:i/>
          <w:iCs/>
        </w:rPr>
        <w:t>LOTE</w:t>
      </w:r>
      <w:proofErr w:type="spellEnd"/>
      <w:r w:rsidRPr="003F46ED">
        <w:rPr>
          <w:i/>
          <w:iCs/>
        </w:rPr>
        <w:t xml:space="preserve"> Programs</w:t>
      </w:r>
      <w:r w:rsidRPr="003F46ED">
        <w:t>. Belconnen, ACT: The National Languages and Literacy Institute of Australia.</w:t>
      </w:r>
      <w:bookmarkEnd w:id="595"/>
    </w:p>
    <w:p w14:paraId="487F9ABD" w14:textId="77777777" w:rsidR="00DD4954" w:rsidRPr="003F46ED" w:rsidRDefault="00DD4954" w:rsidP="00B30583">
      <w:bookmarkStart w:id="596" w:name="_Toc402180792"/>
      <w:proofErr w:type="spellStart"/>
      <w:proofErr w:type="gramStart"/>
      <w:r w:rsidRPr="003F46ED">
        <w:t>Clyne</w:t>
      </w:r>
      <w:proofErr w:type="spellEnd"/>
      <w:r w:rsidRPr="003F46ED">
        <w:t xml:space="preserve">, M., </w:t>
      </w:r>
      <w:proofErr w:type="spellStart"/>
      <w:r w:rsidRPr="003F46ED">
        <w:t>Isaakidis</w:t>
      </w:r>
      <w:proofErr w:type="spellEnd"/>
      <w:r w:rsidRPr="003F46ED">
        <w:t xml:space="preserve">, T., </w:t>
      </w:r>
      <w:proofErr w:type="spellStart"/>
      <w:r w:rsidRPr="003F46ED">
        <w:t>Liem</w:t>
      </w:r>
      <w:proofErr w:type="spellEnd"/>
      <w:r w:rsidRPr="003F46ED">
        <w:t>, I., &amp; Hunt, C. R. (2004).</w:t>
      </w:r>
      <w:proofErr w:type="gramEnd"/>
      <w:r w:rsidRPr="003F46ED">
        <w:t xml:space="preserve"> Developing and sharing community languages through secondary school programs. </w:t>
      </w:r>
      <w:r w:rsidRPr="003F46ED">
        <w:rPr>
          <w:i/>
          <w:iCs/>
        </w:rPr>
        <w:t>International Journal of Bilingual Education and Bilingualism, 7</w:t>
      </w:r>
      <w:r w:rsidRPr="003F46ED">
        <w:t>(4), 255</w:t>
      </w:r>
      <w:r w:rsidR="008D2C73" w:rsidRPr="003F46ED">
        <w:t>–</w:t>
      </w:r>
      <w:r w:rsidRPr="003F46ED">
        <w:t>278.</w:t>
      </w:r>
      <w:bookmarkEnd w:id="596"/>
    </w:p>
    <w:p w14:paraId="62601043" w14:textId="77777777" w:rsidR="00FB1A99" w:rsidRPr="003F46ED" w:rsidRDefault="00FB1A99" w:rsidP="00B30583">
      <w:bookmarkStart w:id="597" w:name="_Toc402180793"/>
      <w:proofErr w:type="gramStart"/>
      <w:r w:rsidRPr="003F46ED">
        <w:t xml:space="preserve">Cross, R., &amp; </w:t>
      </w:r>
      <w:proofErr w:type="spellStart"/>
      <w:r w:rsidRPr="003F46ED">
        <w:t>Gearon</w:t>
      </w:r>
      <w:proofErr w:type="spellEnd"/>
      <w:r w:rsidRPr="003F46ED">
        <w:t>, M. (2013).</w:t>
      </w:r>
      <w:proofErr w:type="gramEnd"/>
      <w:r w:rsidRPr="003F46ED">
        <w:t xml:space="preserve"> Research and evaluation of the Content and Language Integrated Learning (</w:t>
      </w:r>
      <w:proofErr w:type="spellStart"/>
      <w:r w:rsidRPr="003F46ED">
        <w:t>CLIL</w:t>
      </w:r>
      <w:proofErr w:type="spellEnd"/>
      <w:r w:rsidRPr="003F46ED">
        <w:t xml:space="preserve">) approach to teaching and learning languages in Victorian schools (Report for the Victorian Department of Education and Early Childhood Development). The University of Melbourne, </w:t>
      </w:r>
      <w:r w:rsidR="007C0E68" w:rsidRPr="003F46ED">
        <w:t>Vic</w:t>
      </w:r>
      <w:r w:rsidRPr="003F46ED">
        <w:t xml:space="preserve">: Melbourne Graduate School of Education, </w:t>
      </w:r>
      <w:proofErr w:type="gramStart"/>
      <w:r w:rsidRPr="003F46ED">
        <w:t>The</w:t>
      </w:r>
      <w:proofErr w:type="gramEnd"/>
      <w:r w:rsidRPr="003F46ED">
        <w:t xml:space="preserve"> University of Melbourne.</w:t>
      </w:r>
      <w:bookmarkEnd w:id="597"/>
    </w:p>
    <w:p w14:paraId="1A5CBEBF" w14:textId="77777777" w:rsidR="00BA1345" w:rsidRPr="003F46ED" w:rsidRDefault="00BA1345" w:rsidP="00B30583">
      <w:bookmarkStart w:id="598" w:name="_Toc402180794"/>
      <w:r w:rsidRPr="003F46ED">
        <w:br w:type="page"/>
      </w:r>
    </w:p>
    <w:p w14:paraId="730E6825" w14:textId="77777777" w:rsidR="00AA0A27" w:rsidRPr="003F46ED" w:rsidRDefault="00AA0A27" w:rsidP="00B30583">
      <w:proofErr w:type="gramStart"/>
      <w:r w:rsidRPr="003F46ED">
        <w:lastRenderedPageBreak/>
        <w:t xml:space="preserve">Curnow, T. J., </w:t>
      </w:r>
      <w:proofErr w:type="spellStart"/>
      <w:r w:rsidRPr="003F46ED">
        <w:t>Liddicoat</w:t>
      </w:r>
      <w:proofErr w:type="spellEnd"/>
      <w:r w:rsidRPr="003F46ED">
        <w:t xml:space="preserve">, A. J., &amp; </w:t>
      </w:r>
      <w:proofErr w:type="spellStart"/>
      <w:r w:rsidRPr="003F46ED">
        <w:t>Scarino</w:t>
      </w:r>
      <w:proofErr w:type="spellEnd"/>
      <w:r w:rsidRPr="003F46ED">
        <w:t>, A. (2007).</w:t>
      </w:r>
      <w:proofErr w:type="gramEnd"/>
      <w:r w:rsidRPr="003F46ED">
        <w:t xml:space="preserve"> Situational analysis for the Development of Nationally Co-ordinated Promotion of the Benefits of Languages Learning in Schools project (Report prepared for the Asia Education Foundation). Adelaide, SA: Research Centre for Languages and Cultures Education, University of South Australia.</w:t>
      </w:r>
      <w:bookmarkEnd w:id="598"/>
    </w:p>
    <w:p w14:paraId="0ABE4D94" w14:textId="77777777" w:rsidR="00F3411F" w:rsidRPr="003F46ED" w:rsidRDefault="00F3411F" w:rsidP="00B30583">
      <w:bookmarkStart w:id="599" w:name="_Toc402180795"/>
      <w:proofErr w:type="gramStart"/>
      <w:r w:rsidRPr="003F46ED">
        <w:t xml:space="preserve">Davies, P., </w:t>
      </w:r>
      <w:proofErr w:type="spellStart"/>
      <w:r w:rsidRPr="003F46ED">
        <w:t>Telhaj</w:t>
      </w:r>
      <w:proofErr w:type="spellEnd"/>
      <w:r w:rsidRPr="003F46ED">
        <w:t xml:space="preserve">, S., Hutton, D., </w:t>
      </w:r>
      <w:proofErr w:type="spellStart"/>
      <w:r w:rsidRPr="003F46ED">
        <w:t>Adnett</w:t>
      </w:r>
      <w:proofErr w:type="spellEnd"/>
      <w:r w:rsidRPr="003F46ED">
        <w:t>, N., &amp; Coe, R. (2008).</w:t>
      </w:r>
      <w:proofErr w:type="gramEnd"/>
      <w:r w:rsidRPr="003F46ED">
        <w:t xml:space="preserve"> </w:t>
      </w:r>
      <w:proofErr w:type="gramStart"/>
      <w:r w:rsidRPr="003F46ED">
        <w:t>Socioeconomic Background, Gender and Subject Choice in Secondary Schooling.</w:t>
      </w:r>
      <w:proofErr w:type="gramEnd"/>
      <w:r w:rsidRPr="003F46ED">
        <w:t xml:space="preserve"> </w:t>
      </w:r>
      <w:r w:rsidRPr="003F46ED">
        <w:rPr>
          <w:i/>
          <w:iCs/>
        </w:rPr>
        <w:t>Educational Research, 50</w:t>
      </w:r>
      <w:r w:rsidRPr="003F46ED">
        <w:t>(3), 235</w:t>
      </w:r>
      <w:r w:rsidR="0015109B" w:rsidRPr="003F46ED">
        <w:t>–</w:t>
      </w:r>
      <w:r w:rsidRPr="003F46ED">
        <w:t>248.</w:t>
      </w:r>
      <w:bookmarkEnd w:id="599"/>
    </w:p>
    <w:p w14:paraId="41B2DD3D" w14:textId="77777777" w:rsidR="006F2DA3" w:rsidRPr="003F46ED" w:rsidRDefault="006F2DA3" w:rsidP="00B30583">
      <w:pPr>
        <w:rPr>
          <w:szCs w:val="22"/>
        </w:rPr>
      </w:pPr>
      <w:bookmarkStart w:id="600" w:name="_Toc402180796"/>
      <w:proofErr w:type="gramStart"/>
      <w:r w:rsidRPr="003F46ED">
        <w:t>de</w:t>
      </w:r>
      <w:proofErr w:type="gramEnd"/>
      <w:r w:rsidRPr="003F46ED">
        <w:t xml:space="preserve"> Groot, A., &amp; Kroll, J. F. (Eds.) (1997). </w:t>
      </w:r>
      <w:r w:rsidRPr="003F46ED">
        <w:rPr>
          <w:i/>
          <w:iCs/>
        </w:rPr>
        <w:t>Tutorials in Bilingualism: Psycholinguistic Perspectives</w:t>
      </w:r>
      <w:r w:rsidRPr="003F46ED">
        <w:t xml:space="preserve">. </w:t>
      </w:r>
      <w:r w:rsidR="0015109B" w:rsidRPr="003F46ED">
        <w:t xml:space="preserve">Hillsdale, NJ: </w:t>
      </w:r>
      <w:r w:rsidRPr="003F46ED">
        <w:t>Lawrence Erlbaum</w:t>
      </w:r>
      <w:r w:rsidR="0015109B" w:rsidRPr="003F46ED">
        <w:t>.</w:t>
      </w:r>
      <w:bookmarkEnd w:id="600"/>
    </w:p>
    <w:p w14:paraId="05DE4907" w14:textId="77777777" w:rsidR="00436C36" w:rsidRPr="003F46ED" w:rsidRDefault="00436C36" w:rsidP="00B30583">
      <w:bookmarkStart w:id="601" w:name="_Toc402180797"/>
      <w:proofErr w:type="gramStart"/>
      <w:r w:rsidRPr="003F46ED">
        <w:t>de</w:t>
      </w:r>
      <w:proofErr w:type="gramEnd"/>
      <w:r w:rsidRPr="003F46ED">
        <w:t xml:space="preserve"> </w:t>
      </w:r>
      <w:proofErr w:type="spellStart"/>
      <w:r w:rsidRPr="003F46ED">
        <w:t>Kretser</w:t>
      </w:r>
      <w:proofErr w:type="spellEnd"/>
      <w:r w:rsidRPr="003F46ED">
        <w:t xml:space="preserve">, A., &amp; Spence-Brown, R. (2010). </w:t>
      </w:r>
      <w:proofErr w:type="gramStart"/>
      <w:r w:rsidRPr="003F46ED">
        <w:rPr>
          <w:i/>
          <w:iCs/>
        </w:rPr>
        <w:t>The current state of Japanese language education in Australian schools</w:t>
      </w:r>
      <w:r w:rsidRPr="003F46ED">
        <w:t>.</w:t>
      </w:r>
      <w:proofErr w:type="gramEnd"/>
      <w:r w:rsidRPr="003F46ED">
        <w:t xml:space="preserve"> Carlton South, </w:t>
      </w:r>
      <w:r w:rsidR="007C0E68" w:rsidRPr="003F46ED">
        <w:t>Vic</w:t>
      </w:r>
      <w:r w:rsidRPr="003F46ED">
        <w:t>: Education Services Australia.</w:t>
      </w:r>
      <w:bookmarkEnd w:id="601"/>
    </w:p>
    <w:p w14:paraId="3BA4392E" w14:textId="77777777" w:rsidR="00436C36" w:rsidRPr="003F46ED" w:rsidRDefault="00193B20" w:rsidP="00B30583">
      <w:bookmarkStart w:id="602" w:name="_Toc402180798"/>
      <w:proofErr w:type="gramStart"/>
      <w:r w:rsidRPr="003F46ED">
        <w:t>Department of Education and Early Childhood Development.</w:t>
      </w:r>
      <w:proofErr w:type="gramEnd"/>
      <w:r w:rsidRPr="003F46ED">
        <w:t xml:space="preserve"> </w:t>
      </w:r>
      <w:proofErr w:type="gramStart"/>
      <w:r w:rsidRPr="003F46ED">
        <w:t>(2014). Research and data.</w:t>
      </w:r>
      <w:proofErr w:type="gramEnd"/>
      <w:r w:rsidRPr="003F46ED">
        <w:t xml:space="preserve"> Retrieved 14 September 2014, from </w:t>
      </w:r>
      <w:hyperlink r:id="rId33" w:history="1">
        <w:r w:rsidRPr="003F46ED">
          <w:rPr>
            <w:rStyle w:val="Hyperlink"/>
            <w:rFonts w:ascii="Calibri" w:hAnsi="Calibri"/>
            <w:bCs/>
            <w:szCs w:val="22"/>
          </w:rPr>
          <w:t>http://www.education.vic.gov.au/school/teachers/teachingresources/discipline/languages/Pages/research.aspx</w:t>
        </w:r>
        <w:bookmarkEnd w:id="602"/>
      </w:hyperlink>
    </w:p>
    <w:p w14:paraId="263276EC" w14:textId="77777777" w:rsidR="00BB0505" w:rsidRPr="003F46ED" w:rsidRDefault="00BB0505" w:rsidP="00B30583">
      <w:bookmarkStart w:id="603" w:name="_Toc402180799"/>
      <w:proofErr w:type="gramStart"/>
      <w:r w:rsidRPr="003F46ED">
        <w:t>Department for Education UK.</w:t>
      </w:r>
      <w:proofErr w:type="gramEnd"/>
      <w:r w:rsidRPr="003F46ED">
        <w:t xml:space="preserve"> </w:t>
      </w:r>
      <w:proofErr w:type="gramStart"/>
      <w:r w:rsidRPr="003F46ED">
        <w:t>(2014). English Baccalaureate.</w:t>
      </w:r>
      <w:proofErr w:type="gramEnd"/>
      <w:r w:rsidR="00574EA1" w:rsidRPr="003F46ED">
        <w:t xml:space="preserve"> </w:t>
      </w:r>
      <w:r w:rsidRPr="003F46ED">
        <w:t xml:space="preserve">Retrieved 14 July 2014, from </w:t>
      </w:r>
      <w:hyperlink r:id="rId34" w:history="1">
        <w:r w:rsidRPr="003F46ED">
          <w:rPr>
            <w:rStyle w:val="Hyperlink"/>
            <w:rFonts w:ascii="Calibri" w:hAnsi="Calibri"/>
            <w:bCs/>
            <w:szCs w:val="22"/>
          </w:rPr>
          <w:t>https://www.gov.uk/english-baccalaureate-information-for-schools</w:t>
        </w:r>
        <w:bookmarkEnd w:id="603"/>
      </w:hyperlink>
    </w:p>
    <w:p w14:paraId="79091412" w14:textId="77777777" w:rsidR="007E0B49" w:rsidRPr="003F46ED" w:rsidRDefault="007E0B49" w:rsidP="00B30583">
      <w:bookmarkStart w:id="604" w:name="_Toc402180800"/>
      <w:proofErr w:type="gramStart"/>
      <w:r w:rsidRPr="003F46ED">
        <w:t xml:space="preserve">Education, </w:t>
      </w:r>
      <w:proofErr w:type="spellStart"/>
      <w:r w:rsidRPr="003F46ED">
        <w:t>Audiovisual</w:t>
      </w:r>
      <w:proofErr w:type="spellEnd"/>
      <w:r w:rsidRPr="003F46ED">
        <w:t xml:space="preserve"> and Culture Executive Agency.</w:t>
      </w:r>
      <w:proofErr w:type="gramEnd"/>
      <w:r w:rsidRPr="003F46ED">
        <w:t xml:space="preserve"> </w:t>
      </w:r>
      <w:proofErr w:type="gramStart"/>
      <w:r w:rsidRPr="003F46ED">
        <w:t>(2012). Key data on teaching languages at school in Europe, report funded by the European Commission</w:t>
      </w:r>
      <w:r w:rsidR="00F81A9B" w:rsidRPr="003F46ED">
        <w:t>.</w:t>
      </w:r>
      <w:proofErr w:type="gramEnd"/>
      <w:r w:rsidR="00574EA1" w:rsidRPr="003F46ED">
        <w:t xml:space="preserve"> </w:t>
      </w:r>
      <w:r w:rsidRPr="003F46ED">
        <w:t xml:space="preserve">Retrieved 13 July 2014, from </w:t>
      </w:r>
      <w:hyperlink r:id="rId35" w:history="1">
        <w:r w:rsidRPr="003F46ED">
          <w:rPr>
            <w:rStyle w:val="Hyperlink"/>
            <w:rFonts w:ascii="Calibri" w:hAnsi="Calibri"/>
            <w:bCs/>
            <w:szCs w:val="22"/>
          </w:rPr>
          <w:t>http://eacea.ec.europa.eu/education/eurydice/documents/key_data_series/143EN.pdf</w:t>
        </w:r>
        <w:bookmarkEnd w:id="604"/>
      </w:hyperlink>
    </w:p>
    <w:p w14:paraId="6C53FCA9" w14:textId="77777777" w:rsidR="00DC4726" w:rsidRPr="003F46ED" w:rsidRDefault="00DC4726" w:rsidP="00B30583">
      <w:bookmarkStart w:id="605" w:name="_Toc402180801"/>
      <w:proofErr w:type="gramStart"/>
      <w:r w:rsidRPr="003F46ED">
        <w:t>Elder, C. (1996).</w:t>
      </w:r>
      <w:proofErr w:type="gramEnd"/>
      <w:r w:rsidRPr="003F46ED">
        <w:t xml:space="preserve"> The effect of language background on ‘foreign’ language test performance: The case of Chinese, Italian and Modern Greek. </w:t>
      </w:r>
      <w:r w:rsidRPr="003F46ED">
        <w:rPr>
          <w:i/>
          <w:iCs/>
        </w:rPr>
        <w:t>Language Learning, 46</w:t>
      </w:r>
      <w:r w:rsidRPr="003F46ED">
        <w:t>(2), 233</w:t>
      </w:r>
      <w:r w:rsidR="008D2C73" w:rsidRPr="003F46ED">
        <w:t>–</w:t>
      </w:r>
      <w:r w:rsidRPr="003F46ED">
        <w:t>282.</w:t>
      </w:r>
      <w:bookmarkEnd w:id="605"/>
    </w:p>
    <w:p w14:paraId="6D10BEA0" w14:textId="77777777" w:rsidR="00DC4726" w:rsidRPr="003F46ED" w:rsidRDefault="001800C5" w:rsidP="00B30583">
      <w:bookmarkStart w:id="606" w:name="_Toc402180802"/>
      <w:proofErr w:type="gramStart"/>
      <w:r w:rsidRPr="003F46ED">
        <w:t>Elder, C. (2000).</w:t>
      </w:r>
      <w:proofErr w:type="gramEnd"/>
      <w:r w:rsidRPr="003F46ED">
        <w:t xml:space="preserve"> </w:t>
      </w:r>
      <w:proofErr w:type="gramStart"/>
      <w:r w:rsidRPr="003F46ED">
        <w:t>Learner diversity and its implications for outcomes-based assessment.</w:t>
      </w:r>
      <w:proofErr w:type="gramEnd"/>
      <w:r w:rsidRPr="003F46ED">
        <w:t xml:space="preserve"> </w:t>
      </w:r>
      <w:r w:rsidRPr="003F46ED">
        <w:rPr>
          <w:i/>
          <w:iCs/>
        </w:rPr>
        <w:t>Australian Review of Applied Linguistics, 23</w:t>
      </w:r>
      <w:r w:rsidRPr="003F46ED">
        <w:t>(2), 36</w:t>
      </w:r>
      <w:r w:rsidR="008D2C73" w:rsidRPr="003F46ED">
        <w:t>–</w:t>
      </w:r>
      <w:r w:rsidRPr="003F46ED">
        <w:t>61.</w:t>
      </w:r>
      <w:bookmarkEnd w:id="606"/>
    </w:p>
    <w:p w14:paraId="366DFB3C" w14:textId="77777777" w:rsidR="001800C5" w:rsidRPr="003F46ED" w:rsidRDefault="001800C5" w:rsidP="00B30583">
      <w:bookmarkStart w:id="607" w:name="_Toc402180803"/>
      <w:proofErr w:type="gramStart"/>
      <w:r w:rsidRPr="003F46ED">
        <w:t>Elder, C. (2000).</w:t>
      </w:r>
      <w:proofErr w:type="gramEnd"/>
      <w:r w:rsidRPr="003F46ED">
        <w:t xml:space="preserve"> </w:t>
      </w:r>
      <w:proofErr w:type="gramStart"/>
      <w:r w:rsidRPr="003F46ED">
        <w:t>Outing the ‘native speaker’: The problem of diverse learner backgrounds in foreign language classrooms.</w:t>
      </w:r>
      <w:proofErr w:type="gramEnd"/>
      <w:r w:rsidRPr="003F46ED">
        <w:t xml:space="preserve"> </w:t>
      </w:r>
      <w:r w:rsidRPr="003F46ED">
        <w:rPr>
          <w:i/>
          <w:iCs/>
        </w:rPr>
        <w:t>Language Curriculum and Culture, 13</w:t>
      </w:r>
      <w:r w:rsidRPr="003F46ED">
        <w:t>(1), 86</w:t>
      </w:r>
      <w:r w:rsidR="008D2C73" w:rsidRPr="003F46ED">
        <w:t>–</w:t>
      </w:r>
      <w:r w:rsidRPr="003F46ED">
        <w:t>108.</w:t>
      </w:r>
      <w:bookmarkEnd w:id="607"/>
    </w:p>
    <w:p w14:paraId="344BF10F" w14:textId="77777777" w:rsidR="008C6AF1" w:rsidRPr="003F46ED" w:rsidRDefault="008C6AF1" w:rsidP="00B30583">
      <w:bookmarkStart w:id="608" w:name="_Toc402180804"/>
      <w:proofErr w:type="gramStart"/>
      <w:r w:rsidRPr="003F46ED">
        <w:t xml:space="preserve">Fernandez, S., &amp; </w:t>
      </w:r>
      <w:proofErr w:type="spellStart"/>
      <w:r w:rsidRPr="003F46ED">
        <w:t>Gearon</w:t>
      </w:r>
      <w:proofErr w:type="spellEnd"/>
      <w:r w:rsidRPr="003F46ED">
        <w:t>, M. (2011).</w:t>
      </w:r>
      <w:proofErr w:type="gramEnd"/>
      <w:r w:rsidRPr="003F46ED">
        <w:t xml:space="preserve"> </w:t>
      </w:r>
      <w:proofErr w:type="gramStart"/>
      <w:r w:rsidRPr="003F46ED">
        <w:t xml:space="preserve">Learning from high-performing jurisdictions to support the development of a clear rationale for languages learning (Report for the Languages, </w:t>
      </w:r>
      <w:proofErr w:type="spellStart"/>
      <w:r w:rsidRPr="003F46ED">
        <w:t>ESL</w:t>
      </w:r>
      <w:proofErr w:type="spellEnd"/>
      <w:r w:rsidRPr="003F46ED">
        <w:t xml:space="preserve"> and Multicultural Education Project Team).</w:t>
      </w:r>
      <w:proofErr w:type="gramEnd"/>
      <w:r w:rsidRPr="003F46ED">
        <w:t xml:space="preserve"> Melbourne, </w:t>
      </w:r>
      <w:r w:rsidR="007C0E68" w:rsidRPr="003F46ED">
        <w:t>Vic</w:t>
      </w:r>
      <w:r w:rsidRPr="003F46ED">
        <w:t>: Department of Education and Early Childhood Development.</w:t>
      </w:r>
      <w:bookmarkEnd w:id="608"/>
    </w:p>
    <w:p w14:paraId="606B9222" w14:textId="77777777" w:rsidR="00187A13" w:rsidRPr="003F46ED" w:rsidRDefault="00187A13" w:rsidP="00B30583">
      <w:bookmarkStart w:id="609" w:name="_Toc402180805"/>
      <w:proofErr w:type="gramStart"/>
      <w:r w:rsidRPr="003F46ED">
        <w:t xml:space="preserve">Fullarton, S., &amp; </w:t>
      </w:r>
      <w:proofErr w:type="spellStart"/>
      <w:r w:rsidRPr="003F46ED">
        <w:t>Ainley</w:t>
      </w:r>
      <w:proofErr w:type="spellEnd"/>
      <w:r w:rsidRPr="003F46ED">
        <w:t>, J. (2000).</w:t>
      </w:r>
      <w:proofErr w:type="gramEnd"/>
      <w:r w:rsidRPr="003F46ED">
        <w:t xml:space="preserve"> </w:t>
      </w:r>
      <w:proofErr w:type="gramStart"/>
      <w:r w:rsidRPr="003F46ED">
        <w:rPr>
          <w:i/>
          <w:iCs/>
        </w:rPr>
        <w:t>Subject choice by students in year 12 in Australian secondary schools</w:t>
      </w:r>
      <w:r w:rsidRPr="003F46ED">
        <w:t>.</w:t>
      </w:r>
      <w:proofErr w:type="gramEnd"/>
      <w:r w:rsidRPr="003F46ED">
        <w:t xml:space="preserve"> Camberwell, </w:t>
      </w:r>
      <w:r w:rsidR="007C0E68" w:rsidRPr="003F46ED">
        <w:t>Vic</w:t>
      </w:r>
      <w:r w:rsidRPr="003F46ED">
        <w:t>: Australian Council for Educational Research.</w:t>
      </w:r>
      <w:bookmarkEnd w:id="609"/>
    </w:p>
    <w:p w14:paraId="19D1F959" w14:textId="77777777" w:rsidR="007612FD" w:rsidRPr="003F46ED" w:rsidRDefault="007612FD" w:rsidP="00B30583">
      <w:bookmarkStart w:id="610" w:name="_Toc402180806"/>
      <w:proofErr w:type="gramStart"/>
      <w:r w:rsidRPr="003F46ED">
        <w:t xml:space="preserve">Fullarton, S., Walker, M., </w:t>
      </w:r>
      <w:proofErr w:type="spellStart"/>
      <w:r w:rsidRPr="003F46ED">
        <w:t>Ainley</w:t>
      </w:r>
      <w:proofErr w:type="spellEnd"/>
      <w:r w:rsidRPr="003F46ED">
        <w:t>, J., &amp; Hillman, K. (2003).</w:t>
      </w:r>
      <w:proofErr w:type="gramEnd"/>
      <w:r w:rsidRPr="003F46ED">
        <w:t xml:space="preserve"> </w:t>
      </w:r>
      <w:proofErr w:type="gramStart"/>
      <w:r w:rsidRPr="003F46ED">
        <w:t xml:space="preserve">Patterns of participation in Year 12, Research Report 33 </w:t>
      </w:r>
      <w:r w:rsidRPr="003F46ED">
        <w:rPr>
          <w:i/>
          <w:iCs/>
        </w:rPr>
        <w:t>Longitudinal Surveys of Australian Youth</w:t>
      </w:r>
      <w:r w:rsidRPr="003F46ED">
        <w:t>.</w:t>
      </w:r>
      <w:proofErr w:type="gramEnd"/>
      <w:r w:rsidRPr="003F46ED">
        <w:t xml:space="preserve"> Camberwell, </w:t>
      </w:r>
      <w:r w:rsidR="007C0E68" w:rsidRPr="003F46ED">
        <w:t>Vic</w:t>
      </w:r>
      <w:r w:rsidRPr="003F46ED">
        <w:t>: Australian Council for Educational Research.</w:t>
      </w:r>
      <w:bookmarkEnd w:id="610"/>
    </w:p>
    <w:p w14:paraId="27577A64" w14:textId="77777777" w:rsidR="00C87E1A" w:rsidRPr="003F46ED" w:rsidRDefault="00C87E1A" w:rsidP="00B30583">
      <w:pPr>
        <w:rPr>
          <w:rFonts w:ascii="Calibri" w:hAnsi="Calibri"/>
          <w:bCs/>
        </w:rPr>
      </w:pPr>
      <w:bookmarkStart w:id="611" w:name="_Toc402180807"/>
      <w:proofErr w:type="spellStart"/>
      <w:proofErr w:type="gramStart"/>
      <w:r w:rsidRPr="003F46ED">
        <w:t>Halse</w:t>
      </w:r>
      <w:proofErr w:type="spellEnd"/>
      <w:r w:rsidRPr="003F46ED">
        <w:t xml:space="preserve">, C., </w:t>
      </w:r>
      <w:proofErr w:type="spellStart"/>
      <w:r w:rsidRPr="003F46ED">
        <w:t>Kostogriz</w:t>
      </w:r>
      <w:proofErr w:type="spellEnd"/>
      <w:r w:rsidRPr="003F46ED">
        <w:t xml:space="preserve">, A., </w:t>
      </w:r>
      <w:proofErr w:type="spellStart"/>
      <w:r w:rsidRPr="003F46ED">
        <w:t>Cloonan</w:t>
      </w:r>
      <w:proofErr w:type="spellEnd"/>
      <w:r w:rsidRPr="003F46ED">
        <w:t xml:space="preserve">, A., Dyer, J., Toe, D., &amp; </w:t>
      </w:r>
      <w:proofErr w:type="spellStart"/>
      <w:r w:rsidRPr="003F46ED">
        <w:t>Weinmann</w:t>
      </w:r>
      <w:proofErr w:type="spellEnd"/>
      <w:r w:rsidRPr="003F46ED">
        <w:t>, M. (2013).</w:t>
      </w:r>
      <w:proofErr w:type="gramEnd"/>
      <w:r w:rsidRPr="003F46ED">
        <w:t xml:space="preserve"> </w:t>
      </w:r>
      <w:proofErr w:type="gramStart"/>
      <w:r w:rsidRPr="003F46ED">
        <w:rPr>
          <w:i/>
        </w:rPr>
        <w:t>Asia Literacy and the Australian teaching workforce</w:t>
      </w:r>
      <w:r w:rsidRPr="003F46ED">
        <w:t>.</w:t>
      </w:r>
      <w:proofErr w:type="gramEnd"/>
      <w:r w:rsidRPr="003F46ED">
        <w:t xml:space="preserve"> Carlton South, </w:t>
      </w:r>
      <w:r w:rsidR="007C0E68" w:rsidRPr="003F46ED">
        <w:t>Vic</w:t>
      </w:r>
      <w:r w:rsidRPr="003F46ED">
        <w:t>: Education Services Australia.</w:t>
      </w:r>
      <w:bookmarkEnd w:id="611"/>
    </w:p>
    <w:p w14:paraId="61FF0480" w14:textId="77777777" w:rsidR="009D1AC6" w:rsidRPr="003F46ED" w:rsidRDefault="0057700C" w:rsidP="00B30583">
      <w:bookmarkStart w:id="612" w:name="_Toc402180808"/>
      <w:proofErr w:type="gramStart"/>
      <w:r w:rsidRPr="003F46ED">
        <w:t>Kohler, M., &amp; Curnow, T. J. (2014).</w:t>
      </w:r>
      <w:proofErr w:type="gramEnd"/>
      <w:r w:rsidRPr="003F46ED">
        <w:t xml:space="preserve"> Policy and literature review (Attachment 1 of the Senior Secondary Languages Education Research Project by the Asia Education Foundation). </w:t>
      </w:r>
      <w:proofErr w:type="gramStart"/>
      <w:r w:rsidRPr="003F46ED">
        <w:t>University of South Australia.</w:t>
      </w:r>
      <w:bookmarkEnd w:id="612"/>
      <w:proofErr w:type="gramEnd"/>
    </w:p>
    <w:p w14:paraId="0F5C88DB" w14:textId="77777777" w:rsidR="005573E7" w:rsidRPr="003F46ED" w:rsidRDefault="005573E7" w:rsidP="00B30583">
      <w:bookmarkStart w:id="613" w:name="_Toc402180809"/>
      <w:proofErr w:type="gramStart"/>
      <w:r w:rsidRPr="003F46ED">
        <w:lastRenderedPageBreak/>
        <w:t xml:space="preserve">Kohler, M., &amp; </w:t>
      </w:r>
      <w:proofErr w:type="spellStart"/>
      <w:r w:rsidRPr="003F46ED">
        <w:t>Mahnken</w:t>
      </w:r>
      <w:proofErr w:type="spellEnd"/>
      <w:r w:rsidRPr="003F46ED">
        <w:t>, P. (2010).</w:t>
      </w:r>
      <w:proofErr w:type="gramEnd"/>
      <w:r w:rsidRPr="003F46ED">
        <w:t xml:space="preserve"> </w:t>
      </w:r>
      <w:proofErr w:type="gramStart"/>
      <w:r w:rsidRPr="003F46ED">
        <w:rPr>
          <w:i/>
          <w:iCs/>
        </w:rPr>
        <w:t>The current state of Indonesian language education in Australian schools</w:t>
      </w:r>
      <w:r w:rsidRPr="003F46ED">
        <w:t>.</w:t>
      </w:r>
      <w:proofErr w:type="gramEnd"/>
      <w:r w:rsidRPr="003F46ED">
        <w:t xml:space="preserve"> Carlton South, </w:t>
      </w:r>
      <w:r w:rsidR="007C0E68" w:rsidRPr="003F46ED">
        <w:t>Vic</w:t>
      </w:r>
      <w:r w:rsidRPr="003F46ED">
        <w:t>: Education Services Australia.</w:t>
      </w:r>
      <w:bookmarkEnd w:id="613"/>
    </w:p>
    <w:p w14:paraId="6BFAF1AD" w14:textId="77777777" w:rsidR="00983EDD" w:rsidRPr="003F46ED" w:rsidRDefault="00983EDD" w:rsidP="00B30583">
      <w:bookmarkStart w:id="614" w:name="_Toc402180810"/>
      <w:proofErr w:type="spellStart"/>
      <w:proofErr w:type="gramStart"/>
      <w:r w:rsidRPr="003F46ED">
        <w:t>Liddicoat</w:t>
      </w:r>
      <w:proofErr w:type="spellEnd"/>
      <w:r w:rsidRPr="003F46ED">
        <w:t xml:space="preserve">, A. J., </w:t>
      </w:r>
      <w:proofErr w:type="spellStart"/>
      <w:r w:rsidRPr="003F46ED">
        <w:t>Scarino</w:t>
      </w:r>
      <w:proofErr w:type="spellEnd"/>
      <w:r w:rsidRPr="003F46ED">
        <w:t xml:space="preserve">, A., Curnow, T. J., Kohler, M., </w:t>
      </w:r>
      <w:proofErr w:type="spellStart"/>
      <w:r w:rsidRPr="003F46ED">
        <w:t>Scrimgeour</w:t>
      </w:r>
      <w:proofErr w:type="spellEnd"/>
      <w:r w:rsidRPr="003F46ED">
        <w:t>, A., &amp; Morgan, A. M. (2007).</w:t>
      </w:r>
      <w:proofErr w:type="gramEnd"/>
      <w:r w:rsidRPr="003F46ED">
        <w:t xml:space="preserve"> </w:t>
      </w:r>
      <w:proofErr w:type="gramStart"/>
      <w:r w:rsidRPr="003F46ED">
        <w:rPr>
          <w:i/>
          <w:iCs/>
        </w:rPr>
        <w:t>An investigation of the state and nature of languages in Australian schools</w:t>
      </w:r>
      <w:r w:rsidRPr="003F46ED">
        <w:t>.</w:t>
      </w:r>
      <w:proofErr w:type="gramEnd"/>
      <w:r w:rsidRPr="003F46ED">
        <w:t xml:space="preserve"> Adelaide, SA: Research Centre for Languages and Cultures Education, University of South Australia.</w:t>
      </w:r>
      <w:bookmarkEnd w:id="614"/>
    </w:p>
    <w:p w14:paraId="15167BED" w14:textId="77777777" w:rsidR="00C823ED" w:rsidRPr="003F46ED" w:rsidRDefault="00C823ED" w:rsidP="00B30583">
      <w:bookmarkStart w:id="615" w:name="_Toc402180811"/>
      <w:r w:rsidRPr="003F46ED">
        <w:t xml:space="preserve">Lo Bianco, J. (1987). </w:t>
      </w:r>
      <w:proofErr w:type="gramStart"/>
      <w:r w:rsidRPr="003F46ED">
        <w:rPr>
          <w:i/>
          <w:iCs/>
        </w:rPr>
        <w:t>National Policy on Languages</w:t>
      </w:r>
      <w:r w:rsidRPr="003F46ED">
        <w:t>.</w:t>
      </w:r>
      <w:proofErr w:type="gramEnd"/>
      <w:r w:rsidRPr="003F46ED">
        <w:t xml:space="preserve"> Canberra, ACT: Australian Government Publishing Service.</w:t>
      </w:r>
      <w:bookmarkEnd w:id="615"/>
    </w:p>
    <w:p w14:paraId="1A9CF32A" w14:textId="77777777" w:rsidR="00983EDD" w:rsidRPr="003F46ED" w:rsidRDefault="00983EDD" w:rsidP="00B30583">
      <w:bookmarkStart w:id="616" w:name="_Toc402180812"/>
      <w:r w:rsidRPr="003F46ED">
        <w:t xml:space="preserve">Lo Bianco, J., &amp; </w:t>
      </w:r>
      <w:proofErr w:type="spellStart"/>
      <w:r w:rsidRPr="003F46ED">
        <w:t>Aliani</w:t>
      </w:r>
      <w:proofErr w:type="spellEnd"/>
      <w:r w:rsidRPr="003F46ED">
        <w:t>, R. (2013). Language planning and student experiences: Intention, rhetoric and implementation. Bristol, UK: Multilingual Matters.</w:t>
      </w:r>
      <w:bookmarkEnd w:id="616"/>
    </w:p>
    <w:p w14:paraId="1229515A" w14:textId="77777777" w:rsidR="00964807" w:rsidRPr="003F46ED" w:rsidRDefault="00964807" w:rsidP="00B30583">
      <w:bookmarkStart w:id="617" w:name="_Toc402180813"/>
      <w:r w:rsidRPr="003F46ED">
        <w:t xml:space="preserve">Lo Bianco, J., &amp; Slaughter, Y. (2009). </w:t>
      </w:r>
      <w:proofErr w:type="gramStart"/>
      <w:r w:rsidRPr="003F46ED">
        <w:rPr>
          <w:i/>
          <w:iCs/>
        </w:rPr>
        <w:t>Second Languages and Australian Schooling</w:t>
      </w:r>
      <w:r w:rsidRPr="003F46ED">
        <w:t>.</w:t>
      </w:r>
      <w:proofErr w:type="gramEnd"/>
      <w:r w:rsidRPr="003F46ED">
        <w:t xml:space="preserve"> Camberwell, </w:t>
      </w:r>
      <w:r w:rsidR="007C0E68" w:rsidRPr="003F46ED">
        <w:t>Vic</w:t>
      </w:r>
      <w:r w:rsidRPr="003F46ED">
        <w:t>: Australian Council for Educational Research.</w:t>
      </w:r>
      <w:bookmarkEnd w:id="617"/>
    </w:p>
    <w:p w14:paraId="56229AEC" w14:textId="77777777" w:rsidR="00BA0130" w:rsidRPr="003F46ED" w:rsidRDefault="00BA0130" w:rsidP="00B30583">
      <w:bookmarkStart w:id="618" w:name="_Toc402180814"/>
      <w:r w:rsidRPr="003F46ED">
        <w:t xml:space="preserve">Oakes, J. (1990). </w:t>
      </w:r>
      <w:proofErr w:type="gramStart"/>
      <w:r w:rsidRPr="003F46ED">
        <w:t>Making the best of schools: a handbook for parents, teachers, and policymakers.</w:t>
      </w:r>
      <w:proofErr w:type="gramEnd"/>
      <w:r w:rsidRPr="003F46ED">
        <w:t xml:space="preserve"> New Haven, CT: Yale University Press.</w:t>
      </w:r>
      <w:bookmarkEnd w:id="618"/>
    </w:p>
    <w:p w14:paraId="089E368A" w14:textId="77777777" w:rsidR="00197E02" w:rsidRPr="003F46ED" w:rsidRDefault="00197E02" w:rsidP="00B30583">
      <w:bookmarkStart w:id="619" w:name="_Toc402180815"/>
      <w:r w:rsidRPr="003F46ED">
        <w:t xml:space="preserve">Orton, J. (2008). </w:t>
      </w:r>
      <w:proofErr w:type="gramStart"/>
      <w:r w:rsidRPr="003F46ED">
        <w:rPr>
          <w:i/>
          <w:iCs/>
        </w:rPr>
        <w:t>Chinese Language Education in Australian Schools</w:t>
      </w:r>
      <w:r w:rsidRPr="003F46ED">
        <w:t>.</w:t>
      </w:r>
      <w:proofErr w:type="gramEnd"/>
      <w:r w:rsidRPr="003F46ED">
        <w:t xml:space="preserve"> Melbourne, </w:t>
      </w:r>
      <w:r w:rsidR="007C0E68" w:rsidRPr="003F46ED">
        <w:t>Vic</w:t>
      </w:r>
      <w:r w:rsidRPr="003F46ED">
        <w:t>: The University of Melbourne.</w:t>
      </w:r>
      <w:bookmarkEnd w:id="619"/>
    </w:p>
    <w:p w14:paraId="389F07B4" w14:textId="77777777" w:rsidR="005573E7" w:rsidRPr="003F46ED" w:rsidRDefault="005573E7" w:rsidP="00B30583">
      <w:bookmarkStart w:id="620" w:name="_Toc402180816"/>
      <w:r w:rsidRPr="003F46ED">
        <w:t xml:space="preserve">Orton, J. (2010). </w:t>
      </w:r>
      <w:proofErr w:type="gramStart"/>
      <w:r w:rsidRPr="003F46ED">
        <w:rPr>
          <w:i/>
          <w:iCs/>
        </w:rPr>
        <w:t>The current state of Chinese language education in Australian schools</w:t>
      </w:r>
      <w:r w:rsidRPr="003F46ED">
        <w:t>.</w:t>
      </w:r>
      <w:proofErr w:type="gramEnd"/>
      <w:r w:rsidRPr="003F46ED">
        <w:t xml:space="preserve"> Carlton South, </w:t>
      </w:r>
      <w:r w:rsidR="007C0E68" w:rsidRPr="003F46ED">
        <w:t>Vic</w:t>
      </w:r>
      <w:r w:rsidRPr="003F46ED">
        <w:t>: Education Services Australia.</w:t>
      </w:r>
      <w:bookmarkEnd w:id="620"/>
    </w:p>
    <w:p w14:paraId="47F74760" w14:textId="77777777" w:rsidR="00B41D20" w:rsidRPr="003F46ED" w:rsidRDefault="00B41D20" w:rsidP="00B30583">
      <w:bookmarkStart w:id="621" w:name="_Toc402180817"/>
      <w:r w:rsidRPr="003F46ED">
        <w:t>Richardson, H. (2014). Modern languages 'recovery programme' urged by MPs</w:t>
      </w:r>
      <w:r w:rsidR="00EA3211" w:rsidRPr="003F46ED">
        <w:t>.</w:t>
      </w:r>
      <w:r w:rsidRPr="003F46ED">
        <w:t xml:space="preserve"> Retrieved 14 July 2014, from </w:t>
      </w:r>
      <w:hyperlink r:id="rId36" w:history="1">
        <w:r w:rsidRPr="003F46ED">
          <w:rPr>
            <w:rStyle w:val="Hyperlink"/>
            <w:rFonts w:ascii="Calibri" w:hAnsi="Calibri"/>
            <w:bCs/>
            <w:szCs w:val="22"/>
          </w:rPr>
          <w:t>http://www.bbc.com/news/education-28269496</w:t>
        </w:r>
        <w:bookmarkEnd w:id="621"/>
      </w:hyperlink>
    </w:p>
    <w:p w14:paraId="747A168C" w14:textId="77777777" w:rsidR="00171F7A" w:rsidRPr="003F46ED" w:rsidRDefault="0057700C" w:rsidP="00B30583">
      <w:bookmarkStart w:id="622" w:name="_Toc402180818"/>
      <w:proofErr w:type="gramStart"/>
      <w:r w:rsidRPr="003F46ED">
        <w:t>Rothman, S., Zhao, Y., &amp; Lonsdale, A. (2014).</w:t>
      </w:r>
      <w:proofErr w:type="gramEnd"/>
      <w:r w:rsidRPr="003F46ED">
        <w:t xml:space="preserve"> Report on the analysis of student, parent and principal surveys (Attachment 2 of the Senior Secondary Languages Education Research Project by the Asia Education Foundation). </w:t>
      </w:r>
      <w:proofErr w:type="gramStart"/>
      <w:r w:rsidRPr="003F46ED">
        <w:t>Australian Council for Educational Research.</w:t>
      </w:r>
      <w:bookmarkEnd w:id="622"/>
      <w:proofErr w:type="gramEnd"/>
    </w:p>
    <w:p w14:paraId="0ABFEF8D" w14:textId="77777777" w:rsidR="00197E02" w:rsidRPr="003F46ED" w:rsidRDefault="00197E02" w:rsidP="00B30583">
      <w:bookmarkStart w:id="623" w:name="_Toc402180819"/>
      <w:proofErr w:type="spellStart"/>
      <w:proofErr w:type="gramStart"/>
      <w:r w:rsidRPr="003F46ED">
        <w:t>Scarino</w:t>
      </w:r>
      <w:proofErr w:type="spellEnd"/>
      <w:r w:rsidRPr="003F46ED">
        <w:t xml:space="preserve">, A., Elder, C. H., S. H., Iwashita, N., Kohler, M., &amp; </w:t>
      </w:r>
      <w:proofErr w:type="spellStart"/>
      <w:r w:rsidRPr="003F46ED">
        <w:t>Scrimgeour</w:t>
      </w:r>
      <w:proofErr w:type="spellEnd"/>
      <w:r w:rsidRPr="003F46ED">
        <w:t>, A. (2011).</w:t>
      </w:r>
      <w:proofErr w:type="gramEnd"/>
      <w:r w:rsidRPr="003F46ED">
        <w:t xml:space="preserve"> </w:t>
      </w:r>
      <w:proofErr w:type="gramStart"/>
      <w:r w:rsidRPr="003F46ED">
        <w:rPr>
          <w:i/>
          <w:iCs/>
        </w:rPr>
        <w:t>A Report on Student Achievement in Asian Languages Education</w:t>
      </w:r>
      <w:r w:rsidRPr="003F46ED">
        <w:t>.</w:t>
      </w:r>
      <w:proofErr w:type="gramEnd"/>
      <w:r w:rsidRPr="003F46ED">
        <w:t xml:space="preserve"> Adelaide, SA: University of South Australia and University of Melbourne.</w:t>
      </w:r>
      <w:bookmarkEnd w:id="623"/>
    </w:p>
    <w:p w14:paraId="00559CEA" w14:textId="77777777" w:rsidR="005573E7" w:rsidRPr="003F46ED" w:rsidRDefault="005573E7" w:rsidP="00B30583">
      <w:bookmarkStart w:id="624" w:name="_Toc402180820"/>
      <w:proofErr w:type="gramStart"/>
      <w:r w:rsidRPr="003F46ED">
        <w:t>Shin, S. C. (2010).</w:t>
      </w:r>
      <w:proofErr w:type="gramEnd"/>
      <w:r w:rsidRPr="003F46ED">
        <w:t xml:space="preserve"> </w:t>
      </w:r>
      <w:proofErr w:type="gramStart"/>
      <w:r w:rsidRPr="003F46ED">
        <w:rPr>
          <w:i/>
          <w:iCs/>
        </w:rPr>
        <w:t>The Current State of Korean Language Education in Australian Schools</w:t>
      </w:r>
      <w:r w:rsidRPr="003F46ED">
        <w:t>.</w:t>
      </w:r>
      <w:proofErr w:type="gramEnd"/>
      <w:r w:rsidRPr="003F46ED">
        <w:t xml:space="preserve"> Carlton South, </w:t>
      </w:r>
      <w:r w:rsidR="007C0E68" w:rsidRPr="003F46ED">
        <w:t>Vic</w:t>
      </w:r>
      <w:r w:rsidRPr="003F46ED">
        <w:t>: Education Services Australia.</w:t>
      </w:r>
      <w:bookmarkEnd w:id="624"/>
    </w:p>
    <w:p w14:paraId="6F716252" w14:textId="77777777" w:rsidR="00D423C1" w:rsidRPr="003F46ED" w:rsidRDefault="00D423C1" w:rsidP="00B30583">
      <w:bookmarkStart w:id="625" w:name="_Toc402180821"/>
      <w:proofErr w:type="gramStart"/>
      <w:r w:rsidRPr="003F46ED">
        <w:t>Slaughter, Y. (2009).</w:t>
      </w:r>
      <w:proofErr w:type="gramEnd"/>
      <w:r w:rsidRPr="003F46ED">
        <w:t xml:space="preserve"> Money and policy make languages go round: Language programs in Australia after </w:t>
      </w:r>
      <w:proofErr w:type="spellStart"/>
      <w:r w:rsidRPr="003F46ED">
        <w:t>NALSAS</w:t>
      </w:r>
      <w:proofErr w:type="spellEnd"/>
      <w:r w:rsidRPr="003F46ED">
        <w:t xml:space="preserve">. </w:t>
      </w:r>
      <w:r w:rsidRPr="003F46ED">
        <w:rPr>
          <w:i/>
          <w:iCs/>
        </w:rPr>
        <w:t>Babel, 43</w:t>
      </w:r>
      <w:r w:rsidRPr="003F46ED">
        <w:t>(2), 4</w:t>
      </w:r>
      <w:r w:rsidR="008D2C73" w:rsidRPr="003F46ED">
        <w:t>–</w:t>
      </w:r>
      <w:r w:rsidRPr="003F46ED">
        <w:t>11.</w:t>
      </w:r>
      <w:bookmarkEnd w:id="625"/>
    </w:p>
    <w:p w14:paraId="6BD5CF29" w14:textId="77777777" w:rsidR="00171F7A" w:rsidRPr="003F46ED" w:rsidRDefault="0057700C" w:rsidP="00B30583">
      <w:bookmarkStart w:id="626" w:name="_Toc402180822"/>
      <w:r w:rsidRPr="003F46ED">
        <w:t xml:space="preserve">Spence-Brown, R. (2014). </w:t>
      </w:r>
      <w:r w:rsidR="00465A6D" w:rsidRPr="003F46ED">
        <w:t>F</w:t>
      </w:r>
      <w:r w:rsidRPr="003F46ED">
        <w:t xml:space="preserve">actors related to student continuation and discontinuation of Japanese in senior secondary school (Attachment 3 of the Senior Secondary Languages Education Research Project by the Asia Education Foundation). </w:t>
      </w:r>
      <w:proofErr w:type="gramStart"/>
      <w:r w:rsidRPr="003F46ED">
        <w:t>Monash University.</w:t>
      </w:r>
      <w:bookmarkEnd w:id="626"/>
      <w:proofErr w:type="gramEnd"/>
    </w:p>
    <w:p w14:paraId="04794B5D" w14:textId="77777777" w:rsidR="00B41D20" w:rsidRPr="003F46ED" w:rsidRDefault="00B41D20" w:rsidP="00B30583">
      <w:bookmarkStart w:id="627" w:name="_Toc402180823"/>
      <w:proofErr w:type="gramStart"/>
      <w:r w:rsidRPr="003F46ED">
        <w:t>Tinsley, T. (2013).</w:t>
      </w:r>
      <w:proofErr w:type="gramEnd"/>
      <w:r w:rsidRPr="003F46ED">
        <w:t xml:space="preserve"> Languages: the State of the Nation, Demand and supply of language skills, Commissioned by the British Academy: London</w:t>
      </w:r>
      <w:r w:rsidR="00574EA1" w:rsidRPr="003F46ED">
        <w:t xml:space="preserve">. </w:t>
      </w:r>
      <w:r w:rsidRPr="003F46ED">
        <w:t xml:space="preserve">Retrieved 13 July 2014, from </w:t>
      </w:r>
      <w:hyperlink r:id="rId37" w:history="1">
        <w:r w:rsidRPr="003F46ED">
          <w:rPr>
            <w:rStyle w:val="Hyperlink"/>
            <w:rFonts w:ascii="Calibri" w:hAnsi="Calibri"/>
            <w:bCs/>
            <w:szCs w:val="22"/>
          </w:rPr>
          <w:t>http://www.britac.ac.uk/policy/State_of_the_Nation_2013.cfm</w:t>
        </w:r>
        <w:bookmarkEnd w:id="627"/>
      </w:hyperlink>
    </w:p>
    <w:p w14:paraId="3CCDA1FA" w14:textId="77777777" w:rsidR="007B1D45" w:rsidRPr="003F46ED" w:rsidRDefault="00FB0E3A" w:rsidP="00B30583">
      <w:bookmarkStart w:id="628" w:name="_Toc402180824"/>
      <w:proofErr w:type="spellStart"/>
      <w:proofErr w:type="gramStart"/>
      <w:r w:rsidRPr="003F46ED">
        <w:lastRenderedPageBreak/>
        <w:t>Tuffin</w:t>
      </w:r>
      <w:proofErr w:type="spellEnd"/>
      <w:r w:rsidRPr="003F46ED">
        <w:t>, P., &amp; Wilson, J. (1989).</w:t>
      </w:r>
      <w:proofErr w:type="gramEnd"/>
      <w:r w:rsidRPr="003F46ED">
        <w:t xml:space="preserve"> </w:t>
      </w:r>
      <w:proofErr w:type="gramStart"/>
      <w:r w:rsidRPr="003F46ED">
        <w:t>Report of an investigation into disincentives to language learning at the senior secondary level.</w:t>
      </w:r>
      <w:proofErr w:type="gramEnd"/>
      <w:r w:rsidRPr="003F46ED">
        <w:t xml:space="preserve"> Canberra, ACT: Asian Studies Council.</w:t>
      </w:r>
      <w:bookmarkEnd w:id="628"/>
    </w:p>
    <w:p w14:paraId="3F93A382" w14:textId="5A063FE2" w:rsidR="00C00B2B" w:rsidRPr="003F46ED" w:rsidRDefault="00C00B2B" w:rsidP="00B30583">
      <w:pPr>
        <w:sectPr w:rsidR="00C00B2B" w:rsidRPr="003F46ED" w:rsidSect="00665CB6">
          <w:pgSz w:w="11900" w:h="16840"/>
          <w:pgMar w:top="1985" w:right="1134" w:bottom="1440" w:left="1134" w:header="709" w:footer="709" w:gutter="0"/>
          <w:cols w:space="720"/>
          <w:docGrid w:linePitch="299"/>
        </w:sectPr>
      </w:pPr>
    </w:p>
    <w:p w14:paraId="1D8721A2" w14:textId="77777777" w:rsidR="007B1D45" w:rsidRPr="003F46ED" w:rsidRDefault="00C00B2B" w:rsidP="00880FD8">
      <w:pPr>
        <w:pStyle w:val="Heading1"/>
      </w:pPr>
      <w:bookmarkStart w:id="629" w:name="_Toc402180825"/>
      <w:bookmarkStart w:id="630" w:name="_Toc276245098"/>
      <w:bookmarkStart w:id="631" w:name="_Toc445305274"/>
      <w:r w:rsidRPr="003F46ED">
        <w:lastRenderedPageBreak/>
        <w:t>Attachments</w:t>
      </w:r>
      <w:bookmarkEnd w:id="629"/>
      <w:bookmarkEnd w:id="630"/>
      <w:bookmarkEnd w:id="631"/>
    </w:p>
    <w:p w14:paraId="5F23053A" w14:textId="37CBB90E" w:rsidR="00C00B2B" w:rsidRPr="003F46ED" w:rsidRDefault="00C00B2B" w:rsidP="00B30583">
      <w:bookmarkStart w:id="632" w:name="_Toc402180826"/>
      <w:r w:rsidRPr="003F46ED">
        <w:t>Attachment 1: Policy and literature review</w:t>
      </w:r>
      <w:bookmarkEnd w:id="632"/>
    </w:p>
    <w:p w14:paraId="5D8C59E3" w14:textId="77777777" w:rsidR="00C00B2B" w:rsidRPr="003F46ED" w:rsidRDefault="00C00B2B" w:rsidP="00B30583">
      <w:bookmarkStart w:id="633" w:name="_Toc402180827"/>
      <w:r w:rsidRPr="003F46ED">
        <w:t>Attachment 2: Report on the analysis of student, parent and principal surveys</w:t>
      </w:r>
      <w:bookmarkEnd w:id="633"/>
    </w:p>
    <w:p w14:paraId="6C612ECE" w14:textId="77777777" w:rsidR="00C00B2B" w:rsidRPr="003F46ED" w:rsidRDefault="00C00B2B" w:rsidP="00B30583">
      <w:bookmarkStart w:id="634" w:name="_Toc402180828"/>
      <w:r w:rsidRPr="003F46ED">
        <w:t xml:space="preserve">Attachment </w:t>
      </w:r>
      <w:r w:rsidR="00F459FF" w:rsidRPr="003F46ED">
        <w:t>3</w:t>
      </w:r>
      <w:r w:rsidRPr="003F46ED">
        <w:t xml:space="preserve">: </w:t>
      </w:r>
      <w:r w:rsidR="00E15688" w:rsidRPr="003F46ED">
        <w:t>F</w:t>
      </w:r>
      <w:r w:rsidRPr="003F46ED">
        <w:t>actors related to student continuation and discontinuation of Japanese in senior secondary school</w:t>
      </w:r>
      <w:bookmarkEnd w:id="634"/>
    </w:p>
    <w:p w14:paraId="674D90C4" w14:textId="77777777" w:rsidR="00C00B2B" w:rsidRPr="003F46ED" w:rsidRDefault="00C00B2B" w:rsidP="00B30583">
      <w:bookmarkStart w:id="635" w:name="_Toc402180829"/>
      <w:r w:rsidRPr="003F46ED">
        <w:t xml:space="preserve">Attachment </w:t>
      </w:r>
      <w:r w:rsidR="00F459FF" w:rsidRPr="003F46ED">
        <w:t>4</w:t>
      </w:r>
      <w:r w:rsidRPr="003F46ED">
        <w:t xml:space="preserve">: </w:t>
      </w:r>
      <w:r w:rsidR="008C0550" w:rsidRPr="003F46ED">
        <w:t>Consultations</w:t>
      </w:r>
      <w:bookmarkEnd w:id="635"/>
    </w:p>
    <w:p w14:paraId="25B799D4" w14:textId="77777777" w:rsidR="00C00B2B" w:rsidRPr="003F46ED" w:rsidRDefault="00C00B2B" w:rsidP="00B30583">
      <w:bookmarkStart w:id="636" w:name="_Toc402180830"/>
      <w:r w:rsidRPr="003F46ED">
        <w:t xml:space="preserve">Attachment </w:t>
      </w:r>
      <w:r w:rsidR="00F459FF" w:rsidRPr="003F46ED">
        <w:t>5</w:t>
      </w:r>
      <w:r w:rsidRPr="003F46ED">
        <w:t xml:space="preserve">: </w:t>
      </w:r>
      <w:r w:rsidR="00052AA3" w:rsidRPr="003F46ED">
        <w:t>Scoping group and Advisory Group</w:t>
      </w:r>
      <w:bookmarkEnd w:id="636"/>
    </w:p>
    <w:p w14:paraId="0F951FB4" w14:textId="77777777" w:rsidR="00C00B2B" w:rsidRPr="003F46ED" w:rsidRDefault="00C00B2B" w:rsidP="00B30583">
      <w:pPr>
        <w:rPr>
          <w:bCs/>
        </w:rPr>
      </w:pPr>
      <w:bookmarkStart w:id="637" w:name="_Toc402180831"/>
      <w:r w:rsidRPr="003F46ED">
        <w:t xml:space="preserve">Attachment </w:t>
      </w:r>
      <w:r w:rsidR="00F459FF" w:rsidRPr="003F46ED">
        <w:t>6</w:t>
      </w:r>
      <w:r w:rsidRPr="003F46ED">
        <w:t>: Ethics approval for ACER surveys</w:t>
      </w:r>
      <w:bookmarkEnd w:id="637"/>
    </w:p>
    <w:sectPr w:rsidR="00C00B2B" w:rsidRPr="003F46ED" w:rsidSect="00665CB6">
      <w:pgSz w:w="11900" w:h="16840"/>
      <w:pgMar w:top="1985" w:right="1134" w:bottom="1440" w:left="1134"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1CF64" w14:textId="77777777" w:rsidR="0091348F" w:rsidRDefault="0091348F" w:rsidP="00B30583">
      <w:r>
        <w:separator/>
      </w:r>
    </w:p>
    <w:p w14:paraId="163DEFD8" w14:textId="77777777" w:rsidR="0091348F" w:rsidRDefault="0091348F" w:rsidP="00B30583"/>
    <w:p w14:paraId="6126F401" w14:textId="77777777" w:rsidR="0091348F" w:rsidRDefault="0091348F" w:rsidP="00B30583"/>
    <w:p w14:paraId="2E6BAF98" w14:textId="77777777" w:rsidR="0091348F" w:rsidRDefault="0091348F" w:rsidP="00B30583"/>
  </w:endnote>
  <w:endnote w:type="continuationSeparator" w:id="0">
    <w:p w14:paraId="412DBD15" w14:textId="77777777" w:rsidR="0091348F" w:rsidRDefault="0091348F" w:rsidP="00B30583">
      <w:r>
        <w:continuationSeparator/>
      </w:r>
    </w:p>
    <w:p w14:paraId="12BBAF84" w14:textId="77777777" w:rsidR="0091348F" w:rsidRDefault="0091348F" w:rsidP="00B30583"/>
    <w:p w14:paraId="4549091C" w14:textId="77777777" w:rsidR="0091348F" w:rsidRDefault="0091348F" w:rsidP="00B30583"/>
    <w:p w14:paraId="1DEF4CD1" w14:textId="77777777" w:rsidR="0091348F" w:rsidRDefault="0091348F" w:rsidP="00B30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5445F" w14:textId="77777777" w:rsidR="0091348F" w:rsidRDefault="0091348F" w:rsidP="00B30583">
    <w:pPr>
      <w:pStyle w:val="Footer"/>
    </w:pPr>
    <w:r w:rsidRPr="00073052">
      <w:t xml:space="preserve">Page </w:t>
    </w:r>
    <w:r w:rsidRPr="00073052">
      <w:fldChar w:fldCharType="begin"/>
    </w:r>
    <w:r w:rsidRPr="00073052">
      <w:instrText xml:space="preserve"> PAGE </w:instrText>
    </w:r>
    <w:r w:rsidRPr="00073052">
      <w:fldChar w:fldCharType="separate"/>
    </w:r>
    <w:r w:rsidR="006E5D16">
      <w:rPr>
        <w:noProof/>
      </w:rPr>
      <w:t>2</w:t>
    </w:r>
    <w:r w:rsidRPr="00073052">
      <w:fldChar w:fldCharType="end"/>
    </w:r>
    <w:r w:rsidRPr="00073052">
      <w:t xml:space="preserve"> of </w:t>
    </w:r>
    <w:fldSimple w:instr=" NUMPAGES ">
      <w:r w:rsidR="006E5D16">
        <w:rPr>
          <w:noProof/>
        </w:rPr>
        <w:t>94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F9DF3" w14:textId="77777777" w:rsidR="0091348F" w:rsidRPr="00AD11E2" w:rsidRDefault="0091348F" w:rsidP="00B30583">
    <w:pPr>
      <w:pStyle w:val="Footer"/>
    </w:pPr>
    <w:r w:rsidRPr="00073052">
      <w:t xml:space="preserve">Page </w:t>
    </w:r>
    <w:r w:rsidRPr="00073052">
      <w:fldChar w:fldCharType="begin"/>
    </w:r>
    <w:r w:rsidRPr="00073052">
      <w:instrText xml:space="preserve"> PAGE </w:instrText>
    </w:r>
    <w:r w:rsidRPr="00073052">
      <w:fldChar w:fldCharType="separate"/>
    </w:r>
    <w:r w:rsidR="006E5D16">
      <w:rPr>
        <w:noProof/>
      </w:rPr>
      <w:t>53</w:t>
    </w:r>
    <w:r w:rsidRPr="00073052">
      <w:fldChar w:fldCharType="end"/>
    </w:r>
    <w:r w:rsidRPr="00073052">
      <w:t xml:space="preserve"> of </w:t>
    </w:r>
    <w:fldSimple w:instr=" NUMPAGES ">
      <w:r w:rsidR="006E5D16">
        <w:rPr>
          <w:noProof/>
        </w:rPr>
        <w:t>94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C4754" w14:textId="77777777" w:rsidR="0091348F" w:rsidRDefault="0091348F" w:rsidP="00B30583">
      <w:r>
        <w:separator/>
      </w:r>
    </w:p>
    <w:p w14:paraId="52E93775" w14:textId="77777777" w:rsidR="0091348F" w:rsidRDefault="0091348F" w:rsidP="00B30583"/>
    <w:p w14:paraId="58016A74" w14:textId="77777777" w:rsidR="0091348F" w:rsidRDefault="0091348F" w:rsidP="00B30583"/>
    <w:p w14:paraId="495DD402" w14:textId="77777777" w:rsidR="0091348F" w:rsidRDefault="0091348F" w:rsidP="00B30583"/>
  </w:footnote>
  <w:footnote w:type="continuationSeparator" w:id="0">
    <w:p w14:paraId="6FD3A1CD" w14:textId="77777777" w:rsidR="0091348F" w:rsidRDefault="0091348F" w:rsidP="00B30583">
      <w:r>
        <w:continuationSeparator/>
      </w:r>
    </w:p>
    <w:p w14:paraId="24F3251E" w14:textId="77777777" w:rsidR="0091348F" w:rsidRDefault="0091348F" w:rsidP="00B30583"/>
    <w:p w14:paraId="1EE3BC1A" w14:textId="77777777" w:rsidR="0091348F" w:rsidRDefault="0091348F" w:rsidP="00B30583"/>
    <w:p w14:paraId="21B400DF" w14:textId="77777777" w:rsidR="0091348F" w:rsidRDefault="0091348F" w:rsidP="00B305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A9336" w14:textId="43722E4B" w:rsidR="0091348F" w:rsidRDefault="0091348F" w:rsidP="00B30583">
    <w:pPr>
      <w:pStyle w:val="Header"/>
    </w:pPr>
    <w:r>
      <w:t>Senior Secondary Languages Education Research Project</w:t>
    </w:r>
    <w:r>
      <w:tab/>
      <w:t>Final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FB24B" w14:textId="77777777" w:rsidR="0091348F" w:rsidRPr="00C4573C" w:rsidRDefault="0091348F" w:rsidP="00B30583">
    <w:pPr>
      <w:pStyle w:val="Header"/>
    </w:pPr>
    <w:r>
      <w:t>Policy and Literature Review</w:t>
    </w:r>
  </w:p>
  <w:p w14:paraId="3D1B10D4" w14:textId="77777777" w:rsidR="0091348F" w:rsidRDefault="0091348F" w:rsidP="00B30583">
    <w:pPr>
      <w:pStyle w:val="Header"/>
    </w:pPr>
    <w:r>
      <w:t>Senior Secondary Languages Education Review</w:t>
    </w:r>
  </w:p>
  <w:p w14:paraId="5A2791AF" w14:textId="51EE46B3" w:rsidR="0091348F" w:rsidRDefault="0091348F" w:rsidP="00B305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A8A1DFA"/>
    <w:lvl w:ilvl="0">
      <w:start w:val="1"/>
      <w:numFmt w:val="bullet"/>
      <w:pStyle w:val="ListBullet4"/>
      <w:lvlText w:val=""/>
      <w:lvlJc w:val="left"/>
      <w:pPr>
        <w:ind w:left="1440" w:hanging="360"/>
      </w:pPr>
      <w:rPr>
        <w:rFonts w:ascii="Symbol" w:hAnsi="Symbol" w:hint="default"/>
        <w:color w:val="9BBB59" w:themeColor="accent3"/>
      </w:rPr>
    </w:lvl>
  </w:abstractNum>
  <w:abstractNum w:abstractNumId="1">
    <w:nsid w:val="024B2DF6"/>
    <w:multiLevelType w:val="hybridMultilevel"/>
    <w:tmpl w:val="FD928BFA"/>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2">
    <w:nsid w:val="03870D05"/>
    <w:multiLevelType w:val="hybridMultilevel"/>
    <w:tmpl w:val="6AE66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715D09"/>
    <w:multiLevelType w:val="hybridMultilevel"/>
    <w:tmpl w:val="0902CBAA"/>
    <w:lvl w:ilvl="0" w:tplc="9B2EA8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1A5D7C"/>
    <w:multiLevelType w:val="hybridMultilevel"/>
    <w:tmpl w:val="3F98F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E755E43"/>
    <w:multiLevelType w:val="hybridMultilevel"/>
    <w:tmpl w:val="EFD6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F0F9E"/>
    <w:multiLevelType w:val="hybridMultilevel"/>
    <w:tmpl w:val="873442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2A449A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3D16808"/>
    <w:multiLevelType w:val="hybridMultilevel"/>
    <w:tmpl w:val="9884A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83D1002"/>
    <w:multiLevelType w:val="hybridMultilevel"/>
    <w:tmpl w:val="7D0E26B8"/>
    <w:lvl w:ilvl="0" w:tplc="6DA4849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ABE3397"/>
    <w:multiLevelType w:val="hybridMultilevel"/>
    <w:tmpl w:val="BCD4C9BE"/>
    <w:lvl w:ilvl="0" w:tplc="6DA4849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B2D5625"/>
    <w:multiLevelType w:val="hybridMultilevel"/>
    <w:tmpl w:val="109806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D003527"/>
    <w:multiLevelType w:val="hybridMultilevel"/>
    <w:tmpl w:val="B02AC5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1033116"/>
    <w:multiLevelType w:val="hybridMultilevel"/>
    <w:tmpl w:val="C7405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230395D"/>
    <w:multiLevelType w:val="hybridMultilevel"/>
    <w:tmpl w:val="DA84A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48A6B7B"/>
    <w:multiLevelType w:val="hybridMultilevel"/>
    <w:tmpl w:val="C24674FA"/>
    <w:lvl w:ilvl="0" w:tplc="2A488F02">
      <w:start w:val="1"/>
      <w:numFmt w:val="bullet"/>
      <w:pStyle w:val="Box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54B61F1"/>
    <w:multiLevelType w:val="hybridMultilevel"/>
    <w:tmpl w:val="EBD4D5F8"/>
    <w:lvl w:ilvl="0" w:tplc="9B2EA878">
      <w:start w:val="1"/>
      <w:numFmt w:val="bullet"/>
      <w:lvlText w:val=""/>
      <w:lvlJc w:val="left"/>
      <w:pPr>
        <w:ind w:left="720" w:hanging="360"/>
      </w:pPr>
      <w:rPr>
        <w:rFonts w:ascii="Symbol" w:hAnsi="Symbol" w:hint="default"/>
        <w:color w:val="auto"/>
      </w:rPr>
    </w:lvl>
    <w:lvl w:ilvl="1" w:tplc="14A0B042">
      <w:numFmt w:val="bullet"/>
      <w:lvlText w:val="•"/>
      <w:lvlJc w:val="left"/>
      <w:pPr>
        <w:ind w:left="1800" w:hanging="720"/>
      </w:pPr>
      <w:rPr>
        <w:rFonts w:ascii="Calibri" w:eastAsia="Cambr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54F76EC"/>
    <w:multiLevelType w:val="hybridMultilevel"/>
    <w:tmpl w:val="403815D4"/>
    <w:lvl w:ilvl="0" w:tplc="0C09000B">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26BB1583"/>
    <w:multiLevelType w:val="hybridMultilevel"/>
    <w:tmpl w:val="F612C7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27EF2C5F"/>
    <w:multiLevelType w:val="hybridMultilevel"/>
    <w:tmpl w:val="C21C2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D64C13"/>
    <w:multiLevelType w:val="hybridMultilevel"/>
    <w:tmpl w:val="7584A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DFC4644"/>
    <w:multiLevelType w:val="hybridMultilevel"/>
    <w:tmpl w:val="B5424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00B4928"/>
    <w:multiLevelType w:val="hybridMultilevel"/>
    <w:tmpl w:val="1C3CB2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34E736F"/>
    <w:multiLevelType w:val="hybridMultilevel"/>
    <w:tmpl w:val="79B8FDCC"/>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24">
    <w:nsid w:val="35147A39"/>
    <w:multiLevelType w:val="hybridMultilevel"/>
    <w:tmpl w:val="710EB2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5857DC3"/>
    <w:multiLevelType w:val="hybridMultilevel"/>
    <w:tmpl w:val="DA3E276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6">
    <w:nsid w:val="37E1658A"/>
    <w:multiLevelType w:val="hybridMultilevel"/>
    <w:tmpl w:val="76725A3C"/>
    <w:lvl w:ilvl="0" w:tplc="BF3CEE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9135BD3"/>
    <w:multiLevelType w:val="hybridMultilevel"/>
    <w:tmpl w:val="4DA29B20"/>
    <w:lvl w:ilvl="0" w:tplc="40D20B40">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F973F8B"/>
    <w:multiLevelType w:val="hybridMultilevel"/>
    <w:tmpl w:val="048CB6F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41163320"/>
    <w:multiLevelType w:val="hybridMultilevel"/>
    <w:tmpl w:val="2408BA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49FF072D"/>
    <w:multiLevelType w:val="multilevel"/>
    <w:tmpl w:val="2C7853A4"/>
    <w:lvl w:ilvl="0">
      <w:start w:val="1"/>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1">
    <w:nsid w:val="4B0B1D79"/>
    <w:multiLevelType w:val="hybridMultilevel"/>
    <w:tmpl w:val="EBF26B52"/>
    <w:lvl w:ilvl="0" w:tplc="EEFA886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4C703B07"/>
    <w:multiLevelType w:val="hybridMultilevel"/>
    <w:tmpl w:val="133A144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0284C6C"/>
    <w:multiLevelType w:val="hybridMultilevel"/>
    <w:tmpl w:val="1DB0297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50383275"/>
    <w:multiLevelType w:val="hybridMultilevel"/>
    <w:tmpl w:val="C8089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0690FC6"/>
    <w:multiLevelType w:val="hybridMultilevel"/>
    <w:tmpl w:val="DD907D08"/>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6">
    <w:nsid w:val="5C143ACF"/>
    <w:multiLevelType w:val="hybridMultilevel"/>
    <w:tmpl w:val="880CA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E884613"/>
    <w:multiLevelType w:val="hybridMultilevel"/>
    <w:tmpl w:val="EEA008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62F1137A"/>
    <w:multiLevelType w:val="hybridMultilevel"/>
    <w:tmpl w:val="5AE812DE"/>
    <w:lvl w:ilvl="0" w:tplc="9B2EA8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3D36BE8"/>
    <w:multiLevelType w:val="hybridMultilevel"/>
    <w:tmpl w:val="FF761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63A17DE"/>
    <w:multiLevelType w:val="hybridMultilevel"/>
    <w:tmpl w:val="98661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96D35E1"/>
    <w:multiLevelType w:val="hybridMultilevel"/>
    <w:tmpl w:val="5386B9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6BE03027"/>
    <w:multiLevelType w:val="hybridMultilevel"/>
    <w:tmpl w:val="076E5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C536FBE"/>
    <w:multiLevelType w:val="hybridMultilevel"/>
    <w:tmpl w:val="2E4A2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23D551B"/>
    <w:multiLevelType w:val="hybridMultilevel"/>
    <w:tmpl w:val="878ECE56"/>
    <w:lvl w:ilvl="0" w:tplc="9B2EA87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653884"/>
    <w:multiLevelType w:val="hybridMultilevel"/>
    <w:tmpl w:val="AB080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92F6522"/>
    <w:multiLevelType w:val="hybridMultilevel"/>
    <w:tmpl w:val="123E57A2"/>
    <w:lvl w:ilvl="0" w:tplc="BF3CEE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7A667EAB"/>
    <w:multiLevelType w:val="hybridMultilevel"/>
    <w:tmpl w:val="98DC96FA"/>
    <w:lvl w:ilvl="0" w:tplc="9B2EA8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764B25"/>
    <w:multiLevelType w:val="hybridMultilevel"/>
    <w:tmpl w:val="2070DA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nsid w:val="7EE27CA9"/>
    <w:multiLevelType w:val="hybridMultilevel"/>
    <w:tmpl w:val="DE2E201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8"/>
  </w:num>
  <w:num w:numId="2">
    <w:abstractNumId w:val="49"/>
  </w:num>
  <w:num w:numId="3">
    <w:abstractNumId w:val="35"/>
  </w:num>
  <w:num w:numId="4">
    <w:abstractNumId w:val="5"/>
  </w:num>
  <w:num w:numId="5">
    <w:abstractNumId w:val="47"/>
  </w:num>
  <w:num w:numId="6">
    <w:abstractNumId w:val="44"/>
  </w:num>
  <w:num w:numId="7">
    <w:abstractNumId w:val="32"/>
  </w:num>
  <w:num w:numId="8">
    <w:abstractNumId w:val="40"/>
  </w:num>
  <w:num w:numId="9">
    <w:abstractNumId w:val="42"/>
  </w:num>
  <w:num w:numId="10">
    <w:abstractNumId w:val="1"/>
  </w:num>
  <w:num w:numId="11">
    <w:abstractNumId w:val="23"/>
  </w:num>
  <w:num w:numId="12">
    <w:abstractNumId w:val="39"/>
  </w:num>
  <w:num w:numId="13">
    <w:abstractNumId w:val="21"/>
  </w:num>
  <w:num w:numId="14">
    <w:abstractNumId w:val="43"/>
  </w:num>
  <w:num w:numId="15">
    <w:abstractNumId w:val="25"/>
  </w:num>
  <w:num w:numId="16">
    <w:abstractNumId w:val="3"/>
  </w:num>
  <w:num w:numId="17">
    <w:abstractNumId w:val="38"/>
  </w:num>
  <w:num w:numId="18">
    <w:abstractNumId w:val="19"/>
  </w:num>
  <w:num w:numId="19">
    <w:abstractNumId w:val="33"/>
  </w:num>
  <w:num w:numId="20">
    <w:abstractNumId w:val="7"/>
  </w:num>
  <w:num w:numId="21">
    <w:abstractNumId w:val="30"/>
  </w:num>
  <w:num w:numId="22">
    <w:abstractNumId w:val="14"/>
  </w:num>
  <w:num w:numId="23">
    <w:abstractNumId w:val="0"/>
  </w:num>
  <w:num w:numId="24">
    <w:abstractNumId w:val="20"/>
  </w:num>
  <w:num w:numId="25">
    <w:abstractNumId w:val="16"/>
  </w:num>
  <w:num w:numId="26">
    <w:abstractNumId w:val="48"/>
  </w:num>
  <w:num w:numId="27">
    <w:abstractNumId w:val="13"/>
  </w:num>
  <w:num w:numId="28">
    <w:abstractNumId w:val="41"/>
  </w:num>
  <w:num w:numId="29">
    <w:abstractNumId w:val="18"/>
  </w:num>
  <w:num w:numId="30">
    <w:abstractNumId w:val="37"/>
  </w:num>
  <w:num w:numId="31">
    <w:abstractNumId w:val="12"/>
  </w:num>
  <w:num w:numId="32">
    <w:abstractNumId w:val="27"/>
  </w:num>
  <w:num w:numId="33">
    <w:abstractNumId w:val="11"/>
  </w:num>
  <w:num w:numId="34">
    <w:abstractNumId w:val="15"/>
  </w:num>
  <w:num w:numId="35">
    <w:abstractNumId w:val="45"/>
  </w:num>
  <w:num w:numId="36">
    <w:abstractNumId w:val="9"/>
  </w:num>
  <w:num w:numId="37">
    <w:abstractNumId w:val="34"/>
  </w:num>
  <w:num w:numId="38">
    <w:abstractNumId w:val="17"/>
  </w:num>
  <w:num w:numId="39">
    <w:abstractNumId w:val="29"/>
  </w:num>
  <w:num w:numId="40">
    <w:abstractNumId w:val="10"/>
  </w:num>
  <w:num w:numId="41">
    <w:abstractNumId w:val="4"/>
  </w:num>
  <w:num w:numId="42">
    <w:abstractNumId w:val="22"/>
  </w:num>
  <w:num w:numId="43">
    <w:abstractNumId w:val="36"/>
  </w:num>
  <w:num w:numId="44">
    <w:abstractNumId w:val="6"/>
  </w:num>
  <w:num w:numId="45">
    <w:abstractNumId w:val="24"/>
  </w:num>
  <w:num w:numId="46">
    <w:abstractNumId w:val="31"/>
  </w:num>
  <w:num w:numId="47">
    <w:abstractNumId w:val="8"/>
  </w:num>
  <w:num w:numId="48">
    <w:abstractNumId w:val="2"/>
  </w:num>
  <w:num w:numId="49">
    <w:abstractNumId w:val="46"/>
  </w:num>
  <w:num w:numId="50">
    <w:abstractNumId w:val="26"/>
  </w:num>
  <w:num w:numId="51">
    <w:abstractNumId w:val="27"/>
  </w:num>
  <w:num w:numId="52">
    <w:abstractNumId w:val="27"/>
  </w:num>
  <w:num w:numId="53">
    <w:abstractNumId w:val="27"/>
  </w:num>
  <w:num w:numId="54">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502daa52dvxdhesstqx9s25t52tddrtdvzd&quot;&gt;SSLER_FinalReport_Refs&lt;record-ids&gt;&lt;item&gt;1&lt;/item&gt;&lt;/record-ids&gt;&lt;/item&gt;&lt;/Libraries&gt;"/>
  </w:docVars>
  <w:rsids>
    <w:rsidRoot w:val="00467193"/>
    <w:rsid w:val="00000A47"/>
    <w:rsid w:val="000015F9"/>
    <w:rsid w:val="00002A02"/>
    <w:rsid w:val="00003A47"/>
    <w:rsid w:val="00004882"/>
    <w:rsid w:val="00005746"/>
    <w:rsid w:val="00005CCA"/>
    <w:rsid w:val="00005DFA"/>
    <w:rsid w:val="000060D7"/>
    <w:rsid w:val="000068A3"/>
    <w:rsid w:val="00006E41"/>
    <w:rsid w:val="00006E80"/>
    <w:rsid w:val="00007C27"/>
    <w:rsid w:val="00010C76"/>
    <w:rsid w:val="00012264"/>
    <w:rsid w:val="000122C9"/>
    <w:rsid w:val="00012394"/>
    <w:rsid w:val="00012E9A"/>
    <w:rsid w:val="00013EB1"/>
    <w:rsid w:val="0001499F"/>
    <w:rsid w:val="00015398"/>
    <w:rsid w:val="000157B4"/>
    <w:rsid w:val="00015B7B"/>
    <w:rsid w:val="00016112"/>
    <w:rsid w:val="00016C54"/>
    <w:rsid w:val="00017750"/>
    <w:rsid w:val="00017EB6"/>
    <w:rsid w:val="0002009D"/>
    <w:rsid w:val="0002014B"/>
    <w:rsid w:val="000212A9"/>
    <w:rsid w:val="000216C4"/>
    <w:rsid w:val="00021C23"/>
    <w:rsid w:val="0002343D"/>
    <w:rsid w:val="000237BC"/>
    <w:rsid w:val="000238A6"/>
    <w:rsid w:val="00023ADB"/>
    <w:rsid w:val="00023E99"/>
    <w:rsid w:val="00024430"/>
    <w:rsid w:val="000248EC"/>
    <w:rsid w:val="000259D0"/>
    <w:rsid w:val="00025C8F"/>
    <w:rsid w:val="00026125"/>
    <w:rsid w:val="000264FD"/>
    <w:rsid w:val="00026B4C"/>
    <w:rsid w:val="0002761A"/>
    <w:rsid w:val="0002778E"/>
    <w:rsid w:val="000277F9"/>
    <w:rsid w:val="00030CED"/>
    <w:rsid w:val="000311AD"/>
    <w:rsid w:val="00032205"/>
    <w:rsid w:val="000334AB"/>
    <w:rsid w:val="0003353A"/>
    <w:rsid w:val="00034224"/>
    <w:rsid w:val="00034D77"/>
    <w:rsid w:val="00035D36"/>
    <w:rsid w:val="0003650E"/>
    <w:rsid w:val="000376AA"/>
    <w:rsid w:val="00037743"/>
    <w:rsid w:val="00040517"/>
    <w:rsid w:val="00041EEB"/>
    <w:rsid w:val="00042338"/>
    <w:rsid w:val="0004236A"/>
    <w:rsid w:val="00042D88"/>
    <w:rsid w:val="00042FC0"/>
    <w:rsid w:val="00043405"/>
    <w:rsid w:val="0004537E"/>
    <w:rsid w:val="000454AE"/>
    <w:rsid w:val="000461EF"/>
    <w:rsid w:val="000464C9"/>
    <w:rsid w:val="00046519"/>
    <w:rsid w:val="00046D67"/>
    <w:rsid w:val="00047344"/>
    <w:rsid w:val="00050EF6"/>
    <w:rsid w:val="00051444"/>
    <w:rsid w:val="000514FB"/>
    <w:rsid w:val="0005153B"/>
    <w:rsid w:val="000523D6"/>
    <w:rsid w:val="000524DD"/>
    <w:rsid w:val="000525C5"/>
    <w:rsid w:val="00052AA3"/>
    <w:rsid w:val="00052F38"/>
    <w:rsid w:val="00053238"/>
    <w:rsid w:val="00053FC8"/>
    <w:rsid w:val="000543BF"/>
    <w:rsid w:val="00054AB7"/>
    <w:rsid w:val="00054F96"/>
    <w:rsid w:val="0005526D"/>
    <w:rsid w:val="00055A26"/>
    <w:rsid w:val="000566B5"/>
    <w:rsid w:val="000571DB"/>
    <w:rsid w:val="000606C2"/>
    <w:rsid w:val="000609EA"/>
    <w:rsid w:val="00062131"/>
    <w:rsid w:val="0006239A"/>
    <w:rsid w:val="000623D0"/>
    <w:rsid w:val="00062775"/>
    <w:rsid w:val="00063315"/>
    <w:rsid w:val="00063323"/>
    <w:rsid w:val="00063695"/>
    <w:rsid w:val="0006375E"/>
    <w:rsid w:val="00063999"/>
    <w:rsid w:val="0006551A"/>
    <w:rsid w:val="00067997"/>
    <w:rsid w:val="00067D2D"/>
    <w:rsid w:val="000709D1"/>
    <w:rsid w:val="00070B81"/>
    <w:rsid w:val="000716C9"/>
    <w:rsid w:val="0007211A"/>
    <w:rsid w:val="0007230A"/>
    <w:rsid w:val="000728B0"/>
    <w:rsid w:val="00073365"/>
    <w:rsid w:val="00073A3E"/>
    <w:rsid w:val="0007495F"/>
    <w:rsid w:val="00074E6C"/>
    <w:rsid w:val="0007559B"/>
    <w:rsid w:val="00075903"/>
    <w:rsid w:val="00075A8D"/>
    <w:rsid w:val="00076CCC"/>
    <w:rsid w:val="00077AA2"/>
    <w:rsid w:val="0008034D"/>
    <w:rsid w:val="00080539"/>
    <w:rsid w:val="000807C4"/>
    <w:rsid w:val="00080DA1"/>
    <w:rsid w:val="00080DA3"/>
    <w:rsid w:val="00081070"/>
    <w:rsid w:val="000811EE"/>
    <w:rsid w:val="00081214"/>
    <w:rsid w:val="00081264"/>
    <w:rsid w:val="00081AE0"/>
    <w:rsid w:val="00081AF4"/>
    <w:rsid w:val="00081BE8"/>
    <w:rsid w:val="00082693"/>
    <w:rsid w:val="00082C6C"/>
    <w:rsid w:val="00083154"/>
    <w:rsid w:val="000839EC"/>
    <w:rsid w:val="00083C6C"/>
    <w:rsid w:val="0008465F"/>
    <w:rsid w:val="000850EF"/>
    <w:rsid w:val="0008573A"/>
    <w:rsid w:val="000859C4"/>
    <w:rsid w:val="00085CFB"/>
    <w:rsid w:val="00087817"/>
    <w:rsid w:val="00087C0E"/>
    <w:rsid w:val="0009239D"/>
    <w:rsid w:val="00092B3B"/>
    <w:rsid w:val="00093CC9"/>
    <w:rsid w:val="00093D4F"/>
    <w:rsid w:val="00094573"/>
    <w:rsid w:val="0009463C"/>
    <w:rsid w:val="00094ECE"/>
    <w:rsid w:val="00094FFE"/>
    <w:rsid w:val="000954A0"/>
    <w:rsid w:val="00095981"/>
    <w:rsid w:val="00095E6D"/>
    <w:rsid w:val="00096DDB"/>
    <w:rsid w:val="000973CA"/>
    <w:rsid w:val="00097E46"/>
    <w:rsid w:val="000A0A5E"/>
    <w:rsid w:val="000A1759"/>
    <w:rsid w:val="000A175B"/>
    <w:rsid w:val="000A29D6"/>
    <w:rsid w:val="000A3687"/>
    <w:rsid w:val="000A4755"/>
    <w:rsid w:val="000A641A"/>
    <w:rsid w:val="000A6440"/>
    <w:rsid w:val="000A6780"/>
    <w:rsid w:val="000A7B4E"/>
    <w:rsid w:val="000B012D"/>
    <w:rsid w:val="000B141B"/>
    <w:rsid w:val="000B1683"/>
    <w:rsid w:val="000B2247"/>
    <w:rsid w:val="000B25F7"/>
    <w:rsid w:val="000B26A4"/>
    <w:rsid w:val="000B2B4E"/>
    <w:rsid w:val="000B333E"/>
    <w:rsid w:val="000B368C"/>
    <w:rsid w:val="000B3A47"/>
    <w:rsid w:val="000B3F69"/>
    <w:rsid w:val="000B4405"/>
    <w:rsid w:val="000B44EA"/>
    <w:rsid w:val="000B7D3F"/>
    <w:rsid w:val="000C0642"/>
    <w:rsid w:val="000C189E"/>
    <w:rsid w:val="000C1E9E"/>
    <w:rsid w:val="000C297F"/>
    <w:rsid w:val="000C2FB9"/>
    <w:rsid w:val="000C35F1"/>
    <w:rsid w:val="000C3786"/>
    <w:rsid w:val="000C3821"/>
    <w:rsid w:val="000C3BE5"/>
    <w:rsid w:val="000C4096"/>
    <w:rsid w:val="000C495C"/>
    <w:rsid w:val="000C4A2C"/>
    <w:rsid w:val="000C5D87"/>
    <w:rsid w:val="000C61E7"/>
    <w:rsid w:val="000C63C7"/>
    <w:rsid w:val="000C6C1F"/>
    <w:rsid w:val="000C75B2"/>
    <w:rsid w:val="000C789C"/>
    <w:rsid w:val="000C78B6"/>
    <w:rsid w:val="000C79B3"/>
    <w:rsid w:val="000D0188"/>
    <w:rsid w:val="000D07C0"/>
    <w:rsid w:val="000D0D93"/>
    <w:rsid w:val="000D0E55"/>
    <w:rsid w:val="000D1011"/>
    <w:rsid w:val="000D12DE"/>
    <w:rsid w:val="000D1538"/>
    <w:rsid w:val="000D1615"/>
    <w:rsid w:val="000D1897"/>
    <w:rsid w:val="000D20C6"/>
    <w:rsid w:val="000D20FD"/>
    <w:rsid w:val="000D2141"/>
    <w:rsid w:val="000D2310"/>
    <w:rsid w:val="000D2531"/>
    <w:rsid w:val="000D303D"/>
    <w:rsid w:val="000D30DF"/>
    <w:rsid w:val="000D3302"/>
    <w:rsid w:val="000D3D74"/>
    <w:rsid w:val="000D5163"/>
    <w:rsid w:val="000D5CF3"/>
    <w:rsid w:val="000D6CA0"/>
    <w:rsid w:val="000D6D61"/>
    <w:rsid w:val="000D7DE5"/>
    <w:rsid w:val="000D7FA7"/>
    <w:rsid w:val="000E0CF0"/>
    <w:rsid w:val="000E2252"/>
    <w:rsid w:val="000E3B31"/>
    <w:rsid w:val="000E407F"/>
    <w:rsid w:val="000E4362"/>
    <w:rsid w:val="000E4935"/>
    <w:rsid w:val="000E4E76"/>
    <w:rsid w:val="000E5DA4"/>
    <w:rsid w:val="000E60BC"/>
    <w:rsid w:val="000E727D"/>
    <w:rsid w:val="000E74BE"/>
    <w:rsid w:val="000E7D97"/>
    <w:rsid w:val="000E7F15"/>
    <w:rsid w:val="000F0A55"/>
    <w:rsid w:val="000F0B61"/>
    <w:rsid w:val="000F0FBC"/>
    <w:rsid w:val="000F25D6"/>
    <w:rsid w:val="000F26A5"/>
    <w:rsid w:val="000F2706"/>
    <w:rsid w:val="000F2E37"/>
    <w:rsid w:val="000F3188"/>
    <w:rsid w:val="000F3303"/>
    <w:rsid w:val="000F33DE"/>
    <w:rsid w:val="000F3CA1"/>
    <w:rsid w:val="000F3E25"/>
    <w:rsid w:val="000F3F78"/>
    <w:rsid w:val="000F41CE"/>
    <w:rsid w:val="000F4592"/>
    <w:rsid w:val="000F48DC"/>
    <w:rsid w:val="000F49B3"/>
    <w:rsid w:val="000F4B24"/>
    <w:rsid w:val="000F54E5"/>
    <w:rsid w:val="000F5A8B"/>
    <w:rsid w:val="000F6EFB"/>
    <w:rsid w:val="000F7396"/>
    <w:rsid w:val="000F74BC"/>
    <w:rsid w:val="000F7DC2"/>
    <w:rsid w:val="000F7F9F"/>
    <w:rsid w:val="00100023"/>
    <w:rsid w:val="001009AC"/>
    <w:rsid w:val="00100E7A"/>
    <w:rsid w:val="001012F1"/>
    <w:rsid w:val="00101322"/>
    <w:rsid w:val="001014CC"/>
    <w:rsid w:val="001018DA"/>
    <w:rsid w:val="00101B89"/>
    <w:rsid w:val="00101D25"/>
    <w:rsid w:val="00102692"/>
    <w:rsid w:val="0010342E"/>
    <w:rsid w:val="001040A2"/>
    <w:rsid w:val="00104315"/>
    <w:rsid w:val="001044BB"/>
    <w:rsid w:val="0010458B"/>
    <w:rsid w:val="00104737"/>
    <w:rsid w:val="00104B3B"/>
    <w:rsid w:val="00105272"/>
    <w:rsid w:val="001055A6"/>
    <w:rsid w:val="00106446"/>
    <w:rsid w:val="00106E3F"/>
    <w:rsid w:val="00107191"/>
    <w:rsid w:val="00110478"/>
    <w:rsid w:val="00111384"/>
    <w:rsid w:val="00111492"/>
    <w:rsid w:val="001117E2"/>
    <w:rsid w:val="00111872"/>
    <w:rsid w:val="00111F59"/>
    <w:rsid w:val="001127D0"/>
    <w:rsid w:val="00112BE2"/>
    <w:rsid w:val="00113638"/>
    <w:rsid w:val="00113E23"/>
    <w:rsid w:val="001165FA"/>
    <w:rsid w:val="00116C8E"/>
    <w:rsid w:val="001175B2"/>
    <w:rsid w:val="0012031D"/>
    <w:rsid w:val="0012059A"/>
    <w:rsid w:val="00120CE8"/>
    <w:rsid w:val="00120F61"/>
    <w:rsid w:val="00122042"/>
    <w:rsid w:val="00122282"/>
    <w:rsid w:val="00123459"/>
    <w:rsid w:val="00123A29"/>
    <w:rsid w:val="00124A50"/>
    <w:rsid w:val="00124A6F"/>
    <w:rsid w:val="00124D3F"/>
    <w:rsid w:val="00124F26"/>
    <w:rsid w:val="001251DA"/>
    <w:rsid w:val="0012545E"/>
    <w:rsid w:val="00125651"/>
    <w:rsid w:val="00125ABF"/>
    <w:rsid w:val="0012675D"/>
    <w:rsid w:val="00126BD9"/>
    <w:rsid w:val="00127AC7"/>
    <w:rsid w:val="00127E4D"/>
    <w:rsid w:val="001302C0"/>
    <w:rsid w:val="0013057E"/>
    <w:rsid w:val="00130B54"/>
    <w:rsid w:val="00131361"/>
    <w:rsid w:val="00131C02"/>
    <w:rsid w:val="00131DC1"/>
    <w:rsid w:val="00132C1A"/>
    <w:rsid w:val="00133707"/>
    <w:rsid w:val="00133F57"/>
    <w:rsid w:val="0013405E"/>
    <w:rsid w:val="001349D3"/>
    <w:rsid w:val="00134BBC"/>
    <w:rsid w:val="0013540A"/>
    <w:rsid w:val="00136B0C"/>
    <w:rsid w:val="00136BCC"/>
    <w:rsid w:val="00137532"/>
    <w:rsid w:val="001375C6"/>
    <w:rsid w:val="001376BB"/>
    <w:rsid w:val="00137820"/>
    <w:rsid w:val="00140202"/>
    <w:rsid w:val="00140326"/>
    <w:rsid w:val="001407F2"/>
    <w:rsid w:val="00141669"/>
    <w:rsid w:val="00142012"/>
    <w:rsid w:val="00142281"/>
    <w:rsid w:val="00142844"/>
    <w:rsid w:val="001428BF"/>
    <w:rsid w:val="00142BB1"/>
    <w:rsid w:val="00143C8B"/>
    <w:rsid w:val="00143D8C"/>
    <w:rsid w:val="00144094"/>
    <w:rsid w:val="00144179"/>
    <w:rsid w:val="00144972"/>
    <w:rsid w:val="00145D49"/>
    <w:rsid w:val="00146C45"/>
    <w:rsid w:val="00146E51"/>
    <w:rsid w:val="001501D2"/>
    <w:rsid w:val="0015109B"/>
    <w:rsid w:val="00151606"/>
    <w:rsid w:val="0015170F"/>
    <w:rsid w:val="00152752"/>
    <w:rsid w:val="001531E6"/>
    <w:rsid w:val="0015468F"/>
    <w:rsid w:val="00154FBF"/>
    <w:rsid w:val="00155120"/>
    <w:rsid w:val="00155B4A"/>
    <w:rsid w:val="00155ED4"/>
    <w:rsid w:val="00157AE6"/>
    <w:rsid w:val="00160078"/>
    <w:rsid w:val="001608D0"/>
    <w:rsid w:val="00161267"/>
    <w:rsid w:val="001612A9"/>
    <w:rsid w:val="00161904"/>
    <w:rsid w:val="001619D9"/>
    <w:rsid w:val="00164BD3"/>
    <w:rsid w:val="00164D87"/>
    <w:rsid w:val="00165B53"/>
    <w:rsid w:val="00166444"/>
    <w:rsid w:val="00166F11"/>
    <w:rsid w:val="0016736B"/>
    <w:rsid w:val="00167767"/>
    <w:rsid w:val="001678A7"/>
    <w:rsid w:val="00167BB9"/>
    <w:rsid w:val="00167D27"/>
    <w:rsid w:val="00171E48"/>
    <w:rsid w:val="00171F7A"/>
    <w:rsid w:val="00172B25"/>
    <w:rsid w:val="00173378"/>
    <w:rsid w:val="00173672"/>
    <w:rsid w:val="001738B6"/>
    <w:rsid w:val="00173EF3"/>
    <w:rsid w:val="00174989"/>
    <w:rsid w:val="00174C67"/>
    <w:rsid w:val="0017527D"/>
    <w:rsid w:val="001759D4"/>
    <w:rsid w:val="00175B8C"/>
    <w:rsid w:val="00175CBD"/>
    <w:rsid w:val="00176523"/>
    <w:rsid w:val="00176961"/>
    <w:rsid w:val="001769C6"/>
    <w:rsid w:val="001771AE"/>
    <w:rsid w:val="00177213"/>
    <w:rsid w:val="0017740A"/>
    <w:rsid w:val="00177B59"/>
    <w:rsid w:val="001800C5"/>
    <w:rsid w:val="001801B3"/>
    <w:rsid w:val="00180BE9"/>
    <w:rsid w:val="00181E73"/>
    <w:rsid w:val="001825CD"/>
    <w:rsid w:val="00182D61"/>
    <w:rsid w:val="00183975"/>
    <w:rsid w:val="00184013"/>
    <w:rsid w:val="001844A5"/>
    <w:rsid w:val="00184CAE"/>
    <w:rsid w:val="00185219"/>
    <w:rsid w:val="0018549F"/>
    <w:rsid w:val="0018696D"/>
    <w:rsid w:val="00186A4F"/>
    <w:rsid w:val="00187A13"/>
    <w:rsid w:val="00187CB9"/>
    <w:rsid w:val="001908ED"/>
    <w:rsid w:val="00190A69"/>
    <w:rsid w:val="0019118C"/>
    <w:rsid w:val="00191649"/>
    <w:rsid w:val="00191E5F"/>
    <w:rsid w:val="00191E72"/>
    <w:rsid w:val="00191FD7"/>
    <w:rsid w:val="00192021"/>
    <w:rsid w:val="001927BE"/>
    <w:rsid w:val="00192C55"/>
    <w:rsid w:val="00193B20"/>
    <w:rsid w:val="00193D32"/>
    <w:rsid w:val="00193F62"/>
    <w:rsid w:val="0019437B"/>
    <w:rsid w:val="00194E69"/>
    <w:rsid w:val="00195996"/>
    <w:rsid w:val="00195C26"/>
    <w:rsid w:val="00195E8F"/>
    <w:rsid w:val="0019640F"/>
    <w:rsid w:val="00196451"/>
    <w:rsid w:val="0019684B"/>
    <w:rsid w:val="001968DF"/>
    <w:rsid w:val="00196AA7"/>
    <w:rsid w:val="00196E3B"/>
    <w:rsid w:val="00197524"/>
    <w:rsid w:val="00197E02"/>
    <w:rsid w:val="001A03D4"/>
    <w:rsid w:val="001A16EF"/>
    <w:rsid w:val="001A36ED"/>
    <w:rsid w:val="001A3C4A"/>
    <w:rsid w:val="001A3D61"/>
    <w:rsid w:val="001A4021"/>
    <w:rsid w:val="001A49F6"/>
    <w:rsid w:val="001A60B4"/>
    <w:rsid w:val="001A6401"/>
    <w:rsid w:val="001A7664"/>
    <w:rsid w:val="001B0633"/>
    <w:rsid w:val="001B0FA6"/>
    <w:rsid w:val="001B15BA"/>
    <w:rsid w:val="001B21C1"/>
    <w:rsid w:val="001B2C4A"/>
    <w:rsid w:val="001B3434"/>
    <w:rsid w:val="001B3A7D"/>
    <w:rsid w:val="001B3FB4"/>
    <w:rsid w:val="001B48EA"/>
    <w:rsid w:val="001B4DC6"/>
    <w:rsid w:val="001B59E5"/>
    <w:rsid w:val="001B6288"/>
    <w:rsid w:val="001B665F"/>
    <w:rsid w:val="001B6EE1"/>
    <w:rsid w:val="001B706E"/>
    <w:rsid w:val="001B7E94"/>
    <w:rsid w:val="001B7FBC"/>
    <w:rsid w:val="001C048B"/>
    <w:rsid w:val="001C099D"/>
    <w:rsid w:val="001C09E6"/>
    <w:rsid w:val="001C137A"/>
    <w:rsid w:val="001C256D"/>
    <w:rsid w:val="001C27B8"/>
    <w:rsid w:val="001C3700"/>
    <w:rsid w:val="001C3E99"/>
    <w:rsid w:val="001C4264"/>
    <w:rsid w:val="001C5A04"/>
    <w:rsid w:val="001C5DA2"/>
    <w:rsid w:val="001C60C2"/>
    <w:rsid w:val="001C6E20"/>
    <w:rsid w:val="001C7F7D"/>
    <w:rsid w:val="001D0D63"/>
    <w:rsid w:val="001D124F"/>
    <w:rsid w:val="001D17DC"/>
    <w:rsid w:val="001D2694"/>
    <w:rsid w:val="001D3413"/>
    <w:rsid w:val="001D366C"/>
    <w:rsid w:val="001D3BE4"/>
    <w:rsid w:val="001D3D39"/>
    <w:rsid w:val="001D4095"/>
    <w:rsid w:val="001D49CA"/>
    <w:rsid w:val="001D5195"/>
    <w:rsid w:val="001D5D18"/>
    <w:rsid w:val="001D5D8F"/>
    <w:rsid w:val="001D6C5D"/>
    <w:rsid w:val="001D6DEA"/>
    <w:rsid w:val="001D71F5"/>
    <w:rsid w:val="001E0F74"/>
    <w:rsid w:val="001E1C84"/>
    <w:rsid w:val="001E1C98"/>
    <w:rsid w:val="001E1E2A"/>
    <w:rsid w:val="001E2378"/>
    <w:rsid w:val="001E349C"/>
    <w:rsid w:val="001E44FE"/>
    <w:rsid w:val="001E6445"/>
    <w:rsid w:val="001F04C5"/>
    <w:rsid w:val="001F0CF1"/>
    <w:rsid w:val="001F1383"/>
    <w:rsid w:val="001F1557"/>
    <w:rsid w:val="001F19E1"/>
    <w:rsid w:val="001F24B8"/>
    <w:rsid w:val="001F29E5"/>
    <w:rsid w:val="001F2EEF"/>
    <w:rsid w:val="001F318C"/>
    <w:rsid w:val="001F3633"/>
    <w:rsid w:val="001F363D"/>
    <w:rsid w:val="001F4873"/>
    <w:rsid w:val="001F4C56"/>
    <w:rsid w:val="001F53D5"/>
    <w:rsid w:val="001F763B"/>
    <w:rsid w:val="001F7FE4"/>
    <w:rsid w:val="002006F8"/>
    <w:rsid w:val="002015AF"/>
    <w:rsid w:val="002021CA"/>
    <w:rsid w:val="002027EF"/>
    <w:rsid w:val="00202C33"/>
    <w:rsid w:val="00203233"/>
    <w:rsid w:val="00203278"/>
    <w:rsid w:val="00203593"/>
    <w:rsid w:val="002041E5"/>
    <w:rsid w:val="00204362"/>
    <w:rsid w:val="00205285"/>
    <w:rsid w:val="00205295"/>
    <w:rsid w:val="00205A37"/>
    <w:rsid w:val="00206674"/>
    <w:rsid w:val="00207D78"/>
    <w:rsid w:val="002107D0"/>
    <w:rsid w:val="002107ED"/>
    <w:rsid w:val="00210AD6"/>
    <w:rsid w:val="00210DDC"/>
    <w:rsid w:val="00211A1A"/>
    <w:rsid w:val="00212095"/>
    <w:rsid w:val="00212226"/>
    <w:rsid w:val="002127C5"/>
    <w:rsid w:val="002130C8"/>
    <w:rsid w:val="00213412"/>
    <w:rsid w:val="00213584"/>
    <w:rsid w:val="00213DDA"/>
    <w:rsid w:val="002156E9"/>
    <w:rsid w:val="00215A11"/>
    <w:rsid w:val="00215A92"/>
    <w:rsid w:val="0021663C"/>
    <w:rsid w:val="0021669C"/>
    <w:rsid w:val="0021760C"/>
    <w:rsid w:val="00217711"/>
    <w:rsid w:val="00217F49"/>
    <w:rsid w:val="00217F60"/>
    <w:rsid w:val="00220EED"/>
    <w:rsid w:val="00221510"/>
    <w:rsid w:val="00221FF7"/>
    <w:rsid w:val="00223713"/>
    <w:rsid w:val="00223E8D"/>
    <w:rsid w:val="002248F4"/>
    <w:rsid w:val="00225A56"/>
    <w:rsid w:val="00227443"/>
    <w:rsid w:val="00227866"/>
    <w:rsid w:val="00231596"/>
    <w:rsid w:val="00231C63"/>
    <w:rsid w:val="00232D1A"/>
    <w:rsid w:val="00233118"/>
    <w:rsid w:val="0023435C"/>
    <w:rsid w:val="002359FD"/>
    <w:rsid w:val="00236DC5"/>
    <w:rsid w:val="00237699"/>
    <w:rsid w:val="00240114"/>
    <w:rsid w:val="002403C2"/>
    <w:rsid w:val="0024059F"/>
    <w:rsid w:val="00240606"/>
    <w:rsid w:val="00240ADC"/>
    <w:rsid w:val="00240FAF"/>
    <w:rsid w:val="00241630"/>
    <w:rsid w:val="00241A4D"/>
    <w:rsid w:val="00241BDD"/>
    <w:rsid w:val="0024227A"/>
    <w:rsid w:val="002424AD"/>
    <w:rsid w:val="00242E28"/>
    <w:rsid w:val="00243141"/>
    <w:rsid w:val="0024356D"/>
    <w:rsid w:val="0024367D"/>
    <w:rsid w:val="00243CCE"/>
    <w:rsid w:val="00243EF1"/>
    <w:rsid w:val="00244AEE"/>
    <w:rsid w:val="00244EA7"/>
    <w:rsid w:val="00247845"/>
    <w:rsid w:val="00250F70"/>
    <w:rsid w:val="002512CD"/>
    <w:rsid w:val="002512D4"/>
    <w:rsid w:val="00251F39"/>
    <w:rsid w:val="00252C82"/>
    <w:rsid w:val="00253099"/>
    <w:rsid w:val="00253521"/>
    <w:rsid w:val="00253721"/>
    <w:rsid w:val="0025473F"/>
    <w:rsid w:val="00254926"/>
    <w:rsid w:val="00254F5A"/>
    <w:rsid w:val="00256222"/>
    <w:rsid w:val="00256ADB"/>
    <w:rsid w:val="00256F07"/>
    <w:rsid w:val="00257157"/>
    <w:rsid w:val="00260C88"/>
    <w:rsid w:val="0026218B"/>
    <w:rsid w:val="002627D7"/>
    <w:rsid w:val="00263F2A"/>
    <w:rsid w:val="0026506D"/>
    <w:rsid w:val="0026531D"/>
    <w:rsid w:val="002672C8"/>
    <w:rsid w:val="002678CC"/>
    <w:rsid w:val="002700C8"/>
    <w:rsid w:val="002703F1"/>
    <w:rsid w:val="00270A26"/>
    <w:rsid w:val="0027137A"/>
    <w:rsid w:val="00271526"/>
    <w:rsid w:val="00272133"/>
    <w:rsid w:val="002727FD"/>
    <w:rsid w:val="00272C3C"/>
    <w:rsid w:val="002732BF"/>
    <w:rsid w:val="0027360D"/>
    <w:rsid w:val="00276AE7"/>
    <w:rsid w:val="00276D36"/>
    <w:rsid w:val="00277E0B"/>
    <w:rsid w:val="00277EF8"/>
    <w:rsid w:val="00277FE1"/>
    <w:rsid w:val="00280294"/>
    <w:rsid w:val="00280A25"/>
    <w:rsid w:val="0028109B"/>
    <w:rsid w:val="00282704"/>
    <w:rsid w:val="002828F1"/>
    <w:rsid w:val="00283DBE"/>
    <w:rsid w:val="00284AA9"/>
    <w:rsid w:val="00284B34"/>
    <w:rsid w:val="00284DC0"/>
    <w:rsid w:val="00285055"/>
    <w:rsid w:val="00285086"/>
    <w:rsid w:val="00285F1E"/>
    <w:rsid w:val="00287830"/>
    <w:rsid w:val="002879A1"/>
    <w:rsid w:val="002879C0"/>
    <w:rsid w:val="00290B52"/>
    <w:rsid w:val="00292889"/>
    <w:rsid w:val="00293287"/>
    <w:rsid w:val="00293A87"/>
    <w:rsid w:val="00293BB3"/>
    <w:rsid w:val="00293E1A"/>
    <w:rsid w:val="00294460"/>
    <w:rsid w:val="002944A8"/>
    <w:rsid w:val="00294A82"/>
    <w:rsid w:val="00294B2A"/>
    <w:rsid w:val="002956CB"/>
    <w:rsid w:val="0029604A"/>
    <w:rsid w:val="0029697E"/>
    <w:rsid w:val="00297023"/>
    <w:rsid w:val="0029753D"/>
    <w:rsid w:val="00297BB7"/>
    <w:rsid w:val="002A0F38"/>
    <w:rsid w:val="002A165D"/>
    <w:rsid w:val="002A1688"/>
    <w:rsid w:val="002A1764"/>
    <w:rsid w:val="002A1F14"/>
    <w:rsid w:val="002A280E"/>
    <w:rsid w:val="002A3A7F"/>
    <w:rsid w:val="002A3B70"/>
    <w:rsid w:val="002A41AD"/>
    <w:rsid w:val="002A52A7"/>
    <w:rsid w:val="002A6B68"/>
    <w:rsid w:val="002A6ED2"/>
    <w:rsid w:val="002A7B88"/>
    <w:rsid w:val="002B015C"/>
    <w:rsid w:val="002B0361"/>
    <w:rsid w:val="002B0E12"/>
    <w:rsid w:val="002B1473"/>
    <w:rsid w:val="002B1857"/>
    <w:rsid w:val="002B23ED"/>
    <w:rsid w:val="002B3978"/>
    <w:rsid w:val="002B424F"/>
    <w:rsid w:val="002B449F"/>
    <w:rsid w:val="002B4B7C"/>
    <w:rsid w:val="002B5591"/>
    <w:rsid w:val="002B5B0C"/>
    <w:rsid w:val="002B67AF"/>
    <w:rsid w:val="002B6BE7"/>
    <w:rsid w:val="002B78B3"/>
    <w:rsid w:val="002B7F8A"/>
    <w:rsid w:val="002C0667"/>
    <w:rsid w:val="002C11CD"/>
    <w:rsid w:val="002C159B"/>
    <w:rsid w:val="002C17B7"/>
    <w:rsid w:val="002C18BD"/>
    <w:rsid w:val="002C2389"/>
    <w:rsid w:val="002C26FE"/>
    <w:rsid w:val="002C27EF"/>
    <w:rsid w:val="002C2AB1"/>
    <w:rsid w:val="002C2EDF"/>
    <w:rsid w:val="002C3134"/>
    <w:rsid w:val="002C3E85"/>
    <w:rsid w:val="002C4352"/>
    <w:rsid w:val="002C5032"/>
    <w:rsid w:val="002C5202"/>
    <w:rsid w:val="002C5DF0"/>
    <w:rsid w:val="002C66DA"/>
    <w:rsid w:val="002C72CC"/>
    <w:rsid w:val="002C7976"/>
    <w:rsid w:val="002D0A17"/>
    <w:rsid w:val="002D0FA0"/>
    <w:rsid w:val="002D1826"/>
    <w:rsid w:val="002D19F8"/>
    <w:rsid w:val="002D251D"/>
    <w:rsid w:val="002D28CA"/>
    <w:rsid w:val="002D2A36"/>
    <w:rsid w:val="002D2C05"/>
    <w:rsid w:val="002D316C"/>
    <w:rsid w:val="002D3401"/>
    <w:rsid w:val="002D378C"/>
    <w:rsid w:val="002D3B73"/>
    <w:rsid w:val="002D3E6D"/>
    <w:rsid w:val="002D45B6"/>
    <w:rsid w:val="002D4A8A"/>
    <w:rsid w:val="002D4E43"/>
    <w:rsid w:val="002D535C"/>
    <w:rsid w:val="002D53A7"/>
    <w:rsid w:val="002D607A"/>
    <w:rsid w:val="002D61B9"/>
    <w:rsid w:val="002D654F"/>
    <w:rsid w:val="002D688A"/>
    <w:rsid w:val="002D6B22"/>
    <w:rsid w:val="002D6B35"/>
    <w:rsid w:val="002D728E"/>
    <w:rsid w:val="002D7752"/>
    <w:rsid w:val="002D79E6"/>
    <w:rsid w:val="002E1789"/>
    <w:rsid w:val="002E1C52"/>
    <w:rsid w:val="002E23AB"/>
    <w:rsid w:val="002E29D0"/>
    <w:rsid w:val="002E4171"/>
    <w:rsid w:val="002E4446"/>
    <w:rsid w:val="002E4448"/>
    <w:rsid w:val="002E479D"/>
    <w:rsid w:val="002E499C"/>
    <w:rsid w:val="002E58EC"/>
    <w:rsid w:val="002E591D"/>
    <w:rsid w:val="002E744E"/>
    <w:rsid w:val="002E7779"/>
    <w:rsid w:val="002F005A"/>
    <w:rsid w:val="002F0716"/>
    <w:rsid w:val="002F0B19"/>
    <w:rsid w:val="002F1460"/>
    <w:rsid w:val="002F1F7E"/>
    <w:rsid w:val="002F2548"/>
    <w:rsid w:val="002F2782"/>
    <w:rsid w:val="002F2DD8"/>
    <w:rsid w:val="002F2FA1"/>
    <w:rsid w:val="002F324B"/>
    <w:rsid w:val="002F32C3"/>
    <w:rsid w:val="002F3B96"/>
    <w:rsid w:val="002F448F"/>
    <w:rsid w:val="002F4597"/>
    <w:rsid w:val="002F64E9"/>
    <w:rsid w:val="002F6F82"/>
    <w:rsid w:val="002F7142"/>
    <w:rsid w:val="002F754B"/>
    <w:rsid w:val="002F776E"/>
    <w:rsid w:val="0030054F"/>
    <w:rsid w:val="003005F7"/>
    <w:rsid w:val="00300ACD"/>
    <w:rsid w:val="00300C2D"/>
    <w:rsid w:val="00302556"/>
    <w:rsid w:val="003027A7"/>
    <w:rsid w:val="003038AE"/>
    <w:rsid w:val="00303FA4"/>
    <w:rsid w:val="003046A9"/>
    <w:rsid w:val="00304DE3"/>
    <w:rsid w:val="003054B1"/>
    <w:rsid w:val="00306082"/>
    <w:rsid w:val="00306603"/>
    <w:rsid w:val="00306B0F"/>
    <w:rsid w:val="0030780C"/>
    <w:rsid w:val="0031008A"/>
    <w:rsid w:val="00310399"/>
    <w:rsid w:val="00311407"/>
    <w:rsid w:val="003121CB"/>
    <w:rsid w:val="003139D3"/>
    <w:rsid w:val="003153DE"/>
    <w:rsid w:val="003154C4"/>
    <w:rsid w:val="00315C20"/>
    <w:rsid w:val="0031606A"/>
    <w:rsid w:val="00316ACA"/>
    <w:rsid w:val="00316EA2"/>
    <w:rsid w:val="00317712"/>
    <w:rsid w:val="00320056"/>
    <w:rsid w:val="003204F3"/>
    <w:rsid w:val="00320691"/>
    <w:rsid w:val="00320D7C"/>
    <w:rsid w:val="003213B3"/>
    <w:rsid w:val="003217D1"/>
    <w:rsid w:val="00323040"/>
    <w:rsid w:val="00323219"/>
    <w:rsid w:val="00323B31"/>
    <w:rsid w:val="00324798"/>
    <w:rsid w:val="00326960"/>
    <w:rsid w:val="003277D3"/>
    <w:rsid w:val="00327E42"/>
    <w:rsid w:val="00330631"/>
    <w:rsid w:val="00330C12"/>
    <w:rsid w:val="0033139A"/>
    <w:rsid w:val="003314A0"/>
    <w:rsid w:val="003319AF"/>
    <w:rsid w:val="00332D2D"/>
    <w:rsid w:val="00332F04"/>
    <w:rsid w:val="0033579D"/>
    <w:rsid w:val="00335955"/>
    <w:rsid w:val="0033670B"/>
    <w:rsid w:val="0033696F"/>
    <w:rsid w:val="00336FFA"/>
    <w:rsid w:val="003404FB"/>
    <w:rsid w:val="003409A7"/>
    <w:rsid w:val="00341535"/>
    <w:rsid w:val="003419C1"/>
    <w:rsid w:val="00341BD2"/>
    <w:rsid w:val="00341D1F"/>
    <w:rsid w:val="00341D79"/>
    <w:rsid w:val="00341E57"/>
    <w:rsid w:val="00341EE1"/>
    <w:rsid w:val="00342ECE"/>
    <w:rsid w:val="0034381D"/>
    <w:rsid w:val="00344311"/>
    <w:rsid w:val="003447CF"/>
    <w:rsid w:val="00344AA0"/>
    <w:rsid w:val="00344D82"/>
    <w:rsid w:val="003450C6"/>
    <w:rsid w:val="00345143"/>
    <w:rsid w:val="00345433"/>
    <w:rsid w:val="003459B5"/>
    <w:rsid w:val="00345BD6"/>
    <w:rsid w:val="0034734F"/>
    <w:rsid w:val="0035092D"/>
    <w:rsid w:val="00350CCD"/>
    <w:rsid w:val="0035105A"/>
    <w:rsid w:val="0035114D"/>
    <w:rsid w:val="00351650"/>
    <w:rsid w:val="0035368A"/>
    <w:rsid w:val="00353BF6"/>
    <w:rsid w:val="00353C4B"/>
    <w:rsid w:val="00354669"/>
    <w:rsid w:val="00354680"/>
    <w:rsid w:val="00354EB8"/>
    <w:rsid w:val="003552C8"/>
    <w:rsid w:val="00355642"/>
    <w:rsid w:val="00355A4D"/>
    <w:rsid w:val="0035615B"/>
    <w:rsid w:val="00356CA2"/>
    <w:rsid w:val="00357409"/>
    <w:rsid w:val="003574B7"/>
    <w:rsid w:val="003579ED"/>
    <w:rsid w:val="00357BCC"/>
    <w:rsid w:val="003611C9"/>
    <w:rsid w:val="003611F3"/>
    <w:rsid w:val="003620C9"/>
    <w:rsid w:val="00362260"/>
    <w:rsid w:val="00362396"/>
    <w:rsid w:val="00362411"/>
    <w:rsid w:val="00364BE4"/>
    <w:rsid w:val="00364DC6"/>
    <w:rsid w:val="003654BB"/>
    <w:rsid w:val="003654DD"/>
    <w:rsid w:val="00365BA4"/>
    <w:rsid w:val="00365C71"/>
    <w:rsid w:val="00366156"/>
    <w:rsid w:val="00366615"/>
    <w:rsid w:val="0036675E"/>
    <w:rsid w:val="003709E4"/>
    <w:rsid w:val="00370C01"/>
    <w:rsid w:val="003714F9"/>
    <w:rsid w:val="00371655"/>
    <w:rsid w:val="00371708"/>
    <w:rsid w:val="00372951"/>
    <w:rsid w:val="00372B5E"/>
    <w:rsid w:val="003742E0"/>
    <w:rsid w:val="003742EA"/>
    <w:rsid w:val="00374A27"/>
    <w:rsid w:val="003750D1"/>
    <w:rsid w:val="00375312"/>
    <w:rsid w:val="00375AD0"/>
    <w:rsid w:val="003762DD"/>
    <w:rsid w:val="00376B43"/>
    <w:rsid w:val="00376BA9"/>
    <w:rsid w:val="00377A44"/>
    <w:rsid w:val="00377BB7"/>
    <w:rsid w:val="00380806"/>
    <w:rsid w:val="00380CCE"/>
    <w:rsid w:val="00380D31"/>
    <w:rsid w:val="00381FC2"/>
    <w:rsid w:val="00382018"/>
    <w:rsid w:val="00384101"/>
    <w:rsid w:val="00384B2C"/>
    <w:rsid w:val="00384C97"/>
    <w:rsid w:val="0038544E"/>
    <w:rsid w:val="0038599E"/>
    <w:rsid w:val="00385AD1"/>
    <w:rsid w:val="00385FF4"/>
    <w:rsid w:val="00386C09"/>
    <w:rsid w:val="0038714B"/>
    <w:rsid w:val="00387707"/>
    <w:rsid w:val="00391C1D"/>
    <w:rsid w:val="003925B3"/>
    <w:rsid w:val="00393181"/>
    <w:rsid w:val="003932E0"/>
    <w:rsid w:val="00393955"/>
    <w:rsid w:val="00393EF2"/>
    <w:rsid w:val="0039431C"/>
    <w:rsid w:val="003944E4"/>
    <w:rsid w:val="00394CDE"/>
    <w:rsid w:val="00395DAC"/>
    <w:rsid w:val="00396878"/>
    <w:rsid w:val="00396FD3"/>
    <w:rsid w:val="00397DF3"/>
    <w:rsid w:val="00397E31"/>
    <w:rsid w:val="003A0063"/>
    <w:rsid w:val="003A0651"/>
    <w:rsid w:val="003A080E"/>
    <w:rsid w:val="003A1B1B"/>
    <w:rsid w:val="003A1B56"/>
    <w:rsid w:val="003A2101"/>
    <w:rsid w:val="003A27C7"/>
    <w:rsid w:val="003A3246"/>
    <w:rsid w:val="003A4644"/>
    <w:rsid w:val="003A4A0F"/>
    <w:rsid w:val="003A4A7B"/>
    <w:rsid w:val="003A5046"/>
    <w:rsid w:val="003A51C5"/>
    <w:rsid w:val="003A52B9"/>
    <w:rsid w:val="003A573A"/>
    <w:rsid w:val="003A616F"/>
    <w:rsid w:val="003A6AB1"/>
    <w:rsid w:val="003A7573"/>
    <w:rsid w:val="003B0663"/>
    <w:rsid w:val="003B0AE8"/>
    <w:rsid w:val="003B0B71"/>
    <w:rsid w:val="003B1C29"/>
    <w:rsid w:val="003B1F5C"/>
    <w:rsid w:val="003B1FCA"/>
    <w:rsid w:val="003B27C2"/>
    <w:rsid w:val="003B2CC5"/>
    <w:rsid w:val="003B323E"/>
    <w:rsid w:val="003B353D"/>
    <w:rsid w:val="003B3A0D"/>
    <w:rsid w:val="003B4410"/>
    <w:rsid w:val="003B4B0D"/>
    <w:rsid w:val="003B5A94"/>
    <w:rsid w:val="003B5E5B"/>
    <w:rsid w:val="003C0BFE"/>
    <w:rsid w:val="003C0CFC"/>
    <w:rsid w:val="003C1824"/>
    <w:rsid w:val="003C19C2"/>
    <w:rsid w:val="003C2236"/>
    <w:rsid w:val="003C225A"/>
    <w:rsid w:val="003C24B6"/>
    <w:rsid w:val="003C2A19"/>
    <w:rsid w:val="003C33AF"/>
    <w:rsid w:val="003C3A53"/>
    <w:rsid w:val="003C41A7"/>
    <w:rsid w:val="003C4506"/>
    <w:rsid w:val="003C481C"/>
    <w:rsid w:val="003C4B7F"/>
    <w:rsid w:val="003C4C77"/>
    <w:rsid w:val="003C63CA"/>
    <w:rsid w:val="003C64CD"/>
    <w:rsid w:val="003C67D9"/>
    <w:rsid w:val="003C716B"/>
    <w:rsid w:val="003C7932"/>
    <w:rsid w:val="003C7C7C"/>
    <w:rsid w:val="003C7EC0"/>
    <w:rsid w:val="003C7FAA"/>
    <w:rsid w:val="003D0489"/>
    <w:rsid w:val="003D0B66"/>
    <w:rsid w:val="003D0CF0"/>
    <w:rsid w:val="003D0E48"/>
    <w:rsid w:val="003D1752"/>
    <w:rsid w:val="003D1D21"/>
    <w:rsid w:val="003D1D74"/>
    <w:rsid w:val="003D2171"/>
    <w:rsid w:val="003D26D9"/>
    <w:rsid w:val="003D3092"/>
    <w:rsid w:val="003D3CD0"/>
    <w:rsid w:val="003D4369"/>
    <w:rsid w:val="003D4559"/>
    <w:rsid w:val="003D4E2A"/>
    <w:rsid w:val="003D52E9"/>
    <w:rsid w:val="003D5C4F"/>
    <w:rsid w:val="003D5C86"/>
    <w:rsid w:val="003D6316"/>
    <w:rsid w:val="003D65F5"/>
    <w:rsid w:val="003D6A3A"/>
    <w:rsid w:val="003D6D83"/>
    <w:rsid w:val="003D7080"/>
    <w:rsid w:val="003D7111"/>
    <w:rsid w:val="003D7124"/>
    <w:rsid w:val="003D728E"/>
    <w:rsid w:val="003D7B4E"/>
    <w:rsid w:val="003E0355"/>
    <w:rsid w:val="003E05BA"/>
    <w:rsid w:val="003E1B6B"/>
    <w:rsid w:val="003E1DB6"/>
    <w:rsid w:val="003E2153"/>
    <w:rsid w:val="003E3735"/>
    <w:rsid w:val="003E4F91"/>
    <w:rsid w:val="003E50C7"/>
    <w:rsid w:val="003E55BF"/>
    <w:rsid w:val="003E65EE"/>
    <w:rsid w:val="003E6FC4"/>
    <w:rsid w:val="003E7BC3"/>
    <w:rsid w:val="003F0629"/>
    <w:rsid w:val="003F14C9"/>
    <w:rsid w:val="003F1774"/>
    <w:rsid w:val="003F2481"/>
    <w:rsid w:val="003F2578"/>
    <w:rsid w:val="003F3BCF"/>
    <w:rsid w:val="003F3D5A"/>
    <w:rsid w:val="003F4173"/>
    <w:rsid w:val="003F46A4"/>
    <w:rsid w:val="003F46ED"/>
    <w:rsid w:val="003F5470"/>
    <w:rsid w:val="003F5754"/>
    <w:rsid w:val="003F60A2"/>
    <w:rsid w:val="003F667F"/>
    <w:rsid w:val="003F6B12"/>
    <w:rsid w:val="003F7BFE"/>
    <w:rsid w:val="003F7E20"/>
    <w:rsid w:val="0040080C"/>
    <w:rsid w:val="00400D6E"/>
    <w:rsid w:val="00402194"/>
    <w:rsid w:val="004032DD"/>
    <w:rsid w:val="0040333F"/>
    <w:rsid w:val="00403E25"/>
    <w:rsid w:val="004056D7"/>
    <w:rsid w:val="0040683F"/>
    <w:rsid w:val="00406AD6"/>
    <w:rsid w:val="004075B3"/>
    <w:rsid w:val="004075CF"/>
    <w:rsid w:val="00407F0D"/>
    <w:rsid w:val="00410C21"/>
    <w:rsid w:val="00410FE8"/>
    <w:rsid w:val="00411294"/>
    <w:rsid w:val="00411410"/>
    <w:rsid w:val="00411B36"/>
    <w:rsid w:val="004124AD"/>
    <w:rsid w:val="00412A03"/>
    <w:rsid w:val="00412DA6"/>
    <w:rsid w:val="00413D8E"/>
    <w:rsid w:val="00413ED4"/>
    <w:rsid w:val="00413FF2"/>
    <w:rsid w:val="0041401B"/>
    <w:rsid w:val="00414E41"/>
    <w:rsid w:val="004153FA"/>
    <w:rsid w:val="00415E85"/>
    <w:rsid w:val="0041636B"/>
    <w:rsid w:val="00416F4A"/>
    <w:rsid w:val="004170C7"/>
    <w:rsid w:val="004174ED"/>
    <w:rsid w:val="00417C1B"/>
    <w:rsid w:val="00417D75"/>
    <w:rsid w:val="0042035F"/>
    <w:rsid w:val="004207D6"/>
    <w:rsid w:val="00420B8D"/>
    <w:rsid w:val="00420DBE"/>
    <w:rsid w:val="004211AA"/>
    <w:rsid w:val="00421502"/>
    <w:rsid w:val="00421580"/>
    <w:rsid w:val="004215FC"/>
    <w:rsid w:val="00421D87"/>
    <w:rsid w:val="0042345B"/>
    <w:rsid w:val="0042395D"/>
    <w:rsid w:val="00425019"/>
    <w:rsid w:val="00426324"/>
    <w:rsid w:val="0042661D"/>
    <w:rsid w:val="00427774"/>
    <w:rsid w:val="00427D2E"/>
    <w:rsid w:val="00430953"/>
    <w:rsid w:val="0043099A"/>
    <w:rsid w:val="0043119D"/>
    <w:rsid w:val="00431408"/>
    <w:rsid w:val="004314DB"/>
    <w:rsid w:val="00431874"/>
    <w:rsid w:val="00431952"/>
    <w:rsid w:val="00432040"/>
    <w:rsid w:val="00432F42"/>
    <w:rsid w:val="00433B45"/>
    <w:rsid w:val="00433F2E"/>
    <w:rsid w:val="00433FF0"/>
    <w:rsid w:val="004346A8"/>
    <w:rsid w:val="00434FEF"/>
    <w:rsid w:val="0043570E"/>
    <w:rsid w:val="00435878"/>
    <w:rsid w:val="00436A2E"/>
    <w:rsid w:val="00436C36"/>
    <w:rsid w:val="0043713F"/>
    <w:rsid w:val="00437249"/>
    <w:rsid w:val="00440198"/>
    <w:rsid w:val="004403BF"/>
    <w:rsid w:val="00440806"/>
    <w:rsid w:val="00440F5D"/>
    <w:rsid w:val="004410DC"/>
    <w:rsid w:val="004412E8"/>
    <w:rsid w:val="004413D6"/>
    <w:rsid w:val="004426B2"/>
    <w:rsid w:val="00442918"/>
    <w:rsid w:val="00442C0C"/>
    <w:rsid w:val="004433FC"/>
    <w:rsid w:val="00443EF3"/>
    <w:rsid w:val="00444116"/>
    <w:rsid w:val="004441B3"/>
    <w:rsid w:val="00444473"/>
    <w:rsid w:val="00444A9E"/>
    <w:rsid w:val="00444BEB"/>
    <w:rsid w:val="00445085"/>
    <w:rsid w:val="00445B0F"/>
    <w:rsid w:val="004460CA"/>
    <w:rsid w:val="0044687D"/>
    <w:rsid w:val="0045035D"/>
    <w:rsid w:val="004508E3"/>
    <w:rsid w:val="004514AF"/>
    <w:rsid w:val="00451EA9"/>
    <w:rsid w:val="004529DB"/>
    <w:rsid w:val="004536DD"/>
    <w:rsid w:val="00453AF9"/>
    <w:rsid w:val="00453EAB"/>
    <w:rsid w:val="00454524"/>
    <w:rsid w:val="0045483B"/>
    <w:rsid w:val="00454CAD"/>
    <w:rsid w:val="00454ED0"/>
    <w:rsid w:val="004552A4"/>
    <w:rsid w:val="00455574"/>
    <w:rsid w:val="0045597E"/>
    <w:rsid w:val="00455AB8"/>
    <w:rsid w:val="00455CDF"/>
    <w:rsid w:val="00455D1A"/>
    <w:rsid w:val="00455EEA"/>
    <w:rsid w:val="004568AA"/>
    <w:rsid w:val="00456FDF"/>
    <w:rsid w:val="0045711F"/>
    <w:rsid w:val="004573B7"/>
    <w:rsid w:val="00457779"/>
    <w:rsid w:val="00457DDB"/>
    <w:rsid w:val="00460567"/>
    <w:rsid w:val="004613A5"/>
    <w:rsid w:val="004619F9"/>
    <w:rsid w:val="004620E2"/>
    <w:rsid w:val="004623ED"/>
    <w:rsid w:val="0046242B"/>
    <w:rsid w:val="004629F5"/>
    <w:rsid w:val="00463187"/>
    <w:rsid w:val="00463301"/>
    <w:rsid w:val="004636ED"/>
    <w:rsid w:val="00465239"/>
    <w:rsid w:val="00465273"/>
    <w:rsid w:val="00465A6D"/>
    <w:rsid w:val="00465B31"/>
    <w:rsid w:val="00465ED5"/>
    <w:rsid w:val="00467193"/>
    <w:rsid w:val="0046770F"/>
    <w:rsid w:val="004679A6"/>
    <w:rsid w:val="00470543"/>
    <w:rsid w:val="00470A1C"/>
    <w:rsid w:val="00470F25"/>
    <w:rsid w:val="004710EB"/>
    <w:rsid w:val="004718FB"/>
    <w:rsid w:val="00471932"/>
    <w:rsid w:val="004730EA"/>
    <w:rsid w:val="00474827"/>
    <w:rsid w:val="00475149"/>
    <w:rsid w:val="004756DE"/>
    <w:rsid w:val="00475D87"/>
    <w:rsid w:val="00475E38"/>
    <w:rsid w:val="00480190"/>
    <w:rsid w:val="00480892"/>
    <w:rsid w:val="00480E78"/>
    <w:rsid w:val="004810B9"/>
    <w:rsid w:val="004813FF"/>
    <w:rsid w:val="0048226D"/>
    <w:rsid w:val="00482958"/>
    <w:rsid w:val="00482C48"/>
    <w:rsid w:val="00482DB9"/>
    <w:rsid w:val="00483A81"/>
    <w:rsid w:val="00484BA1"/>
    <w:rsid w:val="00484D35"/>
    <w:rsid w:val="00485F09"/>
    <w:rsid w:val="004866BD"/>
    <w:rsid w:val="004869CB"/>
    <w:rsid w:val="00486EC9"/>
    <w:rsid w:val="004870AE"/>
    <w:rsid w:val="00487119"/>
    <w:rsid w:val="0048778C"/>
    <w:rsid w:val="0049000D"/>
    <w:rsid w:val="00490CD0"/>
    <w:rsid w:val="00490D72"/>
    <w:rsid w:val="004910D3"/>
    <w:rsid w:val="00491274"/>
    <w:rsid w:val="00491CFA"/>
    <w:rsid w:val="00491D81"/>
    <w:rsid w:val="00492513"/>
    <w:rsid w:val="00492775"/>
    <w:rsid w:val="00492793"/>
    <w:rsid w:val="00493676"/>
    <w:rsid w:val="00493FFA"/>
    <w:rsid w:val="0049412D"/>
    <w:rsid w:val="004942B1"/>
    <w:rsid w:val="004945F7"/>
    <w:rsid w:val="004949D9"/>
    <w:rsid w:val="00494DC0"/>
    <w:rsid w:val="00495410"/>
    <w:rsid w:val="004955ED"/>
    <w:rsid w:val="004956A8"/>
    <w:rsid w:val="004956EF"/>
    <w:rsid w:val="00495E89"/>
    <w:rsid w:val="00496464"/>
    <w:rsid w:val="004965A8"/>
    <w:rsid w:val="00496C5F"/>
    <w:rsid w:val="00497029"/>
    <w:rsid w:val="004975C5"/>
    <w:rsid w:val="004A0403"/>
    <w:rsid w:val="004A04FB"/>
    <w:rsid w:val="004A07C5"/>
    <w:rsid w:val="004A0AFE"/>
    <w:rsid w:val="004A176A"/>
    <w:rsid w:val="004A1E41"/>
    <w:rsid w:val="004A1E49"/>
    <w:rsid w:val="004A2D66"/>
    <w:rsid w:val="004A3C58"/>
    <w:rsid w:val="004A57CD"/>
    <w:rsid w:val="004A5FC1"/>
    <w:rsid w:val="004A6061"/>
    <w:rsid w:val="004A6130"/>
    <w:rsid w:val="004A62B4"/>
    <w:rsid w:val="004A665A"/>
    <w:rsid w:val="004A66B7"/>
    <w:rsid w:val="004B014D"/>
    <w:rsid w:val="004B0F9D"/>
    <w:rsid w:val="004B1162"/>
    <w:rsid w:val="004B13C1"/>
    <w:rsid w:val="004B168F"/>
    <w:rsid w:val="004B1A2C"/>
    <w:rsid w:val="004B1E0A"/>
    <w:rsid w:val="004B2D0E"/>
    <w:rsid w:val="004B3228"/>
    <w:rsid w:val="004B3233"/>
    <w:rsid w:val="004B39C4"/>
    <w:rsid w:val="004B4521"/>
    <w:rsid w:val="004B466F"/>
    <w:rsid w:val="004B522C"/>
    <w:rsid w:val="004B5D4B"/>
    <w:rsid w:val="004B65BE"/>
    <w:rsid w:val="004B7AC2"/>
    <w:rsid w:val="004B7CB2"/>
    <w:rsid w:val="004C0CC0"/>
    <w:rsid w:val="004C1635"/>
    <w:rsid w:val="004C171C"/>
    <w:rsid w:val="004C1D40"/>
    <w:rsid w:val="004C1D66"/>
    <w:rsid w:val="004C2C5A"/>
    <w:rsid w:val="004C33E3"/>
    <w:rsid w:val="004C37B9"/>
    <w:rsid w:val="004C3C58"/>
    <w:rsid w:val="004C43C8"/>
    <w:rsid w:val="004C4537"/>
    <w:rsid w:val="004C483C"/>
    <w:rsid w:val="004C4A96"/>
    <w:rsid w:val="004C5021"/>
    <w:rsid w:val="004C53CF"/>
    <w:rsid w:val="004C57CE"/>
    <w:rsid w:val="004C6E5C"/>
    <w:rsid w:val="004C6E82"/>
    <w:rsid w:val="004C718D"/>
    <w:rsid w:val="004D0218"/>
    <w:rsid w:val="004D14AA"/>
    <w:rsid w:val="004D1837"/>
    <w:rsid w:val="004D25D4"/>
    <w:rsid w:val="004D2D5A"/>
    <w:rsid w:val="004D2F8F"/>
    <w:rsid w:val="004D3752"/>
    <w:rsid w:val="004D3EEB"/>
    <w:rsid w:val="004D51A1"/>
    <w:rsid w:val="004D522B"/>
    <w:rsid w:val="004D590C"/>
    <w:rsid w:val="004D66B9"/>
    <w:rsid w:val="004D744C"/>
    <w:rsid w:val="004E0635"/>
    <w:rsid w:val="004E063B"/>
    <w:rsid w:val="004E06CF"/>
    <w:rsid w:val="004E1049"/>
    <w:rsid w:val="004E1D0D"/>
    <w:rsid w:val="004E2369"/>
    <w:rsid w:val="004E2C41"/>
    <w:rsid w:val="004E2F4B"/>
    <w:rsid w:val="004E3ADA"/>
    <w:rsid w:val="004E4C05"/>
    <w:rsid w:val="004E6072"/>
    <w:rsid w:val="004E6337"/>
    <w:rsid w:val="004E6DB1"/>
    <w:rsid w:val="004E6EA1"/>
    <w:rsid w:val="004E71B7"/>
    <w:rsid w:val="004F09DA"/>
    <w:rsid w:val="004F09E3"/>
    <w:rsid w:val="004F15DA"/>
    <w:rsid w:val="004F1AC5"/>
    <w:rsid w:val="004F2F07"/>
    <w:rsid w:val="004F3353"/>
    <w:rsid w:val="004F4213"/>
    <w:rsid w:val="004F4AC3"/>
    <w:rsid w:val="004F5608"/>
    <w:rsid w:val="004F5638"/>
    <w:rsid w:val="004F5E4D"/>
    <w:rsid w:val="004F6295"/>
    <w:rsid w:val="004F6A88"/>
    <w:rsid w:val="004F7070"/>
    <w:rsid w:val="004F7594"/>
    <w:rsid w:val="004F7889"/>
    <w:rsid w:val="00502B9B"/>
    <w:rsid w:val="00503D14"/>
    <w:rsid w:val="005052B3"/>
    <w:rsid w:val="00505958"/>
    <w:rsid w:val="0050639E"/>
    <w:rsid w:val="005064DE"/>
    <w:rsid w:val="00506799"/>
    <w:rsid w:val="0050705A"/>
    <w:rsid w:val="005074C7"/>
    <w:rsid w:val="00507C7B"/>
    <w:rsid w:val="00507E3C"/>
    <w:rsid w:val="0051049E"/>
    <w:rsid w:val="00510856"/>
    <w:rsid w:val="005108BD"/>
    <w:rsid w:val="00510BEA"/>
    <w:rsid w:val="00510E4C"/>
    <w:rsid w:val="005114C2"/>
    <w:rsid w:val="005119C0"/>
    <w:rsid w:val="0051292A"/>
    <w:rsid w:val="00512937"/>
    <w:rsid w:val="00512B2B"/>
    <w:rsid w:val="00512CB1"/>
    <w:rsid w:val="00512D95"/>
    <w:rsid w:val="00513504"/>
    <w:rsid w:val="00513AFE"/>
    <w:rsid w:val="00513D05"/>
    <w:rsid w:val="0051488F"/>
    <w:rsid w:val="00514EE3"/>
    <w:rsid w:val="0051586F"/>
    <w:rsid w:val="00515FBB"/>
    <w:rsid w:val="00516192"/>
    <w:rsid w:val="00516645"/>
    <w:rsid w:val="00517261"/>
    <w:rsid w:val="00521263"/>
    <w:rsid w:val="00521C78"/>
    <w:rsid w:val="005223C1"/>
    <w:rsid w:val="00522A98"/>
    <w:rsid w:val="00523ED0"/>
    <w:rsid w:val="00523F3B"/>
    <w:rsid w:val="00526105"/>
    <w:rsid w:val="005266B7"/>
    <w:rsid w:val="00526F73"/>
    <w:rsid w:val="00527519"/>
    <w:rsid w:val="00527947"/>
    <w:rsid w:val="00527BCB"/>
    <w:rsid w:val="00530084"/>
    <w:rsid w:val="0053085B"/>
    <w:rsid w:val="00530D3E"/>
    <w:rsid w:val="00531164"/>
    <w:rsid w:val="005315D5"/>
    <w:rsid w:val="005318DA"/>
    <w:rsid w:val="00531C89"/>
    <w:rsid w:val="00531F08"/>
    <w:rsid w:val="00532328"/>
    <w:rsid w:val="0053235C"/>
    <w:rsid w:val="00532863"/>
    <w:rsid w:val="00533260"/>
    <w:rsid w:val="0053342B"/>
    <w:rsid w:val="00534A72"/>
    <w:rsid w:val="0053584D"/>
    <w:rsid w:val="005362C4"/>
    <w:rsid w:val="005368C9"/>
    <w:rsid w:val="005379C7"/>
    <w:rsid w:val="00537FE4"/>
    <w:rsid w:val="0054026C"/>
    <w:rsid w:val="00540A73"/>
    <w:rsid w:val="00540B35"/>
    <w:rsid w:val="00540E1B"/>
    <w:rsid w:val="00541130"/>
    <w:rsid w:val="005418F0"/>
    <w:rsid w:val="005419D4"/>
    <w:rsid w:val="00541E59"/>
    <w:rsid w:val="00542265"/>
    <w:rsid w:val="00542676"/>
    <w:rsid w:val="00542783"/>
    <w:rsid w:val="00544085"/>
    <w:rsid w:val="005447D3"/>
    <w:rsid w:val="00544835"/>
    <w:rsid w:val="00544B13"/>
    <w:rsid w:val="0054600E"/>
    <w:rsid w:val="00546264"/>
    <w:rsid w:val="005466D8"/>
    <w:rsid w:val="0054701E"/>
    <w:rsid w:val="00547A05"/>
    <w:rsid w:val="00547CFB"/>
    <w:rsid w:val="00547FF8"/>
    <w:rsid w:val="00550616"/>
    <w:rsid w:val="00550730"/>
    <w:rsid w:val="00550979"/>
    <w:rsid w:val="00551773"/>
    <w:rsid w:val="00551E7B"/>
    <w:rsid w:val="00551EF2"/>
    <w:rsid w:val="005527E1"/>
    <w:rsid w:val="0055380B"/>
    <w:rsid w:val="00554214"/>
    <w:rsid w:val="00554B67"/>
    <w:rsid w:val="00554BD3"/>
    <w:rsid w:val="005559CC"/>
    <w:rsid w:val="00556AAB"/>
    <w:rsid w:val="00556E8E"/>
    <w:rsid w:val="005573E7"/>
    <w:rsid w:val="005575BA"/>
    <w:rsid w:val="00557710"/>
    <w:rsid w:val="005579AF"/>
    <w:rsid w:val="00560454"/>
    <w:rsid w:val="00560E08"/>
    <w:rsid w:val="0056247B"/>
    <w:rsid w:val="0056287E"/>
    <w:rsid w:val="00562898"/>
    <w:rsid w:val="005628F5"/>
    <w:rsid w:val="0056356D"/>
    <w:rsid w:val="00563948"/>
    <w:rsid w:val="00564E2B"/>
    <w:rsid w:val="005657B6"/>
    <w:rsid w:val="00565909"/>
    <w:rsid w:val="00565B6E"/>
    <w:rsid w:val="005660C0"/>
    <w:rsid w:val="0056615F"/>
    <w:rsid w:val="005667A3"/>
    <w:rsid w:val="00571261"/>
    <w:rsid w:val="00571529"/>
    <w:rsid w:val="0057178A"/>
    <w:rsid w:val="00571A85"/>
    <w:rsid w:val="00571D10"/>
    <w:rsid w:val="00571FF4"/>
    <w:rsid w:val="00572402"/>
    <w:rsid w:val="00572AED"/>
    <w:rsid w:val="00572DFD"/>
    <w:rsid w:val="00572F3A"/>
    <w:rsid w:val="0057343E"/>
    <w:rsid w:val="00573876"/>
    <w:rsid w:val="00573C78"/>
    <w:rsid w:val="0057401B"/>
    <w:rsid w:val="00574899"/>
    <w:rsid w:val="00574EA1"/>
    <w:rsid w:val="00576087"/>
    <w:rsid w:val="00576626"/>
    <w:rsid w:val="00576F0F"/>
    <w:rsid w:val="0057700C"/>
    <w:rsid w:val="0057734A"/>
    <w:rsid w:val="00577A87"/>
    <w:rsid w:val="00577D53"/>
    <w:rsid w:val="00581513"/>
    <w:rsid w:val="00581994"/>
    <w:rsid w:val="0058199F"/>
    <w:rsid w:val="00582148"/>
    <w:rsid w:val="00582AF4"/>
    <w:rsid w:val="00582BBB"/>
    <w:rsid w:val="00583333"/>
    <w:rsid w:val="0058362C"/>
    <w:rsid w:val="00583C17"/>
    <w:rsid w:val="00585398"/>
    <w:rsid w:val="00585E44"/>
    <w:rsid w:val="0058688E"/>
    <w:rsid w:val="00586DB7"/>
    <w:rsid w:val="0058701B"/>
    <w:rsid w:val="0058768F"/>
    <w:rsid w:val="00587DB1"/>
    <w:rsid w:val="00587ECA"/>
    <w:rsid w:val="00590DCB"/>
    <w:rsid w:val="0059103C"/>
    <w:rsid w:val="005916E4"/>
    <w:rsid w:val="005927FD"/>
    <w:rsid w:val="00592B24"/>
    <w:rsid w:val="005932E5"/>
    <w:rsid w:val="0059355D"/>
    <w:rsid w:val="00593B77"/>
    <w:rsid w:val="00593EB9"/>
    <w:rsid w:val="00594A40"/>
    <w:rsid w:val="00594FAE"/>
    <w:rsid w:val="0059547A"/>
    <w:rsid w:val="00595618"/>
    <w:rsid w:val="005958FE"/>
    <w:rsid w:val="00595907"/>
    <w:rsid w:val="00595CFC"/>
    <w:rsid w:val="00595F3C"/>
    <w:rsid w:val="00596027"/>
    <w:rsid w:val="00596C6B"/>
    <w:rsid w:val="00597555"/>
    <w:rsid w:val="005A0C3B"/>
    <w:rsid w:val="005A0E91"/>
    <w:rsid w:val="005A1256"/>
    <w:rsid w:val="005A18D1"/>
    <w:rsid w:val="005A1DF9"/>
    <w:rsid w:val="005A2450"/>
    <w:rsid w:val="005A2C87"/>
    <w:rsid w:val="005A2D0E"/>
    <w:rsid w:val="005A3003"/>
    <w:rsid w:val="005A3C13"/>
    <w:rsid w:val="005A4D64"/>
    <w:rsid w:val="005A5530"/>
    <w:rsid w:val="005A5660"/>
    <w:rsid w:val="005A5DC6"/>
    <w:rsid w:val="005A62FD"/>
    <w:rsid w:val="005A64E6"/>
    <w:rsid w:val="005A699E"/>
    <w:rsid w:val="005A6C69"/>
    <w:rsid w:val="005B08F2"/>
    <w:rsid w:val="005B0A88"/>
    <w:rsid w:val="005B0EE7"/>
    <w:rsid w:val="005B1D4A"/>
    <w:rsid w:val="005B2C86"/>
    <w:rsid w:val="005B3D47"/>
    <w:rsid w:val="005B4B84"/>
    <w:rsid w:val="005B4FCE"/>
    <w:rsid w:val="005B5021"/>
    <w:rsid w:val="005B54B3"/>
    <w:rsid w:val="005B5607"/>
    <w:rsid w:val="005B59FC"/>
    <w:rsid w:val="005B6A2B"/>
    <w:rsid w:val="005B783C"/>
    <w:rsid w:val="005B7931"/>
    <w:rsid w:val="005B7A72"/>
    <w:rsid w:val="005B7A73"/>
    <w:rsid w:val="005B7B6E"/>
    <w:rsid w:val="005B7BAC"/>
    <w:rsid w:val="005B7BE4"/>
    <w:rsid w:val="005C0A99"/>
    <w:rsid w:val="005C0CB3"/>
    <w:rsid w:val="005C0DF7"/>
    <w:rsid w:val="005C181D"/>
    <w:rsid w:val="005C2AE1"/>
    <w:rsid w:val="005C320B"/>
    <w:rsid w:val="005C3425"/>
    <w:rsid w:val="005C37C4"/>
    <w:rsid w:val="005C3E3E"/>
    <w:rsid w:val="005C40A0"/>
    <w:rsid w:val="005C47BB"/>
    <w:rsid w:val="005C4C91"/>
    <w:rsid w:val="005C4D3A"/>
    <w:rsid w:val="005C4ED0"/>
    <w:rsid w:val="005C678F"/>
    <w:rsid w:val="005C72C1"/>
    <w:rsid w:val="005C73B1"/>
    <w:rsid w:val="005C75E8"/>
    <w:rsid w:val="005C7746"/>
    <w:rsid w:val="005C7D19"/>
    <w:rsid w:val="005C7D26"/>
    <w:rsid w:val="005D008A"/>
    <w:rsid w:val="005D2EC4"/>
    <w:rsid w:val="005D30C8"/>
    <w:rsid w:val="005D313B"/>
    <w:rsid w:val="005D3278"/>
    <w:rsid w:val="005D3D73"/>
    <w:rsid w:val="005D4186"/>
    <w:rsid w:val="005D4F62"/>
    <w:rsid w:val="005D5502"/>
    <w:rsid w:val="005D5F57"/>
    <w:rsid w:val="005D6A95"/>
    <w:rsid w:val="005D7293"/>
    <w:rsid w:val="005D760A"/>
    <w:rsid w:val="005D781C"/>
    <w:rsid w:val="005D797B"/>
    <w:rsid w:val="005E0A32"/>
    <w:rsid w:val="005E1253"/>
    <w:rsid w:val="005E1C75"/>
    <w:rsid w:val="005E27DF"/>
    <w:rsid w:val="005E36FB"/>
    <w:rsid w:val="005E3FFF"/>
    <w:rsid w:val="005E40E9"/>
    <w:rsid w:val="005E48FB"/>
    <w:rsid w:val="005E49DD"/>
    <w:rsid w:val="005E4A19"/>
    <w:rsid w:val="005E614A"/>
    <w:rsid w:val="005E6294"/>
    <w:rsid w:val="005E684A"/>
    <w:rsid w:val="005E69F0"/>
    <w:rsid w:val="005E7868"/>
    <w:rsid w:val="005E7901"/>
    <w:rsid w:val="005F0317"/>
    <w:rsid w:val="005F133C"/>
    <w:rsid w:val="005F19B5"/>
    <w:rsid w:val="005F33B6"/>
    <w:rsid w:val="005F3C80"/>
    <w:rsid w:val="005F3CDA"/>
    <w:rsid w:val="005F3E58"/>
    <w:rsid w:val="005F3EA2"/>
    <w:rsid w:val="005F430E"/>
    <w:rsid w:val="005F4361"/>
    <w:rsid w:val="005F437A"/>
    <w:rsid w:val="005F4F13"/>
    <w:rsid w:val="005F60F5"/>
    <w:rsid w:val="005F7E99"/>
    <w:rsid w:val="00600C66"/>
    <w:rsid w:val="006019CF"/>
    <w:rsid w:val="00602277"/>
    <w:rsid w:val="00602D36"/>
    <w:rsid w:val="00602F15"/>
    <w:rsid w:val="0060427B"/>
    <w:rsid w:val="006044D4"/>
    <w:rsid w:val="00604999"/>
    <w:rsid w:val="00604E57"/>
    <w:rsid w:val="00605729"/>
    <w:rsid w:val="00605FEE"/>
    <w:rsid w:val="00606300"/>
    <w:rsid w:val="00607356"/>
    <w:rsid w:val="00610BAC"/>
    <w:rsid w:val="00611D15"/>
    <w:rsid w:val="00611D38"/>
    <w:rsid w:val="0061201F"/>
    <w:rsid w:val="00612319"/>
    <w:rsid w:val="006139A2"/>
    <w:rsid w:val="00613A37"/>
    <w:rsid w:val="00613C9D"/>
    <w:rsid w:val="00613D40"/>
    <w:rsid w:val="00613E87"/>
    <w:rsid w:val="006143E3"/>
    <w:rsid w:val="00616CC8"/>
    <w:rsid w:val="00616FC3"/>
    <w:rsid w:val="0061702A"/>
    <w:rsid w:val="006229B2"/>
    <w:rsid w:val="00623166"/>
    <w:rsid w:val="00623533"/>
    <w:rsid w:val="006245C8"/>
    <w:rsid w:val="00624C3B"/>
    <w:rsid w:val="006254A4"/>
    <w:rsid w:val="00626C50"/>
    <w:rsid w:val="006301C5"/>
    <w:rsid w:val="00631A46"/>
    <w:rsid w:val="006325AA"/>
    <w:rsid w:val="0063367D"/>
    <w:rsid w:val="006354F6"/>
    <w:rsid w:val="0063573E"/>
    <w:rsid w:val="00636680"/>
    <w:rsid w:val="00636EDE"/>
    <w:rsid w:val="00637F23"/>
    <w:rsid w:val="0064048F"/>
    <w:rsid w:val="006409CD"/>
    <w:rsid w:val="00640A44"/>
    <w:rsid w:val="006418B8"/>
    <w:rsid w:val="006421C0"/>
    <w:rsid w:val="006425D3"/>
    <w:rsid w:val="00642C0E"/>
    <w:rsid w:val="00643C2F"/>
    <w:rsid w:val="00643E5B"/>
    <w:rsid w:val="00643F8E"/>
    <w:rsid w:val="00644603"/>
    <w:rsid w:val="006449B0"/>
    <w:rsid w:val="006454CF"/>
    <w:rsid w:val="00647CE2"/>
    <w:rsid w:val="00650193"/>
    <w:rsid w:val="0065077D"/>
    <w:rsid w:val="00650D4B"/>
    <w:rsid w:val="006513E8"/>
    <w:rsid w:val="00651806"/>
    <w:rsid w:val="006520BE"/>
    <w:rsid w:val="00652FCD"/>
    <w:rsid w:val="00653226"/>
    <w:rsid w:val="006536A3"/>
    <w:rsid w:val="00653E36"/>
    <w:rsid w:val="00653F01"/>
    <w:rsid w:val="006543FF"/>
    <w:rsid w:val="006549B2"/>
    <w:rsid w:val="0065553A"/>
    <w:rsid w:val="00655C98"/>
    <w:rsid w:val="00657FEA"/>
    <w:rsid w:val="0066017A"/>
    <w:rsid w:val="006602BC"/>
    <w:rsid w:val="006613C7"/>
    <w:rsid w:val="006618FC"/>
    <w:rsid w:val="00661977"/>
    <w:rsid w:val="00663AAA"/>
    <w:rsid w:val="00664B12"/>
    <w:rsid w:val="00664E32"/>
    <w:rsid w:val="00665631"/>
    <w:rsid w:val="00665CB6"/>
    <w:rsid w:val="00665E7D"/>
    <w:rsid w:val="006661EC"/>
    <w:rsid w:val="00666D7A"/>
    <w:rsid w:val="00667983"/>
    <w:rsid w:val="00667B98"/>
    <w:rsid w:val="0067115B"/>
    <w:rsid w:val="00671A45"/>
    <w:rsid w:val="006734A0"/>
    <w:rsid w:val="006736B2"/>
    <w:rsid w:val="00674BDE"/>
    <w:rsid w:val="00674D97"/>
    <w:rsid w:val="00674DAB"/>
    <w:rsid w:val="006763AD"/>
    <w:rsid w:val="00676A2B"/>
    <w:rsid w:val="0067702A"/>
    <w:rsid w:val="00681205"/>
    <w:rsid w:val="006816E2"/>
    <w:rsid w:val="006818A9"/>
    <w:rsid w:val="00682067"/>
    <w:rsid w:val="0068226D"/>
    <w:rsid w:val="00682281"/>
    <w:rsid w:val="006824B1"/>
    <w:rsid w:val="00682A86"/>
    <w:rsid w:val="00682F3C"/>
    <w:rsid w:val="00683FD6"/>
    <w:rsid w:val="0068404D"/>
    <w:rsid w:val="0068488B"/>
    <w:rsid w:val="00684CE8"/>
    <w:rsid w:val="0068516B"/>
    <w:rsid w:val="006852F7"/>
    <w:rsid w:val="006855B5"/>
    <w:rsid w:val="00685C1A"/>
    <w:rsid w:val="00685C20"/>
    <w:rsid w:val="00686334"/>
    <w:rsid w:val="00686AD6"/>
    <w:rsid w:val="006871C1"/>
    <w:rsid w:val="00687690"/>
    <w:rsid w:val="00687C53"/>
    <w:rsid w:val="00687E60"/>
    <w:rsid w:val="00687FCF"/>
    <w:rsid w:val="0069034C"/>
    <w:rsid w:val="006907FA"/>
    <w:rsid w:val="00690E14"/>
    <w:rsid w:val="00692341"/>
    <w:rsid w:val="006929C8"/>
    <w:rsid w:val="00692C5A"/>
    <w:rsid w:val="00693153"/>
    <w:rsid w:val="00693365"/>
    <w:rsid w:val="006933CF"/>
    <w:rsid w:val="00693E3D"/>
    <w:rsid w:val="006940F5"/>
    <w:rsid w:val="00694930"/>
    <w:rsid w:val="00696004"/>
    <w:rsid w:val="00696C2F"/>
    <w:rsid w:val="00697042"/>
    <w:rsid w:val="00697478"/>
    <w:rsid w:val="00697896"/>
    <w:rsid w:val="006A029A"/>
    <w:rsid w:val="006A13A1"/>
    <w:rsid w:val="006A1588"/>
    <w:rsid w:val="006A1B47"/>
    <w:rsid w:val="006A1B60"/>
    <w:rsid w:val="006A2BA5"/>
    <w:rsid w:val="006A3149"/>
    <w:rsid w:val="006A3336"/>
    <w:rsid w:val="006A3367"/>
    <w:rsid w:val="006A403D"/>
    <w:rsid w:val="006A405E"/>
    <w:rsid w:val="006A42F2"/>
    <w:rsid w:val="006A5066"/>
    <w:rsid w:val="006A5B43"/>
    <w:rsid w:val="006A6443"/>
    <w:rsid w:val="006A6C04"/>
    <w:rsid w:val="006A73C0"/>
    <w:rsid w:val="006A7E58"/>
    <w:rsid w:val="006B0448"/>
    <w:rsid w:val="006B1128"/>
    <w:rsid w:val="006B1E13"/>
    <w:rsid w:val="006B2140"/>
    <w:rsid w:val="006B25B9"/>
    <w:rsid w:val="006B2772"/>
    <w:rsid w:val="006B2797"/>
    <w:rsid w:val="006B2AD3"/>
    <w:rsid w:val="006B329E"/>
    <w:rsid w:val="006B44D9"/>
    <w:rsid w:val="006B4B9D"/>
    <w:rsid w:val="006B54CE"/>
    <w:rsid w:val="006B584B"/>
    <w:rsid w:val="006B5D82"/>
    <w:rsid w:val="006B6872"/>
    <w:rsid w:val="006B6FC6"/>
    <w:rsid w:val="006B7CE6"/>
    <w:rsid w:val="006C0109"/>
    <w:rsid w:val="006C04A2"/>
    <w:rsid w:val="006C0518"/>
    <w:rsid w:val="006C0855"/>
    <w:rsid w:val="006C0E73"/>
    <w:rsid w:val="006C1100"/>
    <w:rsid w:val="006C11BA"/>
    <w:rsid w:val="006C1814"/>
    <w:rsid w:val="006C1B89"/>
    <w:rsid w:val="006C1E78"/>
    <w:rsid w:val="006C2735"/>
    <w:rsid w:val="006C28E2"/>
    <w:rsid w:val="006C2C6D"/>
    <w:rsid w:val="006C3375"/>
    <w:rsid w:val="006C33C7"/>
    <w:rsid w:val="006C405C"/>
    <w:rsid w:val="006C40D5"/>
    <w:rsid w:val="006C4444"/>
    <w:rsid w:val="006C464B"/>
    <w:rsid w:val="006C4816"/>
    <w:rsid w:val="006C4A68"/>
    <w:rsid w:val="006C57E8"/>
    <w:rsid w:val="006C71CE"/>
    <w:rsid w:val="006D0173"/>
    <w:rsid w:val="006D01A0"/>
    <w:rsid w:val="006D01C6"/>
    <w:rsid w:val="006D10AA"/>
    <w:rsid w:val="006D2946"/>
    <w:rsid w:val="006D3278"/>
    <w:rsid w:val="006D355B"/>
    <w:rsid w:val="006D427B"/>
    <w:rsid w:val="006D4550"/>
    <w:rsid w:val="006D4CA0"/>
    <w:rsid w:val="006D51DF"/>
    <w:rsid w:val="006D5AED"/>
    <w:rsid w:val="006D6044"/>
    <w:rsid w:val="006D610F"/>
    <w:rsid w:val="006D730B"/>
    <w:rsid w:val="006D7D4C"/>
    <w:rsid w:val="006D7DEC"/>
    <w:rsid w:val="006E0349"/>
    <w:rsid w:val="006E04A0"/>
    <w:rsid w:val="006E0B78"/>
    <w:rsid w:val="006E0E2C"/>
    <w:rsid w:val="006E0F59"/>
    <w:rsid w:val="006E175A"/>
    <w:rsid w:val="006E1DEE"/>
    <w:rsid w:val="006E1FB7"/>
    <w:rsid w:val="006E3447"/>
    <w:rsid w:val="006E3E4D"/>
    <w:rsid w:val="006E4D11"/>
    <w:rsid w:val="006E5AEB"/>
    <w:rsid w:val="006E5D16"/>
    <w:rsid w:val="006E64CE"/>
    <w:rsid w:val="006E7371"/>
    <w:rsid w:val="006E751F"/>
    <w:rsid w:val="006E7F92"/>
    <w:rsid w:val="006F0EED"/>
    <w:rsid w:val="006F2DA3"/>
    <w:rsid w:val="006F2F70"/>
    <w:rsid w:val="006F3822"/>
    <w:rsid w:val="006F58BD"/>
    <w:rsid w:val="006F5C5A"/>
    <w:rsid w:val="006F6DF8"/>
    <w:rsid w:val="006F7702"/>
    <w:rsid w:val="006F7883"/>
    <w:rsid w:val="006F7BA7"/>
    <w:rsid w:val="006F7D20"/>
    <w:rsid w:val="007003F3"/>
    <w:rsid w:val="00700B79"/>
    <w:rsid w:val="00700E3A"/>
    <w:rsid w:val="00700F25"/>
    <w:rsid w:val="00701C53"/>
    <w:rsid w:val="00701E58"/>
    <w:rsid w:val="007034E4"/>
    <w:rsid w:val="00703B39"/>
    <w:rsid w:val="007042EB"/>
    <w:rsid w:val="007046E0"/>
    <w:rsid w:val="0070473C"/>
    <w:rsid w:val="00704F5D"/>
    <w:rsid w:val="00705020"/>
    <w:rsid w:val="007051A6"/>
    <w:rsid w:val="00705401"/>
    <w:rsid w:val="007060B1"/>
    <w:rsid w:val="007071B2"/>
    <w:rsid w:val="0071105B"/>
    <w:rsid w:val="00711AB8"/>
    <w:rsid w:val="00711DBD"/>
    <w:rsid w:val="00711E85"/>
    <w:rsid w:val="00712122"/>
    <w:rsid w:val="00713CDA"/>
    <w:rsid w:val="007146EC"/>
    <w:rsid w:val="007147E1"/>
    <w:rsid w:val="0071495C"/>
    <w:rsid w:val="00714F22"/>
    <w:rsid w:val="00715217"/>
    <w:rsid w:val="0071553E"/>
    <w:rsid w:val="007156A6"/>
    <w:rsid w:val="00715EAA"/>
    <w:rsid w:val="007167D2"/>
    <w:rsid w:val="007167DC"/>
    <w:rsid w:val="00716BF1"/>
    <w:rsid w:val="0071738E"/>
    <w:rsid w:val="007207A5"/>
    <w:rsid w:val="0072081D"/>
    <w:rsid w:val="0072159F"/>
    <w:rsid w:val="00721D7F"/>
    <w:rsid w:val="007220AB"/>
    <w:rsid w:val="007221F7"/>
    <w:rsid w:val="0072243C"/>
    <w:rsid w:val="00722A0C"/>
    <w:rsid w:val="00722C41"/>
    <w:rsid w:val="00723E11"/>
    <w:rsid w:val="00724318"/>
    <w:rsid w:val="0072489B"/>
    <w:rsid w:val="00724947"/>
    <w:rsid w:val="00724C6F"/>
    <w:rsid w:val="0072583E"/>
    <w:rsid w:val="00726B75"/>
    <w:rsid w:val="00730194"/>
    <w:rsid w:val="007306B3"/>
    <w:rsid w:val="0073204E"/>
    <w:rsid w:val="007326E1"/>
    <w:rsid w:val="00732764"/>
    <w:rsid w:val="00732F5A"/>
    <w:rsid w:val="007338A3"/>
    <w:rsid w:val="00733E90"/>
    <w:rsid w:val="00733EE3"/>
    <w:rsid w:val="00734107"/>
    <w:rsid w:val="00735417"/>
    <w:rsid w:val="007359F3"/>
    <w:rsid w:val="00736687"/>
    <w:rsid w:val="00737664"/>
    <w:rsid w:val="007377BC"/>
    <w:rsid w:val="00737C12"/>
    <w:rsid w:val="007406D0"/>
    <w:rsid w:val="007418D7"/>
    <w:rsid w:val="007421C7"/>
    <w:rsid w:val="0074266D"/>
    <w:rsid w:val="00742CB9"/>
    <w:rsid w:val="00744340"/>
    <w:rsid w:val="00744372"/>
    <w:rsid w:val="007444AB"/>
    <w:rsid w:val="00745AC2"/>
    <w:rsid w:val="00745B1F"/>
    <w:rsid w:val="00745BCA"/>
    <w:rsid w:val="007462A3"/>
    <w:rsid w:val="00746443"/>
    <w:rsid w:val="00746542"/>
    <w:rsid w:val="007472F5"/>
    <w:rsid w:val="00750D8B"/>
    <w:rsid w:val="00751945"/>
    <w:rsid w:val="00751BA8"/>
    <w:rsid w:val="00751CCF"/>
    <w:rsid w:val="007522A8"/>
    <w:rsid w:val="00753F98"/>
    <w:rsid w:val="0075506A"/>
    <w:rsid w:val="00755C70"/>
    <w:rsid w:val="00755E4C"/>
    <w:rsid w:val="0075613D"/>
    <w:rsid w:val="00756527"/>
    <w:rsid w:val="007569F3"/>
    <w:rsid w:val="0075742E"/>
    <w:rsid w:val="00757613"/>
    <w:rsid w:val="007604F6"/>
    <w:rsid w:val="00760536"/>
    <w:rsid w:val="0076062B"/>
    <w:rsid w:val="00760939"/>
    <w:rsid w:val="00760A5F"/>
    <w:rsid w:val="00760B04"/>
    <w:rsid w:val="00760B37"/>
    <w:rsid w:val="00761110"/>
    <w:rsid w:val="007612FD"/>
    <w:rsid w:val="0076135B"/>
    <w:rsid w:val="00761407"/>
    <w:rsid w:val="00761B5B"/>
    <w:rsid w:val="00761D4E"/>
    <w:rsid w:val="00761FE5"/>
    <w:rsid w:val="0076261F"/>
    <w:rsid w:val="00762849"/>
    <w:rsid w:val="007629C7"/>
    <w:rsid w:val="007645C8"/>
    <w:rsid w:val="007655C8"/>
    <w:rsid w:val="00765721"/>
    <w:rsid w:val="0076688F"/>
    <w:rsid w:val="0076689A"/>
    <w:rsid w:val="00766B1F"/>
    <w:rsid w:val="007671C1"/>
    <w:rsid w:val="00767B2B"/>
    <w:rsid w:val="00767CD3"/>
    <w:rsid w:val="00767D34"/>
    <w:rsid w:val="00770093"/>
    <w:rsid w:val="007703A1"/>
    <w:rsid w:val="00770534"/>
    <w:rsid w:val="00770D0B"/>
    <w:rsid w:val="0077129C"/>
    <w:rsid w:val="0077171A"/>
    <w:rsid w:val="00771730"/>
    <w:rsid w:val="00771AED"/>
    <w:rsid w:val="00771B49"/>
    <w:rsid w:val="007721A4"/>
    <w:rsid w:val="007722CA"/>
    <w:rsid w:val="0077285F"/>
    <w:rsid w:val="007728C3"/>
    <w:rsid w:val="00772A9F"/>
    <w:rsid w:val="00772B14"/>
    <w:rsid w:val="007733F0"/>
    <w:rsid w:val="00775165"/>
    <w:rsid w:val="00775539"/>
    <w:rsid w:val="00776BDA"/>
    <w:rsid w:val="00776DCA"/>
    <w:rsid w:val="007774B5"/>
    <w:rsid w:val="00780090"/>
    <w:rsid w:val="00780E9B"/>
    <w:rsid w:val="0078120A"/>
    <w:rsid w:val="007819D3"/>
    <w:rsid w:val="00781B87"/>
    <w:rsid w:val="00781BC8"/>
    <w:rsid w:val="00782E64"/>
    <w:rsid w:val="00783C1A"/>
    <w:rsid w:val="0078530C"/>
    <w:rsid w:val="007854B0"/>
    <w:rsid w:val="00785833"/>
    <w:rsid w:val="007861BB"/>
    <w:rsid w:val="007873CD"/>
    <w:rsid w:val="00787B79"/>
    <w:rsid w:val="0079066C"/>
    <w:rsid w:val="00790DD7"/>
    <w:rsid w:val="00790E61"/>
    <w:rsid w:val="00790E81"/>
    <w:rsid w:val="00793975"/>
    <w:rsid w:val="00793BD7"/>
    <w:rsid w:val="007942C8"/>
    <w:rsid w:val="00795087"/>
    <w:rsid w:val="007952DE"/>
    <w:rsid w:val="00795A80"/>
    <w:rsid w:val="00795AD6"/>
    <w:rsid w:val="00795E81"/>
    <w:rsid w:val="00796299"/>
    <w:rsid w:val="007964C1"/>
    <w:rsid w:val="00796A52"/>
    <w:rsid w:val="00796B23"/>
    <w:rsid w:val="00796FBC"/>
    <w:rsid w:val="007A0906"/>
    <w:rsid w:val="007A110E"/>
    <w:rsid w:val="007A116E"/>
    <w:rsid w:val="007A1C47"/>
    <w:rsid w:val="007A2CB1"/>
    <w:rsid w:val="007A2D04"/>
    <w:rsid w:val="007A2E57"/>
    <w:rsid w:val="007A32F5"/>
    <w:rsid w:val="007A34FE"/>
    <w:rsid w:val="007A39F2"/>
    <w:rsid w:val="007A3B09"/>
    <w:rsid w:val="007A42CA"/>
    <w:rsid w:val="007A45B9"/>
    <w:rsid w:val="007A4889"/>
    <w:rsid w:val="007A49DE"/>
    <w:rsid w:val="007A6026"/>
    <w:rsid w:val="007A66E5"/>
    <w:rsid w:val="007A6C37"/>
    <w:rsid w:val="007A6EED"/>
    <w:rsid w:val="007B0943"/>
    <w:rsid w:val="007B0DC6"/>
    <w:rsid w:val="007B0F1C"/>
    <w:rsid w:val="007B1606"/>
    <w:rsid w:val="007B1D45"/>
    <w:rsid w:val="007B3BFB"/>
    <w:rsid w:val="007B4357"/>
    <w:rsid w:val="007B4665"/>
    <w:rsid w:val="007B48FE"/>
    <w:rsid w:val="007B4BA5"/>
    <w:rsid w:val="007B4C13"/>
    <w:rsid w:val="007B4E37"/>
    <w:rsid w:val="007B504D"/>
    <w:rsid w:val="007B5114"/>
    <w:rsid w:val="007B5276"/>
    <w:rsid w:val="007B56C9"/>
    <w:rsid w:val="007B6020"/>
    <w:rsid w:val="007B65A0"/>
    <w:rsid w:val="007B6CE4"/>
    <w:rsid w:val="007B7893"/>
    <w:rsid w:val="007C0098"/>
    <w:rsid w:val="007C0E68"/>
    <w:rsid w:val="007C14CE"/>
    <w:rsid w:val="007C3188"/>
    <w:rsid w:val="007C3B53"/>
    <w:rsid w:val="007C431E"/>
    <w:rsid w:val="007C4CC3"/>
    <w:rsid w:val="007C7700"/>
    <w:rsid w:val="007C7E6D"/>
    <w:rsid w:val="007D0385"/>
    <w:rsid w:val="007D04FE"/>
    <w:rsid w:val="007D05CC"/>
    <w:rsid w:val="007D19A7"/>
    <w:rsid w:val="007D1A43"/>
    <w:rsid w:val="007D205E"/>
    <w:rsid w:val="007D2BB7"/>
    <w:rsid w:val="007D2D07"/>
    <w:rsid w:val="007D2E14"/>
    <w:rsid w:val="007D312D"/>
    <w:rsid w:val="007D426E"/>
    <w:rsid w:val="007D4372"/>
    <w:rsid w:val="007D43DD"/>
    <w:rsid w:val="007D49AA"/>
    <w:rsid w:val="007D54F3"/>
    <w:rsid w:val="007D5B78"/>
    <w:rsid w:val="007E0B49"/>
    <w:rsid w:val="007E0FAC"/>
    <w:rsid w:val="007E0FE7"/>
    <w:rsid w:val="007E1821"/>
    <w:rsid w:val="007E1AAB"/>
    <w:rsid w:val="007E23E9"/>
    <w:rsid w:val="007E24E2"/>
    <w:rsid w:val="007E2AEB"/>
    <w:rsid w:val="007E3E0D"/>
    <w:rsid w:val="007E4FCC"/>
    <w:rsid w:val="007E521D"/>
    <w:rsid w:val="007E579E"/>
    <w:rsid w:val="007E60C2"/>
    <w:rsid w:val="007E7692"/>
    <w:rsid w:val="007E7DC2"/>
    <w:rsid w:val="007F188C"/>
    <w:rsid w:val="007F1ECC"/>
    <w:rsid w:val="007F24F7"/>
    <w:rsid w:val="007F26C0"/>
    <w:rsid w:val="007F3BB4"/>
    <w:rsid w:val="007F3E9C"/>
    <w:rsid w:val="007F41DF"/>
    <w:rsid w:val="007F4812"/>
    <w:rsid w:val="007F4A07"/>
    <w:rsid w:val="007F4E77"/>
    <w:rsid w:val="007F4F67"/>
    <w:rsid w:val="007F6037"/>
    <w:rsid w:val="007F62A5"/>
    <w:rsid w:val="007F6C91"/>
    <w:rsid w:val="007F6DC6"/>
    <w:rsid w:val="007F7585"/>
    <w:rsid w:val="007F7612"/>
    <w:rsid w:val="007F799F"/>
    <w:rsid w:val="007F7F87"/>
    <w:rsid w:val="008000C7"/>
    <w:rsid w:val="00800533"/>
    <w:rsid w:val="00800EA6"/>
    <w:rsid w:val="00801447"/>
    <w:rsid w:val="00801A17"/>
    <w:rsid w:val="008042DA"/>
    <w:rsid w:val="00804E7C"/>
    <w:rsid w:val="00805B8E"/>
    <w:rsid w:val="0080688C"/>
    <w:rsid w:val="00806F88"/>
    <w:rsid w:val="008079E5"/>
    <w:rsid w:val="0081020C"/>
    <w:rsid w:val="008103D7"/>
    <w:rsid w:val="00810E65"/>
    <w:rsid w:val="008116A0"/>
    <w:rsid w:val="0081193A"/>
    <w:rsid w:val="00811F1C"/>
    <w:rsid w:val="0081212D"/>
    <w:rsid w:val="00812A0F"/>
    <w:rsid w:val="00812BBB"/>
    <w:rsid w:val="00813906"/>
    <w:rsid w:val="008150AB"/>
    <w:rsid w:val="00815529"/>
    <w:rsid w:val="0081570D"/>
    <w:rsid w:val="00817645"/>
    <w:rsid w:val="00817F3E"/>
    <w:rsid w:val="00817FCD"/>
    <w:rsid w:val="0082132B"/>
    <w:rsid w:val="008215D7"/>
    <w:rsid w:val="00823A28"/>
    <w:rsid w:val="00823D39"/>
    <w:rsid w:val="00823E0B"/>
    <w:rsid w:val="00824333"/>
    <w:rsid w:val="0082458A"/>
    <w:rsid w:val="00824CD8"/>
    <w:rsid w:val="008256F9"/>
    <w:rsid w:val="00827012"/>
    <w:rsid w:val="008270F4"/>
    <w:rsid w:val="00827361"/>
    <w:rsid w:val="008274D5"/>
    <w:rsid w:val="00827673"/>
    <w:rsid w:val="00827E09"/>
    <w:rsid w:val="00831444"/>
    <w:rsid w:val="00831783"/>
    <w:rsid w:val="00831FCB"/>
    <w:rsid w:val="008325B5"/>
    <w:rsid w:val="00833880"/>
    <w:rsid w:val="00833BD8"/>
    <w:rsid w:val="00835013"/>
    <w:rsid w:val="0083523E"/>
    <w:rsid w:val="00835741"/>
    <w:rsid w:val="00835765"/>
    <w:rsid w:val="00835A81"/>
    <w:rsid w:val="0083623A"/>
    <w:rsid w:val="00836AD4"/>
    <w:rsid w:val="00836DC5"/>
    <w:rsid w:val="00837B84"/>
    <w:rsid w:val="00840300"/>
    <w:rsid w:val="00840644"/>
    <w:rsid w:val="00840807"/>
    <w:rsid w:val="00840C2D"/>
    <w:rsid w:val="00841023"/>
    <w:rsid w:val="008413C3"/>
    <w:rsid w:val="00841584"/>
    <w:rsid w:val="00842756"/>
    <w:rsid w:val="00842ED9"/>
    <w:rsid w:val="008435CF"/>
    <w:rsid w:val="00843A83"/>
    <w:rsid w:val="00844067"/>
    <w:rsid w:val="00844104"/>
    <w:rsid w:val="00844795"/>
    <w:rsid w:val="00844CAE"/>
    <w:rsid w:val="00845195"/>
    <w:rsid w:val="00846803"/>
    <w:rsid w:val="008475D7"/>
    <w:rsid w:val="0085081D"/>
    <w:rsid w:val="00850B98"/>
    <w:rsid w:val="00851A81"/>
    <w:rsid w:val="0085296F"/>
    <w:rsid w:val="00852C9B"/>
    <w:rsid w:val="008535EF"/>
    <w:rsid w:val="00853643"/>
    <w:rsid w:val="00853AC6"/>
    <w:rsid w:val="00853DC9"/>
    <w:rsid w:val="00853FF7"/>
    <w:rsid w:val="00854FFB"/>
    <w:rsid w:val="00855E2A"/>
    <w:rsid w:val="00855EDB"/>
    <w:rsid w:val="00855F45"/>
    <w:rsid w:val="00856139"/>
    <w:rsid w:val="00856E08"/>
    <w:rsid w:val="00861441"/>
    <w:rsid w:val="0086194F"/>
    <w:rsid w:val="0086272F"/>
    <w:rsid w:val="008628D3"/>
    <w:rsid w:val="00862B0E"/>
    <w:rsid w:val="00862E52"/>
    <w:rsid w:val="00863B53"/>
    <w:rsid w:val="00863DB0"/>
    <w:rsid w:val="00863F24"/>
    <w:rsid w:val="00864170"/>
    <w:rsid w:val="0086503C"/>
    <w:rsid w:val="008654E1"/>
    <w:rsid w:val="00865B36"/>
    <w:rsid w:val="00865D58"/>
    <w:rsid w:val="00865DFE"/>
    <w:rsid w:val="00866780"/>
    <w:rsid w:val="0086690E"/>
    <w:rsid w:val="00866FF5"/>
    <w:rsid w:val="00867E12"/>
    <w:rsid w:val="00870014"/>
    <w:rsid w:val="00870395"/>
    <w:rsid w:val="0087199E"/>
    <w:rsid w:val="008722DF"/>
    <w:rsid w:val="00872712"/>
    <w:rsid w:val="00873065"/>
    <w:rsid w:val="00874EFF"/>
    <w:rsid w:val="0087567A"/>
    <w:rsid w:val="00875E8A"/>
    <w:rsid w:val="008765B2"/>
    <w:rsid w:val="0087759F"/>
    <w:rsid w:val="00877B45"/>
    <w:rsid w:val="00877BB2"/>
    <w:rsid w:val="00877C38"/>
    <w:rsid w:val="008800C5"/>
    <w:rsid w:val="0088028A"/>
    <w:rsid w:val="00880FD8"/>
    <w:rsid w:val="008814CB"/>
    <w:rsid w:val="00881708"/>
    <w:rsid w:val="00881ABA"/>
    <w:rsid w:val="00881F3C"/>
    <w:rsid w:val="008843D5"/>
    <w:rsid w:val="00885084"/>
    <w:rsid w:val="00885FE4"/>
    <w:rsid w:val="0088662A"/>
    <w:rsid w:val="008867B8"/>
    <w:rsid w:val="00886F5F"/>
    <w:rsid w:val="0088726F"/>
    <w:rsid w:val="008874B6"/>
    <w:rsid w:val="008879E3"/>
    <w:rsid w:val="0089016F"/>
    <w:rsid w:val="0089033D"/>
    <w:rsid w:val="00891A8A"/>
    <w:rsid w:val="00891B9C"/>
    <w:rsid w:val="00891E1C"/>
    <w:rsid w:val="008920BA"/>
    <w:rsid w:val="0089231A"/>
    <w:rsid w:val="00893BAE"/>
    <w:rsid w:val="00894CDC"/>
    <w:rsid w:val="00895296"/>
    <w:rsid w:val="00895A85"/>
    <w:rsid w:val="00896A28"/>
    <w:rsid w:val="00896A76"/>
    <w:rsid w:val="00896C58"/>
    <w:rsid w:val="00896D3D"/>
    <w:rsid w:val="0089717E"/>
    <w:rsid w:val="008975F1"/>
    <w:rsid w:val="008A09B7"/>
    <w:rsid w:val="008A168F"/>
    <w:rsid w:val="008A3431"/>
    <w:rsid w:val="008A385D"/>
    <w:rsid w:val="008A3AC5"/>
    <w:rsid w:val="008A428B"/>
    <w:rsid w:val="008A454C"/>
    <w:rsid w:val="008A45E1"/>
    <w:rsid w:val="008A50FC"/>
    <w:rsid w:val="008A5475"/>
    <w:rsid w:val="008A6297"/>
    <w:rsid w:val="008A6386"/>
    <w:rsid w:val="008A6528"/>
    <w:rsid w:val="008A6FA2"/>
    <w:rsid w:val="008A7174"/>
    <w:rsid w:val="008A748B"/>
    <w:rsid w:val="008A787E"/>
    <w:rsid w:val="008A7AE9"/>
    <w:rsid w:val="008A7CB3"/>
    <w:rsid w:val="008A7D0F"/>
    <w:rsid w:val="008A7EFD"/>
    <w:rsid w:val="008B021E"/>
    <w:rsid w:val="008B024C"/>
    <w:rsid w:val="008B031B"/>
    <w:rsid w:val="008B03B8"/>
    <w:rsid w:val="008B121E"/>
    <w:rsid w:val="008B1224"/>
    <w:rsid w:val="008B1D85"/>
    <w:rsid w:val="008B23AC"/>
    <w:rsid w:val="008B24F4"/>
    <w:rsid w:val="008B251D"/>
    <w:rsid w:val="008B300F"/>
    <w:rsid w:val="008B35B6"/>
    <w:rsid w:val="008B39F7"/>
    <w:rsid w:val="008B3ED7"/>
    <w:rsid w:val="008B429C"/>
    <w:rsid w:val="008B4C12"/>
    <w:rsid w:val="008B4C8E"/>
    <w:rsid w:val="008B4CD9"/>
    <w:rsid w:val="008B570E"/>
    <w:rsid w:val="008B5DF8"/>
    <w:rsid w:val="008B6B07"/>
    <w:rsid w:val="008B6DDF"/>
    <w:rsid w:val="008B6F32"/>
    <w:rsid w:val="008C0166"/>
    <w:rsid w:val="008C029B"/>
    <w:rsid w:val="008C0550"/>
    <w:rsid w:val="008C0748"/>
    <w:rsid w:val="008C0BA0"/>
    <w:rsid w:val="008C2C87"/>
    <w:rsid w:val="008C2E72"/>
    <w:rsid w:val="008C3092"/>
    <w:rsid w:val="008C3E23"/>
    <w:rsid w:val="008C46FC"/>
    <w:rsid w:val="008C4A6D"/>
    <w:rsid w:val="008C512C"/>
    <w:rsid w:val="008C6348"/>
    <w:rsid w:val="008C672D"/>
    <w:rsid w:val="008C6AF1"/>
    <w:rsid w:val="008C7C37"/>
    <w:rsid w:val="008D0374"/>
    <w:rsid w:val="008D1F60"/>
    <w:rsid w:val="008D22A4"/>
    <w:rsid w:val="008D2C73"/>
    <w:rsid w:val="008D371A"/>
    <w:rsid w:val="008D3FE5"/>
    <w:rsid w:val="008D429C"/>
    <w:rsid w:val="008D5651"/>
    <w:rsid w:val="008D5D66"/>
    <w:rsid w:val="008D66A6"/>
    <w:rsid w:val="008D6792"/>
    <w:rsid w:val="008D68F5"/>
    <w:rsid w:val="008D69E8"/>
    <w:rsid w:val="008D7117"/>
    <w:rsid w:val="008D7337"/>
    <w:rsid w:val="008D79B3"/>
    <w:rsid w:val="008E0B5D"/>
    <w:rsid w:val="008E10E7"/>
    <w:rsid w:val="008E1796"/>
    <w:rsid w:val="008E1CB5"/>
    <w:rsid w:val="008E1E7E"/>
    <w:rsid w:val="008E231C"/>
    <w:rsid w:val="008E236B"/>
    <w:rsid w:val="008E2E92"/>
    <w:rsid w:val="008E36C3"/>
    <w:rsid w:val="008E3FC8"/>
    <w:rsid w:val="008E4064"/>
    <w:rsid w:val="008E4AD9"/>
    <w:rsid w:val="008E53BB"/>
    <w:rsid w:val="008E54B0"/>
    <w:rsid w:val="008E56B7"/>
    <w:rsid w:val="008E5A47"/>
    <w:rsid w:val="008F03BC"/>
    <w:rsid w:val="008F08CB"/>
    <w:rsid w:val="008F0A7E"/>
    <w:rsid w:val="008F0DF1"/>
    <w:rsid w:val="008F0EB7"/>
    <w:rsid w:val="008F1575"/>
    <w:rsid w:val="008F1E0A"/>
    <w:rsid w:val="008F1EF9"/>
    <w:rsid w:val="008F24A4"/>
    <w:rsid w:val="008F25ED"/>
    <w:rsid w:val="008F3344"/>
    <w:rsid w:val="008F43CC"/>
    <w:rsid w:val="008F46F2"/>
    <w:rsid w:val="008F4BA6"/>
    <w:rsid w:val="008F51ED"/>
    <w:rsid w:val="008F52A6"/>
    <w:rsid w:val="008F5C67"/>
    <w:rsid w:val="008F67DD"/>
    <w:rsid w:val="008F6BDC"/>
    <w:rsid w:val="008F6F8E"/>
    <w:rsid w:val="008F7926"/>
    <w:rsid w:val="008F7CCF"/>
    <w:rsid w:val="008F7E47"/>
    <w:rsid w:val="00900654"/>
    <w:rsid w:val="00901458"/>
    <w:rsid w:val="0090450A"/>
    <w:rsid w:val="00906447"/>
    <w:rsid w:val="009064C5"/>
    <w:rsid w:val="00906908"/>
    <w:rsid w:val="00906B26"/>
    <w:rsid w:val="00906DE4"/>
    <w:rsid w:val="0090742D"/>
    <w:rsid w:val="009077E2"/>
    <w:rsid w:val="00907B15"/>
    <w:rsid w:val="00910927"/>
    <w:rsid w:val="00911C80"/>
    <w:rsid w:val="00911E20"/>
    <w:rsid w:val="00911F41"/>
    <w:rsid w:val="00912195"/>
    <w:rsid w:val="00912449"/>
    <w:rsid w:val="0091248C"/>
    <w:rsid w:val="00912965"/>
    <w:rsid w:val="00912A16"/>
    <w:rsid w:val="00912DAF"/>
    <w:rsid w:val="0091348F"/>
    <w:rsid w:val="009135DE"/>
    <w:rsid w:val="00913A37"/>
    <w:rsid w:val="00913C28"/>
    <w:rsid w:val="00914454"/>
    <w:rsid w:val="009148DC"/>
    <w:rsid w:val="00915071"/>
    <w:rsid w:val="009151C3"/>
    <w:rsid w:val="0091546F"/>
    <w:rsid w:val="00915E78"/>
    <w:rsid w:val="00916203"/>
    <w:rsid w:val="009164A1"/>
    <w:rsid w:val="00916687"/>
    <w:rsid w:val="00916EDC"/>
    <w:rsid w:val="00917038"/>
    <w:rsid w:val="009174C4"/>
    <w:rsid w:val="00917649"/>
    <w:rsid w:val="00920150"/>
    <w:rsid w:val="0092056F"/>
    <w:rsid w:val="00920803"/>
    <w:rsid w:val="00920EF8"/>
    <w:rsid w:val="0092149F"/>
    <w:rsid w:val="009214A4"/>
    <w:rsid w:val="0092222B"/>
    <w:rsid w:val="009229EF"/>
    <w:rsid w:val="00923305"/>
    <w:rsid w:val="00923400"/>
    <w:rsid w:val="009263DB"/>
    <w:rsid w:val="009269F2"/>
    <w:rsid w:val="0092793F"/>
    <w:rsid w:val="00930956"/>
    <w:rsid w:val="00930FCB"/>
    <w:rsid w:val="00931398"/>
    <w:rsid w:val="00931951"/>
    <w:rsid w:val="00932418"/>
    <w:rsid w:val="009326D1"/>
    <w:rsid w:val="0093278D"/>
    <w:rsid w:val="00932E31"/>
    <w:rsid w:val="0093529A"/>
    <w:rsid w:val="00935398"/>
    <w:rsid w:val="00936423"/>
    <w:rsid w:val="00936852"/>
    <w:rsid w:val="00936F8B"/>
    <w:rsid w:val="009376DE"/>
    <w:rsid w:val="009377A2"/>
    <w:rsid w:val="00937906"/>
    <w:rsid w:val="00940935"/>
    <w:rsid w:val="00940C26"/>
    <w:rsid w:val="00940C64"/>
    <w:rsid w:val="009424C6"/>
    <w:rsid w:val="009428CE"/>
    <w:rsid w:val="009429BA"/>
    <w:rsid w:val="0094329F"/>
    <w:rsid w:val="00943D98"/>
    <w:rsid w:val="00944634"/>
    <w:rsid w:val="00944693"/>
    <w:rsid w:val="0094487D"/>
    <w:rsid w:val="00944B72"/>
    <w:rsid w:val="00944F6A"/>
    <w:rsid w:val="00945AA9"/>
    <w:rsid w:val="0094623A"/>
    <w:rsid w:val="00946288"/>
    <w:rsid w:val="00946C86"/>
    <w:rsid w:val="0094725B"/>
    <w:rsid w:val="00947590"/>
    <w:rsid w:val="0094786B"/>
    <w:rsid w:val="0095094C"/>
    <w:rsid w:val="00950A33"/>
    <w:rsid w:val="00950C7F"/>
    <w:rsid w:val="00951901"/>
    <w:rsid w:val="0095263A"/>
    <w:rsid w:val="00952720"/>
    <w:rsid w:val="0095280C"/>
    <w:rsid w:val="00952CE0"/>
    <w:rsid w:val="00952D0C"/>
    <w:rsid w:val="00954884"/>
    <w:rsid w:val="009555D6"/>
    <w:rsid w:val="009559FB"/>
    <w:rsid w:val="00955B83"/>
    <w:rsid w:val="00955D76"/>
    <w:rsid w:val="0095633F"/>
    <w:rsid w:val="00956490"/>
    <w:rsid w:val="0095654A"/>
    <w:rsid w:val="0095775D"/>
    <w:rsid w:val="00960169"/>
    <w:rsid w:val="0096093C"/>
    <w:rsid w:val="00960D04"/>
    <w:rsid w:val="00960E01"/>
    <w:rsid w:val="0096103D"/>
    <w:rsid w:val="00963755"/>
    <w:rsid w:val="009641D0"/>
    <w:rsid w:val="009644BA"/>
    <w:rsid w:val="00964807"/>
    <w:rsid w:val="00964912"/>
    <w:rsid w:val="00964B03"/>
    <w:rsid w:val="00964B3A"/>
    <w:rsid w:val="00966719"/>
    <w:rsid w:val="00966756"/>
    <w:rsid w:val="00966917"/>
    <w:rsid w:val="00966B6D"/>
    <w:rsid w:val="00967553"/>
    <w:rsid w:val="00967A42"/>
    <w:rsid w:val="00970246"/>
    <w:rsid w:val="00970E46"/>
    <w:rsid w:val="00971906"/>
    <w:rsid w:val="00971A38"/>
    <w:rsid w:val="00971D60"/>
    <w:rsid w:val="00972269"/>
    <w:rsid w:val="0097300B"/>
    <w:rsid w:val="009735A9"/>
    <w:rsid w:val="00973BA0"/>
    <w:rsid w:val="00974181"/>
    <w:rsid w:val="009741E7"/>
    <w:rsid w:val="00974327"/>
    <w:rsid w:val="0097471F"/>
    <w:rsid w:val="00974E7B"/>
    <w:rsid w:val="0097539D"/>
    <w:rsid w:val="00975B28"/>
    <w:rsid w:val="00976C76"/>
    <w:rsid w:val="009772B7"/>
    <w:rsid w:val="00977CBD"/>
    <w:rsid w:val="009807B3"/>
    <w:rsid w:val="0098164A"/>
    <w:rsid w:val="009832EE"/>
    <w:rsid w:val="00983414"/>
    <w:rsid w:val="00983E77"/>
    <w:rsid w:val="00983EDD"/>
    <w:rsid w:val="009842E9"/>
    <w:rsid w:val="00984752"/>
    <w:rsid w:val="009847B0"/>
    <w:rsid w:val="009847D5"/>
    <w:rsid w:val="009851CA"/>
    <w:rsid w:val="009854B5"/>
    <w:rsid w:val="00985AD1"/>
    <w:rsid w:val="009875F7"/>
    <w:rsid w:val="009903BC"/>
    <w:rsid w:val="00990F4A"/>
    <w:rsid w:val="00993262"/>
    <w:rsid w:val="00993523"/>
    <w:rsid w:val="00993599"/>
    <w:rsid w:val="00994275"/>
    <w:rsid w:val="009947CB"/>
    <w:rsid w:val="009949FD"/>
    <w:rsid w:val="00995AA9"/>
    <w:rsid w:val="00995E7A"/>
    <w:rsid w:val="00995F91"/>
    <w:rsid w:val="00996235"/>
    <w:rsid w:val="009972B2"/>
    <w:rsid w:val="00997FDD"/>
    <w:rsid w:val="009A08E6"/>
    <w:rsid w:val="009A37A2"/>
    <w:rsid w:val="009A3AC4"/>
    <w:rsid w:val="009A4443"/>
    <w:rsid w:val="009A457E"/>
    <w:rsid w:val="009A63F3"/>
    <w:rsid w:val="009A7F93"/>
    <w:rsid w:val="009B0069"/>
    <w:rsid w:val="009B0FF9"/>
    <w:rsid w:val="009B11DF"/>
    <w:rsid w:val="009B1C46"/>
    <w:rsid w:val="009B245B"/>
    <w:rsid w:val="009B2693"/>
    <w:rsid w:val="009B36F3"/>
    <w:rsid w:val="009B4692"/>
    <w:rsid w:val="009B56D4"/>
    <w:rsid w:val="009B5FE3"/>
    <w:rsid w:val="009B60E2"/>
    <w:rsid w:val="009B7369"/>
    <w:rsid w:val="009C00D0"/>
    <w:rsid w:val="009C0549"/>
    <w:rsid w:val="009C11F0"/>
    <w:rsid w:val="009C141E"/>
    <w:rsid w:val="009C1968"/>
    <w:rsid w:val="009C1DAC"/>
    <w:rsid w:val="009C2FCD"/>
    <w:rsid w:val="009C3436"/>
    <w:rsid w:val="009C352B"/>
    <w:rsid w:val="009C372A"/>
    <w:rsid w:val="009C3ABE"/>
    <w:rsid w:val="009C3C6B"/>
    <w:rsid w:val="009C4783"/>
    <w:rsid w:val="009C527D"/>
    <w:rsid w:val="009C5348"/>
    <w:rsid w:val="009C54B6"/>
    <w:rsid w:val="009C5E44"/>
    <w:rsid w:val="009C72EE"/>
    <w:rsid w:val="009C75DA"/>
    <w:rsid w:val="009C7AEC"/>
    <w:rsid w:val="009C7DF9"/>
    <w:rsid w:val="009D0152"/>
    <w:rsid w:val="009D0B4A"/>
    <w:rsid w:val="009D12B5"/>
    <w:rsid w:val="009D1AC6"/>
    <w:rsid w:val="009D21AB"/>
    <w:rsid w:val="009D21D0"/>
    <w:rsid w:val="009D34CD"/>
    <w:rsid w:val="009D49BA"/>
    <w:rsid w:val="009D4B7A"/>
    <w:rsid w:val="009D544D"/>
    <w:rsid w:val="009D59D5"/>
    <w:rsid w:val="009D5BD7"/>
    <w:rsid w:val="009D6529"/>
    <w:rsid w:val="009D6808"/>
    <w:rsid w:val="009D75BC"/>
    <w:rsid w:val="009D7B7F"/>
    <w:rsid w:val="009E019C"/>
    <w:rsid w:val="009E0DFD"/>
    <w:rsid w:val="009E1E0F"/>
    <w:rsid w:val="009E1F82"/>
    <w:rsid w:val="009E1FAA"/>
    <w:rsid w:val="009E22FE"/>
    <w:rsid w:val="009E2308"/>
    <w:rsid w:val="009E23B4"/>
    <w:rsid w:val="009E2740"/>
    <w:rsid w:val="009E2924"/>
    <w:rsid w:val="009E2AFE"/>
    <w:rsid w:val="009E3743"/>
    <w:rsid w:val="009E3B1E"/>
    <w:rsid w:val="009E47A7"/>
    <w:rsid w:val="009E499C"/>
    <w:rsid w:val="009E4E73"/>
    <w:rsid w:val="009E554B"/>
    <w:rsid w:val="009E5C0B"/>
    <w:rsid w:val="009E73F9"/>
    <w:rsid w:val="009F098F"/>
    <w:rsid w:val="009F1D39"/>
    <w:rsid w:val="009F27E5"/>
    <w:rsid w:val="009F34B8"/>
    <w:rsid w:val="009F427B"/>
    <w:rsid w:val="009F4BE5"/>
    <w:rsid w:val="009F57DA"/>
    <w:rsid w:val="009F5AA3"/>
    <w:rsid w:val="009F5C2E"/>
    <w:rsid w:val="009F617A"/>
    <w:rsid w:val="009F657E"/>
    <w:rsid w:val="009F6683"/>
    <w:rsid w:val="009F6F5E"/>
    <w:rsid w:val="009F7D50"/>
    <w:rsid w:val="009F7F2D"/>
    <w:rsid w:val="00A01094"/>
    <w:rsid w:val="00A018B3"/>
    <w:rsid w:val="00A021D6"/>
    <w:rsid w:val="00A023F4"/>
    <w:rsid w:val="00A0274B"/>
    <w:rsid w:val="00A02C01"/>
    <w:rsid w:val="00A03348"/>
    <w:rsid w:val="00A034CD"/>
    <w:rsid w:val="00A04C0E"/>
    <w:rsid w:val="00A0525C"/>
    <w:rsid w:val="00A0563D"/>
    <w:rsid w:val="00A05819"/>
    <w:rsid w:val="00A05F97"/>
    <w:rsid w:val="00A064A6"/>
    <w:rsid w:val="00A06AA9"/>
    <w:rsid w:val="00A06DF2"/>
    <w:rsid w:val="00A06FBF"/>
    <w:rsid w:val="00A077B7"/>
    <w:rsid w:val="00A07E6D"/>
    <w:rsid w:val="00A07EA2"/>
    <w:rsid w:val="00A10641"/>
    <w:rsid w:val="00A10F12"/>
    <w:rsid w:val="00A10F24"/>
    <w:rsid w:val="00A1236E"/>
    <w:rsid w:val="00A1330A"/>
    <w:rsid w:val="00A1332F"/>
    <w:rsid w:val="00A13611"/>
    <w:rsid w:val="00A138AE"/>
    <w:rsid w:val="00A1421E"/>
    <w:rsid w:val="00A1441A"/>
    <w:rsid w:val="00A148FA"/>
    <w:rsid w:val="00A164BF"/>
    <w:rsid w:val="00A1690F"/>
    <w:rsid w:val="00A17539"/>
    <w:rsid w:val="00A17887"/>
    <w:rsid w:val="00A17C39"/>
    <w:rsid w:val="00A17D07"/>
    <w:rsid w:val="00A17F88"/>
    <w:rsid w:val="00A20465"/>
    <w:rsid w:val="00A2285E"/>
    <w:rsid w:val="00A22A1C"/>
    <w:rsid w:val="00A22BF0"/>
    <w:rsid w:val="00A23008"/>
    <w:rsid w:val="00A23C34"/>
    <w:rsid w:val="00A23EC8"/>
    <w:rsid w:val="00A248A0"/>
    <w:rsid w:val="00A24E4D"/>
    <w:rsid w:val="00A2597E"/>
    <w:rsid w:val="00A25A31"/>
    <w:rsid w:val="00A26781"/>
    <w:rsid w:val="00A267D3"/>
    <w:rsid w:val="00A2704D"/>
    <w:rsid w:val="00A2796C"/>
    <w:rsid w:val="00A30364"/>
    <w:rsid w:val="00A30732"/>
    <w:rsid w:val="00A308E5"/>
    <w:rsid w:val="00A30B25"/>
    <w:rsid w:val="00A31A60"/>
    <w:rsid w:val="00A31AC3"/>
    <w:rsid w:val="00A33A16"/>
    <w:rsid w:val="00A33DA3"/>
    <w:rsid w:val="00A3489B"/>
    <w:rsid w:val="00A355B3"/>
    <w:rsid w:val="00A35985"/>
    <w:rsid w:val="00A36A22"/>
    <w:rsid w:val="00A37B5D"/>
    <w:rsid w:val="00A37D01"/>
    <w:rsid w:val="00A40399"/>
    <w:rsid w:val="00A4079B"/>
    <w:rsid w:val="00A420E9"/>
    <w:rsid w:val="00A4210E"/>
    <w:rsid w:val="00A4253C"/>
    <w:rsid w:val="00A42749"/>
    <w:rsid w:val="00A42C8E"/>
    <w:rsid w:val="00A42E23"/>
    <w:rsid w:val="00A43A83"/>
    <w:rsid w:val="00A43D4E"/>
    <w:rsid w:val="00A43F0F"/>
    <w:rsid w:val="00A451F7"/>
    <w:rsid w:val="00A468BD"/>
    <w:rsid w:val="00A471BD"/>
    <w:rsid w:val="00A476FB"/>
    <w:rsid w:val="00A478AF"/>
    <w:rsid w:val="00A47E9E"/>
    <w:rsid w:val="00A47F46"/>
    <w:rsid w:val="00A47FF7"/>
    <w:rsid w:val="00A50738"/>
    <w:rsid w:val="00A50BFA"/>
    <w:rsid w:val="00A5112C"/>
    <w:rsid w:val="00A51299"/>
    <w:rsid w:val="00A5222B"/>
    <w:rsid w:val="00A52E69"/>
    <w:rsid w:val="00A53061"/>
    <w:rsid w:val="00A53408"/>
    <w:rsid w:val="00A554B1"/>
    <w:rsid w:val="00A56222"/>
    <w:rsid w:val="00A56957"/>
    <w:rsid w:val="00A56B41"/>
    <w:rsid w:val="00A56B4D"/>
    <w:rsid w:val="00A576BC"/>
    <w:rsid w:val="00A5773A"/>
    <w:rsid w:val="00A5788E"/>
    <w:rsid w:val="00A578FB"/>
    <w:rsid w:val="00A601F5"/>
    <w:rsid w:val="00A60819"/>
    <w:rsid w:val="00A60900"/>
    <w:rsid w:val="00A60CCE"/>
    <w:rsid w:val="00A610F1"/>
    <w:rsid w:val="00A61567"/>
    <w:rsid w:val="00A6164F"/>
    <w:rsid w:val="00A61F4C"/>
    <w:rsid w:val="00A62EE4"/>
    <w:rsid w:val="00A63E39"/>
    <w:rsid w:val="00A63F41"/>
    <w:rsid w:val="00A651BA"/>
    <w:rsid w:val="00A658B6"/>
    <w:rsid w:val="00A65B19"/>
    <w:rsid w:val="00A65C9D"/>
    <w:rsid w:val="00A66500"/>
    <w:rsid w:val="00A666B7"/>
    <w:rsid w:val="00A6673A"/>
    <w:rsid w:val="00A701AA"/>
    <w:rsid w:val="00A70D88"/>
    <w:rsid w:val="00A715DF"/>
    <w:rsid w:val="00A73238"/>
    <w:rsid w:val="00A734C7"/>
    <w:rsid w:val="00A74198"/>
    <w:rsid w:val="00A742F0"/>
    <w:rsid w:val="00A74388"/>
    <w:rsid w:val="00A74E03"/>
    <w:rsid w:val="00A750E1"/>
    <w:rsid w:val="00A75828"/>
    <w:rsid w:val="00A75EE3"/>
    <w:rsid w:val="00A76285"/>
    <w:rsid w:val="00A8002F"/>
    <w:rsid w:val="00A802B5"/>
    <w:rsid w:val="00A80F33"/>
    <w:rsid w:val="00A8133A"/>
    <w:rsid w:val="00A81D8D"/>
    <w:rsid w:val="00A827A6"/>
    <w:rsid w:val="00A83106"/>
    <w:rsid w:val="00A83288"/>
    <w:rsid w:val="00A84100"/>
    <w:rsid w:val="00A8509F"/>
    <w:rsid w:val="00A8569B"/>
    <w:rsid w:val="00A85D9F"/>
    <w:rsid w:val="00A8617E"/>
    <w:rsid w:val="00A8625A"/>
    <w:rsid w:val="00A86A35"/>
    <w:rsid w:val="00A86B1E"/>
    <w:rsid w:val="00A86CBC"/>
    <w:rsid w:val="00A86F81"/>
    <w:rsid w:val="00A8704F"/>
    <w:rsid w:val="00A8753E"/>
    <w:rsid w:val="00A87682"/>
    <w:rsid w:val="00A87969"/>
    <w:rsid w:val="00A9009F"/>
    <w:rsid w:val="00A90730"/>
    <w:rsid w:val="00A908A1"/>
    <w:rsid w:val="00A914C1"/>
    <w:rsid w:val="00A927FC"/>
    <w:rsid w:val="00A929D1"/>
    <w:rsid w:val="00A95362"/>
    <w:rsid w:val="00A95675"/>
    <w:rsid w:val="00A95DDE"/>
    <w:rsid w:val="00A969B5"/>
    <w:rsid w:val="00A969C9"/>
    <w:rsid w:val="00AA0787"/>
    <w:rsid w:val="00AA0A27"/>
    <w:rsid w:val="00AA0E40"/>
    <w:rsid w:val="00AA102E"/>
    <w:rsid w:val="00AA1254"/>
    <w:rsid w:val="00AA193D"/>
    <w:rsid w:val="00AA1DBF"/>
    <w:rsid w:val="00AA1FDA"/>
    <w:rsid w:val="00AA24AE"/>
    <w:rsid w:val="00AA2E35"/>
    <w:rsid w:val="00AA379D"/>
    <w:rsid w:val="00AA4763"/>
    <w:rsid w:val="00AA4886"/>
    <w:rsid w:val="00AA5917"/>
    <w:rsid w:val="00AA6F31"/>
    <w:rsid w:val="00AA6F95"/>
    <w:rsid w:val="00AA72BE"/>
    <w:rsid w:val="00AA7A5F"/>
    <w:rsid w:val="00AA7B5E"/>
    <w:rsid w:val="00AA7EBB"/>
    <w:rsid w:val="00AB0227"/>
    <w:rsid w:val="00AB0CEA"/>
    <w:rsid w:val="00AB15EC"/>
    <w:rsid w:val="00AB2786"/>
    <w:rsid w:val="00AB3287"/>
    <w:rsid w:val="00AB333E"/>
    <w:rsid w:val="00AB3AA9"/>
    <w:rsid w:val="00AB3CAA"/>
    <w:rsid w:val="00AB3F83"/>
    <w:rsid w:val="00AB4409"/>
    <w:rsid w:val="00AB46FE"/>
    <w:rsid w:val="00AB4DE4"/>
    <w:rsid w:val="00AB5421"/>
    <w:rsid w:val="00AB54A4"/>
    <w:rsid w:val="00AB575E"/>
    <w:rsid w:val="00AB63BC"/>
    <w:rsid w:val="00AB7F67"/>
    <w:rsid w:val="00AC0077"/>
    <w:rsid w:val="00AC08E4"/>
    <w:rsid w:val="00AC1C76"/>
    <w:rsid w:val="00AC2707"/>
    <w:rsid w:val="00AC27E4"/>
    <w:rsid w:val="00AC2DEC"/>
    <w:rsid w:val="00AC2E7C"/>
    <w:rsid w:val="00AC32B2"/>
    <w:rsid w:val="00AC4B39"/>
    <w:rsid w:val="00AC4EE2"/>
    <w:rsid w:val="00AC511C"/>
    <w:rsid w:val="00AC57A1"/>
    <w:rsid w:val="00AC6E1D"/>
    <w:rsid w:val="00AC7D57"/>
    <w:rsid w:val="00AC7DAD"/>
    <w:rsid w:val="00AC7E20"/>
    <w:rsid w:val="00AD1A82"/>
    <w:rsid w:val="00AD1CB0"/>
    <w:rsid w:val="00AD1EA4"/>
    <w:rsid w:val="00AD2753"/>
    <w:rsid w:val="00AD30CD"/>
    <w:rsid w:val="00AD34F5"/>
    <w:rsid w:val="00AD371E"/>
    <w:rsid w:val="00AD38B2"/>
    <w:rsid w:val="00AD39AF"/>
    <w:rsid w:val="00AD513E"/>
    <w:rsid w:val="00AD5557"/>
    <w:rsid w:val="00AD6143"/>
    <w:rsid w:val="00AD6783"/>
    <w:rsid w:val="00AD7371"/>
    <w:rsid w:val="00AD7BD9"/>
    <w:rsid w:val="00AD7DAC"/>
    <w:rsid w:val="00AD7F2C"/>
    <w:rsid w:val="00AE0872"/>
    <w:rsid w:val="00AE0BD3"/>
    <w:rsid w:val="00AE1684"/>
    <w:rsid w:val="00AE2946"/>
    <w:rsid w:val="00AE2A4F"/>
    <w:rsid w:val="00AE2FE6"/>
    <w:rsid w:val="00AE38A0"/>
    <w:rsid w:val="00AE3F66"/>
    <w:rsid w:val="00AE45F4"/>
    <w:rsid w:val="00AE49ED"/>
    <w:rsid w:val="00AE5582"/>
    <w:rsid w:val="00AE57CE"/>
    <w:rsid w:val="00AE5D53"/>
    <w:rsid w:val="00AE64A4"/>
    <w:rsid w:val="00AE7396"/>
    <w:rsid w:val="00AE7B0C"/>
    <w:rsid w:val="00AE7B67"/>
    <w:rsid w:val="00AF0044"/>
    <w:rsid w:val="00AF0080"/>
    <w:rsid w:val="00AF03A1"/>
    <w:rsid w:val="00AF0651"/>
    <w:rsid w:val="00AF0A29"/>
    <w:rsid w:val="00AF1091"/>
    <w:rsid w:val="00AF2662"/>
    <w:rsid w:val="00AF2930"/>
    <w:rsid w:val="00AF3BE1"/>
    <w:rsid w:val="00AF486B"/>
    <w:rsid w:val="00AF4887"/>
    <w:rsid w:val="00AF4EA8"/>
    <w:rsid w:val="00AF5D23"/>
    <w:rsid w:val="00AF6754"/>
    <w:rsid w:val="00AF6AD7"/>
    <w:rsid w:val="00AF6FC1"/>
    <w:rsid w:val="00AF7398"/>
    <w:rsid w:val="00AF7E17"/>
    <w:rsid w:val="00B00CC2"/>
    <w:rsid w:val="00B01502"/>
    <w:rsid w:val="00B02604"/>
    <w:rsid w:val="00B02A0F"/>
    <w:rsid w:val="00B0481C"/>
    <w:rsid w:val="00B05769"/>
    <w:rsid w:val="00B05C39"/>
    <w:rsid w:val="00B05EC2"/>
    <w:rsid w:val="00B0611F"/>
    <w:rsid w:val="00B06703"/>
    <w:rsid w:val="00B06877"/>
    <w:rsid w:val="00B06EDB"/>
    <w:rsid w:val="00B072E9"/>
    <w:rsid w:val="00B073CA"/>
    <w:rsid w:val="00B07D66"/>
    <w:rsid w:val="00B102EE"/>
    <w:rsid w:val="00B10EB7"/>
    <w:rsid w:val="00B1186B"/>
    <w:rsid w:val="00B11E49"/>
    <w:rsid w:val="00B12191"/>
    <w:rsid w:val="00B12446"/>
    <w:rsid w:val="00B129A6"/>
    <w:rsid w:val="00B12BDA"/>
    <w:rsid w:val="00B12CA0"/>
    <w:rsid w:val="00B13217"/>
    <w:rsid w:val="00B13847"/>
    <w:rsid w:val="00B13B08"/>
    <w:rsid w:val="00B13B1A"/>
    <w:rsid w:val="00B13D91"/>
    <w:rsid w:val="00B13E30"/>
    <w:rsid w:val="00B13E80"/>
    <w:rsid w:val="00B1453F"/>
    <w:rsid w:val="00B15323"/>
    <w:rsid w:val="00B16240"/>
    <w:rsid w:val="00B1767B"/>
    <w:rsid w:val="00B17CD2"/>
    <w:rsid w:val="00B204BB"/>
    <w:rsid w:val="00B20B6E"/>
    <w:rsid w:val="00B20F34"/>
    <w:rsid w:val="00B2169F"/>
    <w:rsid w:val="00B23956"/>
    <w:rsid w:val="00B2489F"/>
    <w:rsid w:val="00B24A5F"/>
    <w:rsid w:val="00B254E7"/>
    <w:rsid w:val="00B267C7"/>
    <w:rsid w:val="00B269A0"/>
    <w:rsid w:val="00B26AD3"/>
    <w:rsid w:val="00B26CEB"/>
    <w:rsid w:val="00B26D82"/>
    <w:rsid w:val="00B2795A"/>
    <w:rsid w:val="00B30098"/>
    <w:rsid w:val="00B30419"/>
    <w:rsid w:val="00B30583"/>
    <w:rsid w:val="00B30664"/>
    <w:rsid w:val="00B30824"/>
    <w:rsid w:val="00B3089E"/>
    <w:rsid w:val="00B30968"/>
    <w:rsid w:val="00B30B75"/>
    <w:rsid w:val="00B310CA"/>
    <w:rsid w:val="00B31C4C"/>
    <w:rsid w:val="00B31E42"/>
    <w:rsid w:val="00B31EA6"/>
    <w:rsid w:val="00B32853"/>
    <w:rsid w:val="00B32D8B"/>
    <w:rsid w:val="00B33AE0"/>
    <w:rsid w:val="00B350D9"/>
    <w:rsid w:val="00B355A2"/>
    <w:rsid w:val="00B35730"/>
    <w:rsid w:val="00B36F5B"/>
    <w:rsid w:val="00B37E10"/>
    <w:rsid w:val="00B400C4"/>
    <w:rsid w:val="00B40163"/>
    <w:rsid w:val="00B41637"/>
    <w:rsid w:val="00B418A9"/>
    <w:rsid w:val="00B41ACB"/>
    <w:rsid w:val="00B41D20"/>
    <w:rsid w:val="00B42220"/>
    <w:rsid w:val="00B4265F"/>
    <w:rsid w:val="00B432E9"/>
    <w:rsid w:val="00B441D7"/>
    <w:rsid w:val="00B44405"/>
    <w:rsid w:val="00B447B1"/>
    <w:rsid w:val="00B44FD2"/>
    <w:rsid w:val="00B45345"/>
    <w:rsid w:val="00B45780"/>
    <w:rsid w:val="00B45E1C"/>
    <w:rsid w:val="00B45E9D"/>
    <w:rsid w:val="00B45EA0"/>
    <w:rsid w:val="00B4646A"/>
    <w:rsid w:val="00B46CB5"/>
    <w:rsid w:val="00B46E15"/>
    <w:rsid w:val="00B46FD4"/>
    <w:rsid w:val="00B476CC"/>
    <w:rsid w:val="00B50518"/>
    <w:rsid w:val="00B50799"/>
    <w:rsid w:val="00B50E19"/>
    <w:rsid w:val="00B513C0"/>
    <w:rsid w:val="00B52EDD"/>
    <w:rsid w:val="00B53DEE"/>
    <w:rsid w:val="00B5523B"/>
    <w:rsid w:val="00B55EA2"/>
    <w:rsid w:val="00B56C34"/>
    <w:rsid w:val="00B57470"/>
    <w:rsid w:val="00B574F7"/>
    <w:rsid w:val="00B57615"/>
    <w:rsid w:val="00B600DA"/>
    <w:rsid w:val="00B603E4"/>
    <w:rsid w:val="00B61D54"/>
    <w:rsid w:val="00B62620"/>
    <w:rsid w:val="00B62854"/>
    <w:rsid w:val="00B62EE9"/>
    <w:rsid w:val="00B6494A"/>
    <w:rsid w:val="00B64C54"/>
    <w:rsid w:val="00B64E16"/>
    <w:rsid w:val="00B65982"/>
    <w:rsid w:val="00B65E6A"/>
    <w:rsid w:val="00B663DB"/>
    <w:rsid w:val="00B669E9"/>
    <w:rsid w:val="00B66CEE"/>
    <w:rsid w:val="00B67E78"/>
    <w:rsid w:val="00B70951"/>
    <w:rsid w:val="00B70A77"/>
    <w:rsid w:val="00B70E39"/>
    <w:rsid w:val="00B71BD8"/>
    <w:rsid w:val="00B7209D"/>
    <w:rsid w:val="00B725F0"/>
    <w:rsid w:val="00B725FD"/>
    <w:rsid w:val="00B72F28"/>
    <w:rsid w:val="00B73F2F"/>
    <w:rsid w:val="00B743FB"/>
    <w:rsid w:val="00B74CC7"/>
    <w:rsid w:val="00B7589B"/>
    <w:rsid w:val="00B758C2"/>
    <w:rsid w:val="00B75F23"/>
    <w:rsid w:val="00B76242"/>
    <w:rsid w:val="00B76688"/>
    <w:rsid w:val="00B76A0C"/>
    <w:rsid w:val="00B76C0C"/>
    <w:rsid w:val="00B76DA5"/>
    <w:rsid w:val="00B77330"/>
    <w:rsid w:val="00B7797D"/>
    <w:rsid w:val="00B805FC"/>
    <w:rsid w:val="00B83866"/>
    <w:rsid w:val="00B84196"/>
    <w:rsid w:val="00B84353"/>
    <w:rsid w:val="00B84400"/>
    <w:rsid w:val="00B859F9"/>
    <w:rsid w:val="00B86798"/>
    <w:rsid w:val="00B86914"/>
    <w:rsid w:val="00B87312"/>
    <w:rsid w:val="00B908FB"/>
    <w:rsid w:val="00B90FB9"/>
    <w:rsid w:val="00B930B9"/>
    <w:rsid w:val="00B937CE"/>
    <w:rsid w:val="00B93C94"/>
    <w:rsid w:val="00B93E52"/>
    <w:rsid w:val="00B94C34"/>
    <w:rsid w:val="00B94D53"/>
    <w:rsid w:val="00B95269"/>
    <w:rsid w:val="00B95C10"/>
    <w:rsid w:val="00B95FC6"/>
    <w:rsid w:val="00B963F6"/>
    <w:rsid w:val="00B965BD"/>
    <w:rsid w:val="00B96808"/>
    <w:rsid w:val="00B973F2"/>
    <w:rsid w:val="00B979FB"/>
    <w:rsid w:val="00BA0130"/>
    <w:rsid w:val="00BA0550"/>
    <w:rsid w:val="00BA068C"/>
    <w:rsid w:val="00BA0BD5"/>
    <w:rsid w:val="00BA1345"/>
    <w:rsid w:val="00BA178A"/>
    <w:rsid w:val="00BA2617"/>
    <w:rsid w:val="00BA311A"/>
    <w:rsid w:val="00BA37BC"/>
    <w:rsid w:val="00BA38B8"/>
    <w:rsid w:val="00BA3B01"/>
    <w:rsid w:val="00BA3DFB"/>
    <w:rsid w:val="00BA49C9"/>
    <w:rsid w:val="00BA4B67"/>
    <w:rsid w:val="00BA4F5C"/>
    <w:rsid w:val="00BA531D"/>
    <w:rsid w:val="00BA563A"/>
    <w:rsid w:val="00BA58F3"/>
    <w:rsid w:val="00BA5AE8"/>
    <w:rsid w:val="00BA6894"/>
    <w:rsid w:val="00BA716F"/>
    <w:rsid w:val="00BB0505"/>
    <w:rsid w:val="00BB190A"/>
    <w:rsid w:val="00BB2512"/>
    <w:rsid w:val="00BB3055"/>
    <w:rsid w:val="00BB360B"/>
    <w:rsid w:val="00BB3CB3"/>
    <w:rsid w:val="00BB3F07"/>
    <w:rsid w:val="00BB4687"/>
    <w:rsid w:val="00BB47C5"/>
    <w:rsid w:val="00BB4F6F"/>
    <w:rsid w:val="00BB56B3"/>
    <w:rsid w:val="00BB5B09"/>
    <w:rsid w:val="00BB5C3E"/>
    <w:rsid w:val="00BB5D03"/>
    <w:rsid w:val="00BB6B67"/>
    <w:rsid w:val="00BB6F18"/>
    <w:rsid w:val="00BB7670"/>
    <w:rsid w:val="00BB7FC9"/>
    <w:rsid w:val="00BB7FE0"/>
    <w:rsid w:val="00BC0012"/>
    <w:rsid w:val="00BC0D12"/>
    <w:rsid w:val="00BC129D"/>
    <w:rsid w:val="00BC2003"/>
    <w:rsid w:val="00BC2545"/>
    <w:rsid w:val="00BC259F"/>
    <w:rsid w:val="00BC27A6"/>
    <w:rsid w:val="00BC2A59"/>
    <w:rsid w:val="00BC2F4D"/>
    <w:rsid w:val="00BC2F5A"/>
    <w:rsid w:val="00BC3EF2"/>
    <w:rsid w:val="00BC41F3"/>
    <w:rsid w:val="00BC4E94"/>
    <w:rsid w:val="00BC5119"/>
    <w:rsid w:val="00BC65D9"/>
    <w:rsid w:val="00BC7698"/>
    <w:rsid w:val="00BC77B0"/>
    <w:rsid w:val="00BD0A93"/>
    <w:rsid w:val="00BD0A9F"/>
    <w:rsid w:val="00BD145A"/>
    <w:rsid w:val="00BD2049"/>
    <w:rsid w:val="00BD29D1"/>
    <w:rsid w:val="00BD3060"/>
    <w:rsid w:val="00BD31A4"/>
    <w:rsid w:val="00BD334B"/>
    <w:rsid w:val="00BD3489"/>
    <w:rsid w:val="00BD3E17"/>
    <w:rsid w:val="00BD3F5F"/>
    <w:rsid w:val="00BD4155"/>
    <w:rsid w:val="00BD4433"/>
    <w:rsid w:val="00BD4D8C"/>
    <w:rsid w:val="00BD4F85"/>
    <w:rsid w:val="00BD54CC"/>
    <w:rsid w:val="00BD62ED"/>
    <w:rsid w:val="00BD6317"/>
    <w:rsid w:val="00BD64DE"/>
    <w:rsid w:val="00BD781C"/>
    <w:rsid w:val="00BE03A5"/>
    <w:rsid w:val="00BE0BEE"/>
    <w:rsid w:val="00BE0CDE"/>
    <w:rsid w:val="00BE0E28"/>
    <w:rsid w:val="00BE24DB"/>
    <w:rsid w:val="00BE30A4"/>
    <w:rsid w:val="00BE39A5"/>
    <w:rsid w:val="00BE3AD0"/>
    <w:rsid w:val="00BE54FE"/>
    <w:rsid w:val="00BE672C"/>
    <w:rsid w:val="00BE67E2"/>
    <w:rsid w:val="00BE7128"/>
    <w:rsid w:val="00BE7FFA"/>
    <w:rsid w:val="00BF0D5F"/>
    <w:rsid w:val="00BF296E"/>
    <w:rsid w:val="00BF3585"/>
    <w:rsid w:val="00BF39E7"/>
    <w:rsid w:val="00BF59F1"/>
    <w:rsid w:val="00BF5D46"/>
    <w:rsid w:val="00BF6D15"/>
    <w:rsid w:val="00BF7A42"/>
    <w:rsid w:val="00C00B2B"/>
    <w:rsid w:val="00C016D7"/>
    <w:rsid w:val="00C0170B"/>
    <w:rsid w:val="00C031BC"/>
    <w:rsid w:val="00C03393"/>
    <w:rsid w:val="00C033A1"/>
    <w:rsid w:val="00C04037"/>
    <w:rsid w:val="00C04164"/>
    <w:rsid w:val="00C05F35"/>
    <w:rsid w:val="00C0662B"/>
    <w:rsid w:val="00C06BF9"/>
    <w:rsid w:val="00C1025A"/>
    <w:rsid w:val="00C109E1"/>
    <w:rsid w:val="00C1165D"/>
    <w:rsid w:val="00C1202C"/>
    <w:rsid w:val="00C126AF"/>
    <w:rsid w:val="00C1332C"/>
    <w:rsid w:val="00C138A6"/>
    <w:rsid w:val="00C13BAC"/>
    <w:rsid w:val="00C141A4"/>
    <w:rsid w:val="00C14CD1"/>
    <w:rsid w:val="00C14E77"/>
    <w:rsid w:val="00C1566B"/>
    <w:rsid w:val="00C1601B"/>
    <w:rsid w:val="00C1647F"/>
    <w:rsid w:val="00C16753"/>
    <w:rsid w:val="00C1786C"/>
    <w:rsid w:val="00C17C45"/>
    <w:rsid w:val="00C20AB5"/>
    <w:rsid w:val="00C20B46"/>
    <w:rsid w:val="00C21167"/>
    <w:rsid w:val="00C213C8"/>
    <w:rsid w:val="00C216CD"/>
    <w:rsid w:val="00C21833"/>
    <w:rsid w:val="00C21C8B"/>
    <w:rsid w:val="00C24A30"/>
    <w:rsid w:val="00C24BAE"/>
    <w:rsid w:val="00C257D7"/>
    <w:rsid w:val="00C26130"/>
    <w:rsid w:val="00C266CF"/>
    <w:rsid w:val="00C266F8"/>
    <w:rsid w:val="00C27142"/>
    <w:rsid w:val="00C27341"/>
    <w:rsid w:val="00C27525"/>
    <w:rsid w:val="00C27A6A"/>
    <w:rsid w:val="00C27C56"/>
    <w:rsid w:val="00C27F4B"/>
    <w:rsid w:val="00C3000C"/>
    <w:rsid w:val="00C3018E"/>
    <w:rsid w:val="00C30601"/>
    <w:rsid w:val="00C309D8"/>
    <w:rsid w:val="00C30DD5"/>
    <w:rsid w:val="00C30EA4"/>
    <w:rsid w:val="00C3189A"/>
    <w:rsid w:val="00C3274B"/>
    <w:rsid w:val="00C3275D"/>
    <w:rsid w:val="00C33627"/>
    <w:rsid w:val="00C33983"/>
    <w:rsid w:val="00C34F6E"/>
    <w:rsid w:val="00C34FA4"/>
    <w:rsid w:val="00C351BC"/>
    <w:rsid w:val="00C355CB"/>
    <w:rsid w:val="00C36004"/>
    <w:rsid w:val="00C368D2"/>
    <w:rsid w:val="00C36BDB"/>
    <w:rsid w:val="00C36D8C"/>
    <w:rsid w:val="00C36F1D"/>
    <w:rsid w:val="00C37067"/>
    <w:rsid w:val="00C370B7"/>
    <w:rsid w:val="00C370EC"/>
    <w:rsid w:val="00C378A9"/>
    <w:rsid w:val="00C40F35"/>
    <w:rsid w:val="00C4104B"/>
    <w:rsid w:val="00C410ED"/>
    <w:rsid w:val="00C41BEA"/>
    <w:rsid w:val="00C41F2D"/>
    <w:rsid w:val="00C421D1"/>
    <w:rsid w:val="00C423D1"/>
    <w:rsid w:val="00C42427"/>
    <w:rsid w:val="00C430DE"/>
    <w:rsid w:val="00C43109"/>
    <w:rsid w:val="00C43812"/>
    <w:rsid w:val="00C43B14"/>
    <w:rsid w:val="00C44095"/>
    <w:rsid w:val="00C444F4"/>
    <w:rsid w:val="00C44EFA"/>
    <w:rsid w:val="00C45306"/>
    <w:rsid w:val="00C45A2C"/>
    <w:rsid w:val="00C45F85"/>
    <w:rsid w:val="00C46527"/>
    <w:rsid w:val="00C46DCB"/>
    <w:rsid w:val="00C471C0"/>
    <w:rsid w:val="00C50875"/>
    <w:rsid w:val="00C50C8A"/>
    <w:rsid w:val="00C51A48"/>
    <w:rsid w:val="00C51BDD"/>
    <w:rsid w:val="00C51DE9"/>
    <w:rsid w:val="00C528B9"/>
    <w:rsid w:val="00C52D69"/>
    <w:rsid w:val="00C54843"/>
    <w:rsid w:val="00C54C98"/>
    <w:rsid w:val="00C54CC6"/>
    <w:rsid w:val="00C54DC4"/>
    <w:rsid w:val="00C566EA"/>
    <w:rsid w:val="00C56909"/>
    <w:rsid w:val="00C56C37"/>
    <w:rsid w:val="00C601C0"/>
    <w:rsid w:val="00C603EA"/>
    <w:rsid w:val="00C60433"/>
    <w:rsid w:val="00C60C58"/>
    <w:rsid w:val="00C61442"/>
    <w:rsid w:val="00C61FB3"/>
    <w:rsid w:val="00C6265E"/>
    <w:rsid w:val="00C62DDE"/>
    <w:rsid w:val="00C6333A"/>
    <w:rsid w:val="00C63C5B"/>
    <w:rsid w:val="00C64104"/>
    <w:rsid w:val="00C64816"/>
    <w:rsid w:val="00C64E22"/>
    <w:rsid w:val="00C65908"/>
    <w:rsid w:val="00C661A6"/>
    <w:rsid w:val="00C706D6"/>
    <w:rsid w:val="00C70EE7"/>
    <w:rsid w:val="00C71AA9"/>
    <w:rsid w:val="00C72971"/>
    <w:rsid w:val="00C72BDC"/>
    <w:rsid w:val="00C72BFA"/>
    <w:rsid w:val="00C749BB"/>
    <w:rsid w:val="00C74AE6"/>
    <w:rsid w:val="00C74B65"/>
    <w:rsid w:val="00C764C5"/>
    <w:rsid w:val="00C764EF"/>
    <w:rsid w:val="00C765E5"/>
    <w:rsid w:val="00C8051E"/>
    <w:rsid w:val="00C823ED"/>
    <w:rsid w:val="00C82551"/>
    <w:rsid w:val="00C825E8"/>
    <w:rsid w:val="00C826FF"/>
    <w:rsid w:val="00C8285A"/>
    <w:rsid w:val="00C82BB7"/>
    <w:rsid w:val="00C83439"/>
    <w:rsid w:val="00C8368B"/>
    <w:rsid w:val="00C8399A"/>
    <w:rsid w:val="00C83D22"/>
    <w:rsid w:val="00C83D4F"/>
    <w:rsid w:val="00C83EE5"/>
    <w:rsid w:val="00C84AB1"/>
    <w:rsid w:val="00C84CF6"/>
    <w:rsid w:val="00C85381"/>
    <w:rsid w:val="00C8561B"/>
    <w:rsid w:val="00C8585F"/>
    <w:rsid w:val="00C86642"/>
    <w:rsid w:val="00C86643"/>
    <w:rsid w:val="00C87889"/>
    <w:rsid w:val="00C87E1A"/>
    <w:rsid w:val="00C90B5C"/>
    <w:rsid w:val="00C9119A"/>
    <w:rsid w:val="00C914F5"/>
    <w:rsid w:val="00C9175C"/>
    <w:rsid w:val="00C92950"/>
    <w:rsid w:val="00C92A97"/>
    <w:rsid w:val="00C93438"/>
    <w:rsid w:val="00C93620"/>
    <w:rsid w:val="00C942DF"/>
    <w:rsid w:val="00C9437E"/>
    <w:rsid w:val="00C9451D"/>
    <w:rsid w:val="00C946FA"/>
    <w:rsid w:val="00C94B5C"/>
    <w:rsid w:val="00C94F58"/>
    <w:rsid w:val="00C95889"/>
    <w:rsid w:val="00C95964"/>
    <w:rsid w:val="00C968CB"/>
    <w:rsid w:val="00C96935"/>
    <w:rsid w:val="00C96975"/>
    <w:rsid w:val="00C96D94"/>
    <w:rsid w:val="00C9768D"/>
    <w:rsid w:val="00CA0916"/>
    <w:rsid w:val="00CA159C"/>
    <w:rsid w:val="00CA1BE6"/>
    <w:rsid w:val="00CA1C7D"/>
    <w:rsid w:val="00CA26AA"/>
    <w:rsid w:val="00CA279D"/>
    <w:rsid w:val="00CA364C"/>
    <w:rsid w:val="00CA378D"/>
    <w:rsid w:val="00CA38B7"/>
    <w:rsid w:val="00CA39A1"/>
    <w:rsid w:val="00CA483B"/>
    <w:rsid w:val="00CA49EE"/>
    <w:rsid w:val="00CA5526"/>
    <w:rsid w:val="00CA7879"/>
    <w:rsid w:val="00CA78DF"/>
    <w:rsid w:val="00CA7C3B"/>
    <w:rsid w:val="00CB01BF"/>
    <w:rsid w:val="00CB0641"/>
    <w:rsid w:val="00CB070E"/>
    <w:rsid w:val="00CB07BE"/>
    <w:rsid w:val="00CB0877"/>
    <w:rsid w:val="00CB19B4"/>
    <w:rsid w:val="00CB1EB8"/>
    <w:rsid w:val="00CB1F63"/>
    <w:rsid w:val="00CB3554"/>
    <w:rsid w:val="00CB3B2D"/>
    <w:rsid w:val="00CB3C45"/>
    <w:rsid w:val="00CB4461"/>
    <w:rsid w:val="00CB457E"/>
    <w:rsid w:val="00CB4757"/>
    <w:rsid w:val="00CB516D"/>
    <w:rsid w:val="00CB52F1"/>
    <w:rsid w:val="00CB5604"/>
    <w:rsid w:val="00CB5ABC"/>
    <w:rsid w:val="00CB6B22"/>
    <w:rsid w:val="00CB6DDA"/>
    <w:rsid w:val="00CB7A12"/>
    <w:rsid w:val="00CB7E7C"/>
    <w:rsid w:val="00CC00BF"/>
    <w:rsid w:val="00CC04B9"/>
    <w:rsid w:val="00CC054E"/>
    <w:rsid w:val="00CC0EAF"/>
    <w:rsid w:val="00CC1082"/>
    <w:rsid w:val="00CC1271"/>
    <w:rsid w:val="00CC2342"/>
    <w:rsid w:val="00CC25FC"/>
    <w:rsid w:val="00CC3EA3"/>
    <w:rsid w:val="00CC4709"/>
    <w:rsid w:val="00CC4B3A"/>
    <w:rsid w:val="00CC54F4"/>
    <w:rsid w:val="00CC7193"/>
    <w:rsid w:val="00CD052C"/>
    <w:rsid w:val="00CD0CD4"/>
    <w:rsid w:val="00CD1108"/>
    <w:rsid w:val="00CD120D"/>
    <w:rsid w:val="00CD1E57"/>
    <w:rsid w:val="00CD22E9"/>
    <w:rsid w:val="00CD2777"/>
    <w:rsid w:val="00CD2C13"/>
    <w:rsid w:val="00CD3BF9"/>
    <w:rsid w:val="00CD44A9"/>
    <w:rsid w:val="00CD44F2"/>
    <w:rsid w:val="00CD4F37"/>
    <w:rsid w:val="00CD5233"/>
    <w:rsid w:val="00CD52C3"/>
    <w:rsid w:val="00CD5C42"/>
    <w:rsid w:val="00CD5C8B"/>
    <w:rsid w:val="00CD6E7D"/>
    <w:rsid w:val="00CD728E"/>
    <w:rsid w:val="00CE003A"/>
    <w:rsid w:val="00CE04D2"/>
    <w:rsid w:val="00CE0701"/>
    <w:rsid w:val="00CE07E1"/>
    <w:rsid w:val="00CE207D"/>
    <w:rsid w:val="00CE2845"/>
    <w:rsid w:val="00CE2BE4"/>
    <w:rsid w:val="00CE367F"/>
    <w:rsid w:val="00CE415A"/>
    <w:rsid w:val="00CE4D9E"/>
    <w:rsid w:val="00CE6144"/>
    <w:rsid w:val="00CE67E5"/>
    <w:rsid w:val="00CE6D08"/>
    <w:rsid w:val="00CE6E02"/>
    <w:rsid w:val="00CE718B"/>
    <w:rsid w:val="00CE7441"/>
    <w:rsid w:val="00CE752E"/>
    <w:rsid w:val="00CE79FB"/>
    <w:rsid w:val="00CF043F"/>
    <w:rsid w:val="00CF04D4"/>
    <w:rsid w:val="00CF0635"/>
    <w:rsid w:val="00CF0CB1"/>
    <w:rsid w:val="00CF1124"/>
    <w:rsid w:val="00CF1204"/>
    <w:rsid w:val="00CF159D"/>
    <w:rsid w:val="00CF20BD"/>
    <w:rsid w:val="00CF3B6A"/>
    <w:rsid w:val="00CF3CD2"/>
    <w:rsid w:val="00CF47B1"/>
    <w:rsid w:val="00CF5050"/>
    <w:rsid w:val="00CF5124"/>
    <w:rsid w:val="00CF518E"/>
    <w:rsid w:val="00CF5866"/>
    <w:rsid w:val="00CF5E45"/>
    <w:rsid w:val="00CF661C"/>
    <w:rsid w:val="00CF6954"/>
    <w:rsid w:val="00CF6BF8"/>
    <w:rsid w:val="00CF7008"/>
    <w:rsid w:val="00CF7045"/>
    <w:rsid w:val="00CF7172"/>
    <w:rsid w:val="00CF78CF"/>
    <w:rsid w:val="00CF7C04"/>
    <w:rsid w:val="00D008EC"/>
    <w:rsid w:val="00D0094E"/>
    <w:rsid w:val="00D01567"/>
    <w:rsid w:val="00D0199D"/>
    <w:rsid w:val="00D01D18"/>
    <w:rsid w:val="00D01E21"/>
    <w:rsid w:val="00D0200C"/>
    <w:rsid w:val="00D0212E"/>
    <w:rsid w:val="00D02DB6"/>
    <w:rsid w:val="00D0334C"/>
    <w:rsid w:val="00D03E7F"/>
    <w:rsid w:val="00D04845"/>
    <w:rsid w:val="00D04B40"/>
    <w:rsid w:val="00D054C6"/>
    <w:rsid w:val="00D054E6"/>
    <w:rsid w:val="00D058AB"/>
    <w:rsid w:val="00D05E16"/>
    <w:rsid w:val="00D05EEF"/>
    <w:rsid w:val="00D06537"/>
    <w:rsid w:val="00D0667C"/>
    <w:rsid w:val="00D067EE"/>
    <w:rsid w:val="00D06D16"/>
    <w:rsid w:val="00D0742B"/>
    <w:rsid w:val="00D07858"/>
    <w:rsid w:val="00D07CBB"/>
    <w:rsid w:val="00D10D4E"/>
    <w:rsid w:val="00D1180C"/>
    <w:rsid w:val="00D12095"/>
    <w:rsid w:val="00D13846"/>
    <w:rsid w:val="00D13BBB"/>
    <w:rsid w:val="00D14012"/>
    <w:rsid w:val="00D14773"/>
    <w:rsid w:val="00D151E1"/>
    <w:rsid w:val="00D157CF"/>
    <w:rsid w:val="00D15C15"/>
    <w:rsid w:val="00D15CAC"/>
    <w:rsid w:val="00D16A71"/>
    <w:rsid w:val="00D1731D"/>
    <w:rsid w:val="00D202CD"/>
    <w:rsid w:val="00D21187"/>
    <w:rsid w:val="00D21B68"/>
    <w:rsid w:val="00D220BB"/>
    <w:rsid w:val="00D22905"/>
    <w:rsid w:val="00D22A86"/>
    <w:rsid w:val="00D232E3"/>
    <w:rsid w:val="00D24034"/>
    <w:rsid w:val="00D25286"/>
    <w:rsid w:val="00D252C4"/>
    <w:rsid w:val="00D25FD9"/>
    <w:rsid w:val="00D26162"/>
    <w:rsid w:val="00D26560"/>
    <w:rsid w:val="00D26874"/>
    <w:rsid w:val="00D26CE3"/>
    <w:rsid w:val="00D26D72"/>
    <w:rsid w:val="00D2723E"/>
    <w:rsid w:val="00D27479"/>
    <w:rsid w:val="00D27C06"/>
    <w:rsid w:val="00D306E6"/>
    <w:rsid w:val="00D31B74"/>
    <w:rsid w:val="00D32866"/>
    <w:rsid w:val="00D3290A"/>
    <w:rsid w:val="00D32AAC"/>
    <w:rsid w:val="00D334B6"/>
    <w:rsid w:val="00D3374B"/>
    <w:rsid w:val="00D34357"/>
    <w:rsid w:val="00D344D6"/>
    <w:rsid w:val="00D34C26"/>
    <w:rsid w:val="00D34DDC"/>
    <w:rsid w:val="00D34F3E"/>
    <w:rsid w:val="00D34F7C"/>
    <w:rsid w:val="00D35213"/>
    <w:rsid w:val="00D352E5"/>
    <w:rsid w:val="00D35463"/>
    <w:rsid w:val="00D36515"/>
    <w:rsid w:val="00D36D25"/>
    <w:rsid w:val="00D377F7"/>
    <w:rsid w:val="00D40907"/>
    <w:rsid w:val="00D41437"/>
    <w:rsid w:val="00D41624"/>
    <w:rsid w:val="00D42154"/>
    <w:rsid w:val="00D423C1"/>
    <w:rsid w:val="00D427BA"/>
    <w:rsid w:val="00D42D2D"/>
    <w:rsid w:val="00D42E1F"/>
    <w:rsid w:val="00D437A1"/>
    <w:rsid w:val="00D44D4F"/>
    <w:rsid w:val="00D454E0"/>
    <w:rsid w:val="00D455D4"/>
    <w:rsid w:val="00D46ADA"/>
    <w:rsid w:val="00D46C9B"/>
    <w:rsid w:val="00D46E9E"/>
    <w:rsid w:val="00D470B9"/>
    <w:rsid w:val="00D473F9"/>
    <w:rsid w:val="00D47ADC"/>
    <w:rsid w:val="00D47DEF"/>
    <w:rsid w:val="00D50640"/>
    <w:rsid w:val="00D50E56"/>
    <w:rsid w:val="00D50FED"/>
    <w:rsid w:val="00D51512"/>
    <w:rsid w:val="00D51564"/>
    <w:rsid w:val="00D5159B"/>
    <w:rsid w:val="00D51C89"/>
    <w:rsid w:val="00D52672"/>
    <w:rsid w:val="00D52BD3"/>
    <w:rsid w:val="00D52E05"/>
    <w:rsid w:val="00D533EA"/>
    <w:rsid w:val="00D537CB"/>
    <w:rsid w:val="00D543AE"/>
    <w:rsid w:val="00D54F35"/>
    <w:rsid w:val="00D550B0"/>
    <w:rsid w:val="00D558C3"/>
    <w:rsid w:val="00D55C77"/>
    <w:rsid w:val="00D56208"/>
    <w:rsid w:val="00D5631A"/>
    <w:rsid w:val="00D56F82"/>
    <w:rsid w:val="00D57892"/>
    <w:rsid w:val="00D578E4"/>
    <w:rsid w:val="00D57B6A"/>
    <w:rsid w:val="00D57E08"/>
    <w:rsid w:val="00D603DC"/>
    <w:rsid w:val="00D605AC"/>
    <w:rsid w:val="00D61765"/>
    <w:rsid w:val="00D62124"/>
    <w:rsid w:val="00D625D3"/>
    <w:rsid w:val="00D62C26"/>
    <w:rsid w:val="00D634F6"/>
    <w:rsid w:val="00D644C4"/>
    <w:rsid w:val="00D6490E"/>
    <w:rsid w:val="00D64CD3"/>
    <w:rsid w:val="00D6504A"/>
    <w:rsid w:val="00D65144"/>
    <w:rsid w:val="00D65717"/>
    <w:rsid w:val="00D65ABF"/>
    <w:rsid w:val="00D65B92"/>
    <w:rsid w:val="00D668C2"/>
    <w:rsid w:val="00D66ABC"/>
    <w:rsid w:val="00D6726A"/>
    <w:rsid w:val="00D7060C"/>
    <w:rsid w:val="00D70F9E"/>
    <w:rsid w:val="00D70FDF"/>
    <w:rsid w:val="00D710A7"/>
    <w:rsid w:val="00D7118F"/>
    <w:rsid w:val="00D71819"/>
    <w:rsid w:val="00D71CBC"/>
    <w:rsid w:val="00D72298"/>
    <w:rsid w:val="00D72F89"/>
    <w:rsid w:val="00D7544F"/>
    <w:rsid w:val="00D76020"/>
    <w:rsid w:val="00D769D5"/>
    <w:rsid w:val="00D77C81"/>
    <w:rsid w:val="00D80E17"/>
    <w:rsid w:val="00D81293"/>
    <w:rsid w:val="00D81B08"/>
    <w:rsid w:val="00D81D2D"/>
    <w:rsid w:val="00D83356"/>
    <w:rsid w:val="00D8349B"/>
    <w:rsid w:val="00D8360E"/>
    <w:rsid w:val="00D8365F"/>
    <w:rsid w:val="00D83951"/>
    <w:rsid w:val="00D83CFE"/>
    <w:rsid w:val="00D83E90"/>
    <w:rsid w:val="00D844E5"/>
    <w:rsid w:val="00D854E4"/>
    <w:rsid w:val="00D8559D"/>
    <w:rsid w:val="00D87494"/>
    <w:rsid w:val="00D90CFE"/>
    <w:rsid w:val="00D90DED"/>
    <w:rsid w:val="00D919CE"/>
    <w:rsid w:val="00D91A90"/>
    <w:rsid w:val="00D92057"/>
    <w:rsid w:val="00D92D41"/>
    <w:rsid w:val="00D942CF"/>
    <w:rsid w:val="00D94BCA"/>
    <w:rsid w:val="00D94FAB"/>
    <w:rsid w:val="00D956CE"/>
    <w:rsid w:val="00D960C7"/>
    <w:rsid w:val="00D97830"/>
    <w:rsid w:val="00D97F50"/>
    <w:rsid w:val="00DA075E"/>
    <w:rsid w:val="00DA0F91"/>
    <w:rsid w:val="00DA1006"/>
    <w:rsid w:val="00DA11BF"/>
    <w:rsid w:val="00DA15E9"/>
    <w:rsid w:val="00DA164F"/>
    <w:rsid w:val="00DA19F3"/>
    <w:rsid w:val="00DA2378"/>
    <w:rsid w:val="00DA2601"/>
    <w:rsid w:val="00DA288D"/>
    <w:rsid w:val="00DA2C2C"/>
    <w:rsid w:val="00DA35E0"/>
    <w:rsid w:val="00DA39DA"/>
    <w:rsid w:val="00DA3B3D"/>
    <w:rsid w:val="00DA3F1E"/>
    <w:rsid w:val="00DA4B33"/>
    <w:rsid w:val="00DA5366"/>
    <w:rsid w:val="00DA58D4"/>
    <w:rsid w:val="00DA75D9"/>
    <w:rsid w:val="00DA7AB2"/>
    <w:rsid w:val="00DA7D23"/>
    <w:rsid w:val="00DB020C"/>
    <w:rsid w:val="00DB07F6"/>
    <w:rsid w:val="00DB0C2F"/>
    <w:rsid w:val="00DB11EB"/>
    <w:rsid w:val="00DB1760"/>
    <w:rsid w:val="00DB24ED"/>
    <w:rsid w:val="00DB286A"/>
    <w:rsid w:val="00DB2890"/>
    <w:rsid w:val="00DB2B97"/>
    <w:rsid w:val="00DB4259"/>
    <w:rsid w:val="00DB4662"/>
    <w:rsid w:val="00DB56F4"/>
    <w:rsid w:val="00DB62E0"/>
    <w:rsid w:val="00DB6957"/>
    <w:rsid w:val="00DB6DBD"/>
    <w:rsid w:val="00DB7AB0"/>
    <w:rsid w:val="00DC0765"/>
    <w:rsid w:val="00DC07D2"/>
    <w:rsid w:val="00DC0DCF"/>
    <w:rsid w:val="00DC10F1"/>
    <w:rsid w:val="00DC1A40"/>
    <w:rsid w:val="00DC1C9D"/>
    <w:rsid w:val="00DC2E93"/>
    <w:rsid w:val="00DC365C"/>
    <w:rsid w:val="00DC36C3"/>
    <w:rsid w:val="00DC4297"/>
    <w:rsid w:val="00DC4726"/>
    <w:rsid w:val="00DC6057"/>
    <w:rsid w:val="00DC6204"/>
    <w:rsid w:val="00DC6871"/>
    <w:rsid w:val="00DC727E"/>
    <w:rsid w:val="00DC72EA"/>
    <w:rsid w:val="00DD0051"/>
    <w:rsid w:val="00DD0184"/>
    <w:rsid w:val="00DD080C"/>
    <w:rsid w:val="00DD17B5"/>
    <w:rsid w:val="00DD26B5"/>
    <w:rsid w:val="00DD3D0A"/>
    <w:rsid w:val="00DD40AC"/>
    <w:rsid w:val="00DD4169"/>
    <w:rsid w:val="00DD43D9"/>
    <w:rsid w:val="00DD4579"/>
    <w:rsid w:val="00DD4954"/>
    <w:rsid w:val="00DD51F7"/>
    <w:rsid w:val="00DD5B08"/>
    <w:rsid w:val="00DD6214"/>
    <w:rsid w:val="00DD671B"/>
    <w:rsid w:val="00DD6995"/>
    <w:rsid w:val="00DD7319"/>
    <w:rsid w:val="00DE33B0"/>
    <w:rsid w:val="00DE33F5"/>
    <w:rsid w:val="00DE43F3"/>
    <w:rsid w:val="00DE47B4"/>
    <w:rsid w:val="00DE48C2"/>
    <w:rsid w:val="00DE5069"/>
    <w:rsid w:val="00DE5184"/>
    <w:rsid w:val="00DE6153"/>
    <w:rsid w:val="00DE61BC"/>
    <w:rsid w:val="00DE682C"/>
    <w:rsid w:val="00DE6A7B"/>
    <w:rsid w:val="00DE77A5"/>
    <w:rsid w:val="00DE7A33"/>
    <w:rsid w:val="00DF028E"/>
    <w:rsid w:val="00DF0A6A"/>
    <w:rsid w:val="00DF0B3F"/>
    <w:rsid w:val="00DF0F9D"/>
    <w:rsid w:val="00DF1335"/>
    <w:rsid w:val="00DF1744"/>
    <w:rsid w:val="00DF2504"/>
    <w:rsid w:val="00DF2F8D"/>
    <w:rsid w:val="00DF3E02"/>
    <w:rsid w:val="00DF445E"/>
    <w:rsid w:val="00DF54CB"/>
    <w:rsid w:val="00DF57D7"/>
    <w:rsid w:val="00DF58DB"/>
    <w:rsid w:val="00DF58E5"/>
    <w:rsid w:val="00DF6B65"/>
    <w:rsid w:val="00DF6CCD"/>
    <w:rsid w:val="00DF71F3"/>
    <w:rsid w:val="00DF7B73"/>
    <w:rsid w:val="00E00D7C"/>
    <w:rsid w:val="00E01BAE"/>
    <w:rsid w:val="00E02DA8"/>
    <w:rsid w:val="00E04D9F"/>
    <w:rsid w:val="00E062D6"/>
    <w:rsid w:val="00E07448"/>
    <w:rsid w:val="00E077F2"/>
    <w:rsid w:val="00E07B53"/>
    <w:rsid w:val="00E10AA2"/>
    <w:rsid w:val="00E11B8C"/>
    <w:rsid w:val="00E12A12"/>
    <w:rsid w:val="00E13838"/>
    <w:rsid w:val="00E139BC"/>
    <w:rsid w:val="00E13EC0"/>
    <w:rsid w:val="00E1478E"/>
    <w:rsid w:val="00E14BCE"/>
    <w:rsid w:val="00E14FD8"/>
    <w:rsid w:val="00E1548E"/>
    <w:rsid w:val="00E15688"/>
    <w:rsid w:val="00E15CAF"/>
    <w:rsid w:val="00E16D23"/>
    <w:rsid w:val="00E175E8"/>
    <w:rsid w:val="00E17B5C"/>
    <w:rsid w:val="00E17BC0"/>
    <w:rsid w:val="00E17C53"/>
    <w:rsid w:val="00E204AA"/>
    <w:rsid w:val="00E205E4"/>
    <w:rsid w:val="00E20C87"/>
    <w:rsid w:val="00E2139B"/>
    <w:rsid w:val="00E22FCF"/>
    <w:rsid w:val="00E24B8F"/>
    <w:rsid w:val="00E250E8"/>
    <w:rsid w:val="00E252FD"/>
    <w:rsid w:val="00E254E6"/>
    <w:rsid w:val="00E25A68"/>
    <w:rsid w:val="00E25D08"/>
    <w:rsid w:val="00E30A35"/>
    <w:rsid w:val="00E32BD8"/>
    <w:rsid w:val="00E33ADF"/>
    <w:rsid w:val="00E33FE0"/>
    <w:rsid w:val="00E344D5"/>
    <w:rsid w:val="00E3538E"/>
    <w:rsid w:val="00E36A3C"/>
    <w:rsid w:val="00E379FE"/>
    <w:rsid w:val="00E37E7B"/>
    <w:rsid w:val="00E401AB"/>
    <w:rsid w:val="00E40C07"/>
    <w:rsid w:val="00E410BE"/>
    <w:rsid w:val="00E417D1"/>
    <w:rsid w:val="00E419D1"/>
    <w:rsid w:val="00E41C3D"/>
    <w:rsid w:val="00E4204E"/>
    <w:rsid w:val="00E4285B"/>
    <w:rsid w:val="00E43136"/>
    <w:rsid w:val="00E4362E"/>
    <w:rsid w:val="00E4369B"/>
    <w:rsid w:val="00E43A37"/>
    <w:rsid w:val="00E43CC7"/>
    <w:rsid w:val="00E44179"/>
    <w:rsid w:val="00E449A0"/>
    <w:rsid w:val="00E45080"/>
    <w:rsid w:val="00E45A91"/>
    <w:rsid w:val="00E45CB4"/>
    <w:rsid w:val="00E45E3A"/>
    <w:rsid w:val="00E461E4"/>
    <w:rsid w:val="00E4683C"/>
    <w:rsid w:val="00E47042"/>
    <w:rsid w:val="00E47249"/>
    <w:rsid w:val="00E50D2A"/>
    <w:rsid w:val="00E50F3C"/>
    <w:rsid w:val="00E517C0"/>
    <w:rsid w:val="00E518C6"/>
    <w:rsid w:val="00E521C4"/>
    <w:rsid w:val="00E532D2"/>
    <w:rsid w:val="00E53451"/>
    <w:rsid w:val="00E53BAF"/>
    <w:rsid w:val="00E53C7C"/>
    <w:rsid w:val="00E53CF7"/>
    <w:rsid w:val="00E54283"/>
    <w:rsid w:val="00E542EB"/>
    <w:rsid w:val="00E54ABA"/>
    <w:rsid w:val="00E550B4"/>
    <w:rsid w:val="00E551EB"/>
    <w:rsid w:val="00E551F6"/>
    <w:rsid w:val="00E55A48"/>
    <w:rsid w:val="00E55CC6"/>
    <w:rsid w:val="00E565A4"/>
    <w:rsid w:val="00E56C26"/>
    <w:rsid w:val="00E572B9"/>
    <w:rsid w:val="00E574EC"/>
    <w:rsid w:val="00E608EF"/>
    <w:rsid w:val="00E61036"/>
    <w:rsid w:val="00E62296"/>
    <w:rsid w:val="00E6229E"/>
    <w:rsid w:val="00E62ED2"/>
    <w:rsid w:val="00E63289"/>
    <w:rsid w:val="00E6367C"/>
    <w:rsid w:val="00E64726"/>
    <w:rsid w:val="00E64DB8"/>
    <w:rsid w:val="00E66DC5"/>
    <w:rsid w:val="00E67A16"/>
    <w:rsid w:val="00E67E9E"/>
    <w:rsid w:val="00E67EF4"/>
    <w:rsid w:val="00E7034B"/>
    <w:rsid w:val="00E70530"/>
    <w:rsid w:val="00E706BC"/>
    <w:rsid w:val="00E70B31"/>
    <w:rsid w:val="00E71D02"/>
    <w:rsid w:val="00E73F5E"/>
    <w:rsid w:val="00E747AF"/>
    <w:rsid w:val="00E75257"/>
    <w:rsid w:val="00E75920"/>
    <w:rsid w:val="00E761F4"/>
    <w:rsid w:val="00E7623A"/>
    <w:rsid w:val="00E762B8"/>
    <w:rsid w:val="00E7663B"/>
    <w:rsid w:val="00E766DE"/>
    <w:rsid w:val="00E767B5"/>
    <w:rsid w:val="00E805E3"/>
    <w:rsid w:val="00E80CD6"/>
    <w:rsid w:val="00E810B5"/>
    <w:rsid w:val="00E8139A"/>
    <w:rsid w:val="00E82103"/>
    <w:rsid w:val="00E8387B"/>
    <w:rsid w:val="00E838C8"/>
    <w:rsid w:val="00E8451D"/>
    <w:rsid w:val="00E84F42"/>
    <w:rsid w:val="00E85991"/>
    <w:rsid w:val="00E85D6B"/>
    <w:rsid w:val="00E8632B"/>
    <w:rsid w:val="00E86CA1"/>
    <w:rsid w:val="00E86F18"/>
    <w:rsid w:val="00E87187"/>
    <w:rsid w:val="00E8758C"/>
    <w:rsid w:val="00E90210"/>
    <w:rsid w:val="00E90E58"/>
    <w:rsid w:val="00E916C3"/>
    <w:rsid w:val="00E924C7"/>
    <w:rsid w:val="00E92B30"/>
    <w:rsid w:val="00E93A9E"/>
    <w:rsid w:val="00E93CE3"/>
    <w:rsid w:val="00E93ECD"/>
    <w:rsid w:val="00E94929"/>
    <w:rsid w:val="00E953FB"/>
    <w:rsid w:val="00E95B83"/>
    <w:rsid w:val="00E9612B"/>
    <w:rsid w:val="00E96631"/>
    <w:rsid w:val="00E969DC"/>
    <w:rsid w:val="00E97B6D"/>
    <w:rsid w:val="00E97D98"/>
    <w:rsid w:val="00EA022C"/>
    <w:rsid w:val="00EA03A7"/>
    <w:rsid w:val="00EA0E90"/>
    <w:rsid w:val="00EA11B7"/>
    <w:rsid w:val="00EA237F"/>
    <w:rsid w:val="00EA2669"/>
    <w:rsid w:val="00EA3211"/>
    <w:rsid w:val="00EA393C"/>
    <w:rsid w:val="00EA3E61"/>
    <w:rsid w:val="00EA40EF"/>
    <w:rsid w:val="00EA4946"/>
    <w:rsid w:val="00EA4D74"/>
    <w:rsid w:val="00EA5763"/>
    <w:rsid w:val="00EA5803"/>
    <w:rsid w:val="00EA58EB"/>
    <w:rsid w:val="00EA6FA1"/>
    <w:rsid w:val="00EA7691"/>
    <w:rsid w:val="00EB0019"/>
    <w:rsid w:val="00EB006D"/>
    <w:rsid w:val="00EB022E"/>
    <w:rsid w:val="00EB05F4"/>
    <w:rsid w:val="00EB0892"/>
    <w:rsid w:val="00EB0DF8"/>
    <w:rsid w:val="00EB127E"/>
    <w:rsid w:val="00EB1E31"/>
    <w:rsid w:val="00EB216C"/>
    <w:rsid w:val="00EB2187"/>
    <w:rsid w:val="00EB363E"/>
    <w:rsid w:val="00EB4B6B"/>
    <w:rsid w:val="00EB4E15"/>
    <w:rsid w:val="00EB4F1B"/>
    <w:rsid w:val="00EB5842"/>
    <w:rsid w:val="00EB5877"/>
    <w:rsid w:val="00EB59A5"/>
    <w:rsid w:val="00EB5C58"/>
    <w:rsid w:val="00EB6170"/>
    <w:rsid w:val="00EB6CA2"/>
    <w:rsid w:val="00EB784C"/>
    <w:rsid w:val="00EB7EA9"/>
    <w:rsid w:val="00EC0433"/>
    <w:rsid w:val="00EC13F8"/>
    <w:rsid w:val="00EC3377"/>
    <w:rsid w:val="00EC3452"/>
    <w:rsid w:val="00EC3A4D"/>
    <w:rsid w:val="00EC3A73"/>
    <w:rsid w:val="00EC4251"/>
    <w:rsid w:val="00EC4386"/>
    <w:rsid w:val="00EC4622"/>
    <w:rsid w:val="00EC4714"/>
    <w:rsid w:val="00EC4BFC"/>
    <w:rsid w:val="00EC4F0D"/>
    <w:rsid w:val="00EC55E7"/>
    <w:rsid w:val="00EC59D8"/>
    <w:rsid w:val="00EC59E4"/>
    <w:rsid w:val="00EC5A34"/>
    <w:rsid w:val="00EC5D4F"/>
    <w:rsid w:val="00EC7089"/>
    <w:rsid w:val="00EC7189"/>
    <w:rsid w:val="00EC790B"/>
    <w:rsid w:val="00EC79EE"/>
    <w:rsid w:val="00EC7D1E"/>
    <w:rsid w:val="00ED0265"/>
    <w:rsid w:val="00ED02CB"/>
    <w:rsid w:val="00ED0534"/>
    <w:rsid w:val="00ED125F"/>
    <w:rsid w:val="00ED1C8D"/>
    <w:rsid w:val="00ED20A7"/>
    <w:rsid w:val="00ED2485"/>
    <w:rsid w:val="00ED25BC"/>
    <w:rsid w:val="00ED27C5"/>
    <w:rsid w:val="00ED3177"/>
    <w:rsid w:val="00ED3362"/>
    <w:rsid w:val="00ED35BC"/>
    <w:rsid w:val="00ED4021"/>
    <w:rsid w:val="00ED4F17"/>
    <w:rsid w:val="00ED59E7"/>
    <w:rsid w:val="00ED6C24"/>
    <w:rsid w:val="00ED7238"/>
    <w:rsid w:val="00EE02A1"/>
    <w:rsid w:val="00EE0F13"/>
    <w:rsid w:val="00EE15E9"/>
    <w:rsid w:val="00EE41D9"/>
    <w:rsid w:val="00EE4552"/>
    <w:rsid w:val="00EE4705"/>
    <w:rsid w:val="00EE4791"/>
    <w:rsid w:val="00EE5200"/>
    <w:rsid w:val="00EE5871"/>
    <w:rsid w:val="00EE59E3"/>
    <w:rsid w:val="00EE6098"/>
    <w:rsid w:val="00EE6BDF"/>
    <w:rsid w:val="00EE6CFB"/>
    <w:rsid w:val="00EE7374"/>
    <w:rsid w:val="00EF02A2"/>
    <w:rsid w:val="00EF0E06"/>
    <w:rsid w:val="00EF1289"/>
    <w:rsid w:val="00EF1321"/>
    <w:rsid w:val="00EF165F"/>
    <w:rsid w:val="00EF1EDD"/>
    <w:rsid w:val="00EF27E9"/>
    <w:rsid w:val="00EF294A"/>
    <w:rsid w:val="00EF2D78"/>
    <w:rsid w:val="00EF3E8E"/>
    <w:rsid w:val="00EF457C"/>
    <w:rsid w:val="00EF4EC6"/>
    <w:rsid w:val="00EF531C"/>
    <w:rsid w:val="00EF6135"/>
    <w:rsid w:val="00EF6458"/>
    <w:rsid w:val="00EF6B50"/>
    <w:rsid w:val="00EF6C12"/>
    <w:rsid w:val="00EF6F5D"/>
    <w:rsid w:val="00EF7784"/>
    <w:rsid w:val="00EF7C4D"/>
    <w:rsid w:val="00EF7D5C"/>
    <w:rsid w:val="00F00102"/>
    <w:rsid w:val="00F00389"/>
    <w:rsid w:val="00F00969"/>
    <w:rsid w:val="00F00B40"/>
    <w:rsid w:val="00F01374"/>
    <w:rsid w:val="00F01773"/>
    <w:rsid w:val="00F023F0"/>
    <w:rsid w:val="00F027BB"/>
    <w:rsid w:val="00F03ABC"/>
    <w:rsid w:val="00F0402B"/>
    <w:rsid w:val="00F0417F"/>
    <w:rsid w:val="00F04293"/>
    <w:rsid w:val="00F04AF7"/>
    <w:rsid w:val="00F04C3F"/>
    <w:rsid w:val="00F04E25"/>
    <w:rsid w:val="00F0554A"/>
    <w:rsid w:val="00F05F31"/>
    <w:rsid w:val="00F06652"/>
    <w:rsid w:val="00F077C2"/>
    <w:rsid w:val="00F07C29"/>
    <w:rsid w:val="00F07F2B"/>
    <w:rsid w:val="00F101BF"/>
    <w:rsid w:val="00F104A7"/>
    <w:rsid w:val="00F115A3"/>
    <w:rsid w:val="00F11846"/>
    <w:rsid w:val="00F12905"/>
    <w:rsid w:val="00F12EB4"/>
    <w:rsid w:val="00F13BA3"/>
    <w:rsid w:val="00F13EBB"/>
    <w:rsid w:val="00F14270"/>
    <w:rsid w:val="00F142E2"/>
    <w:rsid w:val="00F14D32"/>
    <w:rsid w:val="00F14F36"/>
    <w:rsid w:val="00F153A4"/>
    <w:rsid w:val="00F15812"/>
    <w:rsid w:val="00F15B5F"/>
    <w:rsid w:val="00F1614E"/>
    <w:rsid w:val="00F1674D"/>
    <w:rsid w:val="00F168E5"/>
    <w:rsid w:val="00F17597"/>
    <w:rsid w:val="00F17B20"/>
    <w:rsid w:val="00F17BFD"/>
    <w:rsid w:val="00F17E96"/>
    <w:rsid w:val="00F20B0A"/>
    <w:rsid w:val="00F2171A"/>
    <w:rsid w:val="00F2186C"/>
    <w:rsid w:val="00F23E09"/>
    <w:rsid w:val="00F243B7"/>
    <w:rsid w:val="00F2502C"/>
    <w:rsid w:val="00F267B8"/>
    <w:rsid w:val="00F2787C"/>
    <w:rsid w:val="00F27912"/>
    <w:rsid w:val="00F30379"/>
    <w:rsid w:val="00F3155C"/>
    <w:rsid w:val="00F31659"/>
    <w:rsid w:val="00F3243D"/>
    <w:rsid w:val="00F3288B"/>
    <w:rsid w:val="00F33067"/>
    <w:rsid w:val="00F33F09"/>
    <w:rsid w:val="00F340EA"/>
    <w:rsid w:val="00F3411F"/>
    <w:rsid w:val="00F344EE"/>
    <w:rsid w:val="00F34FE1"/>
    <w:rsid w:val="00F36069"/>
    <w:rsid w:val="00F37072"/>
    <w:rsid w:val="00F371A4"/>
    <w:rsid w:val="00F3750E"/>
    <w:rsid w:val="00F378BE"/>
    <w:rsid w:val="00F40375"/>
    <w:rsid w:val="00F403F5"/>
    <w:rsid w:val="00F40834"/>
    <w:rsid w:val="00F40976"/>
    <w:rsid w:val="00F41EC7"/>
    <w:rsid w:val="00F42947"/>
    <w:rsid w:val="00F4305E"/>
    <w:rsid w:val="00F4363A"/>
    <w:rsid w:val="00F4375E"/>
    <w:rsid w:val="00F43E52"/>
    <w:rsid w:val="00F441F5"/>
    <w:rsid w:val="00F446C1"/>
    <w:rsid w:val="00F455EC"/>
    <w:rsid w:val="00F459FF"/>
    <w:rsid w:val="00F45D8F"/>
    <w:rsid w:val="00F46538"/>
    <w:rsid w:val="00F46E42"/>
    <w:rsid w:val="00F50216"/>
    <w:rsid w:val="00F50C79"/>
    <w:rsid w:val="00F51107"/>
    <w:rsid w:val="00F52258"/>
    <w:rsid w:val="00F52FDE"/>
    <w:rsid w:val="00F536F8"/>
    <w:rsid w:val="00F5386F"/>
    <w:rsid w:val="00F53C09"/>
    <w:rsid w:val="00F53E39"/>
    <w:rsid w:val="00F54290"/>
    <w:rsid w:val="00F54387"/>
    <w:rsid w:val="00F55091"/>
    <w:rsid w:val="00F56A6A"/>
    <w:rsid w:val="00F572B7"/>
    <w:rsid w:val="00F57B9B"/>
    <w:rsid w:val="00F57F3E"/>
    <w:rsid w:val="00F61298"/>
    <w:rsid w:val="00F61324"/>
    <w:rsid w:val="00F61452"/>
    <w:rsid w:val="00F62812"/>
    <w:rsid w:val="00F6285E"/>
    <w:rsid w:val="00F62B2F"/>
    <w:rsid w:val="00F6331D"/>
    <w:rsid w:val="00F63BBA"/>
    <w:rsid w:val="00F64259"/>
    <w:rsid w:val="00F649F1"/>
    <w:rsid w:val="00F64C8B"/>
    <w:rsid w:val="00F64D68"/>
    <w:rsid w:val="00F64EA7"/>
    <w:rsid w:val="00F6507F"/>
    <w:rsid w:val="00F65199"/>
    <w:rsid w:val="00F65389"/>
    <w:rsid w:val="00F666F6"/>
    <w:rsid w:val="00F66804"/>
    <w:rsid w:val="00F673CC"/>
    <w:rsid w:val="00F6776E"/>
    <w:rsid w:val="00F67A67"/>
    <w:rsid w:val="00F67CA5"/>
    <w:rsid w:val="00F67CDC"/>
    <w:rsid w:val="00F707B2"/>
    <w:rsid w:val="00F70F0A"/>
    <w:rsid w:val="00F7225F"/>
    <w:rsid w:val="00F72375"/>
    <w:rsid w:val="00F7262F"/>
    <w:rsid w:val="00F732DC"/>
    <w:rsid w:val="00F73BC1"/>
    <w:rsid w:val="00F73C63"/>
    <w:rsid w:val="00F73F44"/>
    <w:rsid w:val="00F74D85"/>
    <w:rsid w:val="00F74E23"/>
    <w:rsid w:val="00F7513F"/>
    <w:rsid w:val="00F751B7"/>
    <w:rsid w:val="00F755EE"/>
    <w:rsid w:val="00F76901"/>
    <w:rsid w:val="00F76A04"/>
    <w:rsid w:val="00F76EEB"/>
    <w:rsid w:val="00F770DE"/>
    <w:rsid w:val="00F77CBD"/>
    <w:rsid w:val="00F77EC8"/>
    <w:rsid w:val="00F81852"/>
    <w:rsid w:val="00F81996"/>
    <w:rsid w:val="00F81A9B"/>
    <w:rsid w:val="00F8216B"/>
    <w:rsid w:val="00F8231E"/>
    <w:rsid w:val="00F823A4"/>
    <w:rsid w:val="00F827D5"/>
    <w:rsid w:val="00F842C4"/>
    <w:rsid w:val="00F849D7"/>
    <w:rsid w:val="00F84A70"/>
    <w:rsid w:val="00F8503D"/>
    <w:rsid w:val="00F8562C"/>
    <w:rsid w:val="00F856A2"/>
    <w:rsid w:val="00F85D34"/>
    <w:rsid w:val="00F869DE"/>
    <w:rsid w:val="00F8729E"/>
    <w:rsid w:val="00F87C6D"/>
    <w:rsid w:val="00F905A7"/>
    <w:rsid w:val="00F9106E"/>
    <w:rsid w:val="00F911A7"/>
    <w:rsid w:val="00F945E4"/>
    <w:rsid w:val="00F9462D"/>
    <w:rsid w:val="00F951F1"/>
    <w:rsid w:val="00F957BE"/>
    <w:rsid w:val="00F95DA6"/>
    <w:rsid w:val="00F96350"/>
    <w:rsid w:val="00F968CE"/>
    <w:rsid w:val="00FA0849"/>
    <w:rsid w:val="00FA086F"/>
    <w:rsid w:val="00FA0958"/>
    <w:rsid w:val="00FA0A93"/>
    <w:rsid w:val="00FA14A9"/>
    <w:rsid w:val="00FA1797"/>
    <w:rsid w:val="00FA202D"/>
    <w:rsid w:val="00FA4895"/>
    <w:rsid w:val="00FA5198"/>
    <w:rsid w:val="00FA5AF0"/>
    <w:rsid w:val="00FA5EDB"/>
    <w:rsid w:val="00FA792A"/>
    <w:rsid w:val="00FA7E3D"/>
    <w:rsid w:val="00FB08E9"/>
    <w:rsid w:val="00FB0E3A"/>
    <w:rsid w:val="00FB0EAF"/>
    <w:rsid w:val="00FB1196"/>
    <w:rsid w:val="00FB1A99"/>
    <w:rsid w:val="00FB26A3"/>
    <w:rsid w:val="00FB28C2"/>
    <w:rsid w:val="00FB2A71"/>
    <w:rsid w:val="00FB30DD"/>
    <w:rsid w:val="00FB4057"/>
    <w:rsid w:val="00FB43FB"/>
    <w:rsid w:val="00FB4441"/>
    <w:rsid w:val="00FB5158"/>
    <w:rsid w:val="00FB5700"/>
    <w:rsid w:val="00FB5F37"/>
    <w:rsid w:val="00FB611B"/>
    <w:rsid w:val="00FB6414"/>
    <w:rsid w:val="00FB728D"/>
    <w:rsid w:val="00FB7301"/>
    <w:rsid w:val="00FB752E"/>
    <w:rsid w:val="00FB78D6"/>
    <w:rsid w:val="00FC03A0"/>
    <w:rsid w:val="00FC0AEE"/>
    <w:rsid w:val="00FC0C70"/>
    <w:rsid w:val="00FC0FDB"/>
    <w:rsid w:val="00FC1D8F"/>
    <w:rsid w:val="00FC2119"/>
    <w:rsid w:val="00FC2BD9"/>
    <w:rsid w:val="00FC2EC8"/>
    <w:rsid w:val="00FC377E"/>
    <w:rsid w:val="00FC3959"/>
    <w:rsid w:val="00FC4FC8"/>
    <w:rsid w:val="00FC4FF1"/>
    <w:rsid w:val="00FC5C17"/>
    <w:rsid w:val="00FC5FFE"/>
    <w:rsid w:val="00FC678B"/>
    <w:rsid w:val="00FC6D0E"/>
    <w:rsid w:val="00FC6FAD"/>
    <w:rsid w:val="00FD0795"/>
    <w:rsid w:val="00FD07E0"/>
    <w:rsid w:val="00FD0AEC"/>
    <w:rsid w:val="00FD10A0"/>
    <w:rsid w:val="00FD18F3"/>
    <w:rsid w:val="00FD2110"/>
    <w:rsid w:val="00FD2D5C"/>
    <w:rsid w:val="00FD34FA"/>
    <w:rsid w:val="00FD36EC"/>
    <w:rsid w:val="00FD3D74"/>
    <w:rsid w:val="00FD4813"/>
    <w:rsid w:val="00FD4B7D"/>
    <w:rsid w:val="00FD6682"/>
    <w:rsid w:val="00FD6B2D"/>
    <w:rsid w:val="00FD6EAD"/>
    <w:rsid w:val="00FD70DF"/>
    <w:rsid w:val="00FD75D0"/>
    <w:rsid w:val="00FD7D7F"/>
    <w:rsid w:val="00FE017B"/>
    <w:rsid w:val="00FE023D"/>
    <w:rsid w:val="00FE04DE"/>
    <w:rsid w:val="00FE08EA"/>
    <w:rsid w:val="00FE1293"/>
    <w:rsid w:val="00FE1AAD"/>
    <w:rsid w:val="00FE1D54"/>
    <w:rsid w:val="00FE2301"/>
    <w:rsid w:val="00FE2E2D"/>
    <w:rsid w:val="00FE3600"/>
    <w:rsid w:val="00FE364F"/>
    <w:rsid w:val="00FE37F9"/>
    <w:rsid w:val="00FE535F"/>
    <w:rsid w:val="00FE64E2"/>
    <w:rsid w:val="00FE6FF9"/>
    <w:rsid w:val="00FE7E18"/>
    <w:rsid w:val="00FF0284"/>
    <w:rsid w:val="00FF02E4"/>
    <w:rsid w:val="00FF09D8"/>
    <w:rsid w:val="00FF12F1"/>
    <w:rsid w:val="00FF14A2"/>
    <w:rsid w:val="00FF2642"/>
    <w:rsid w:val="00FF26D2"/>
    <w:rsid w:val="00FF2BBF"/>
    <w:rsid w:val="00FF3547"/>
    <w:rsid w:val="00FF355D"/>
    <w:rsid w:val="00FF3E57"/>
    <w:rsid w:val="00FF3F68"/>
    <w:rsid w:val="00FF4DD4"/>
    <w:rsid w:val="00FF4DEF"/>
    <w:rsid w:val="00FF50D6"/>
    <w:rsid w:val="00FF6405"/>
    <w:rsid w:val="00FF6421"/>
    <w:rsid w:val="00FF64F6"/>
    <w:rsid w:val="00FF71CB"/>
    <w:rsid w:val="00FF72F0"/>
    <w:rsid w:val="00FF7F0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o:shapelayout v:ext="edit">
      <o:idmap v:ext="edit" data="1"/>
    </o:shapelayout>
  </w:shapeDefaults>
  <w:decimalSymbol w:val="."/>
  <w:listSeparator w:val=","/>
  <w14:docId w14:val="78B8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List Bullet 4" w:uiPriority="36"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Medium Grid 2" w:uiPriority="1" w:qFormat="1"/>
    <w:lsdException w:name="List Paragraph" w:uiPriority="34" w:qFormat="1"/>
    <w:lsdException w:name="Quote" w:qFormat="1"/>
    <w:lsdException w:name="Colorful List Accent 1" w:uiPriority="34" w:qFormat="1"/>
    <w:lsdException w:name="Subtle Emphasis" w:qFormat="1"/>
    <w:lsdException w:name="TOC Heading" w:semiHidden="1" w:uiPriority="39" w:unhideWhenUsed="1" w:qFormat="1"/>
  </w:latentStyles>
  <w:style w:type="paragraph" w:default="1" w:styleId="Normal">
    <w:name w:val="Normal"/>
    <w:qFormat/>
    <w:rsid w:val="00B30583"/>
    <w:pPr>
      <w:spacing w:after="240"/>
    </w:pPr>
    <w:rPr>
      <w:rFonts w:asciiTheme="minorHAnsi" w:hAnsiTheme="minorHAnsi" w:cstheme="minorHAnsi"/>
      <w:sz w:val="22"/>
      <w:szCs w:val="24"/>
      <w:lang w:eastAsia="en-US"/>
    </w:rPr>
  </w:style>
  <w:style w:type="paragraph" w:styleId="Heading1">
    <w:name w:val="heading 1"/>
    <w:basedOn w:val="Normal"/>
    <w:next w:val="Normal"/>
    <w:link w:val="Heading1Char"/>
    <w:qFormat/>
    <w:rsid w:val="00880FD8"/>
    <w:pPr>
      <w:outlineLvl w:val="0"/>
    </w:pPr>
    <w:rPr>
      <w:rFonts w:ascii="Calibri" w:hAnsi="Calibri"/>
      <w:b/>
      <w:iCs/>
      <w:color w:val="BF1726"/>
      <w:sz w:val="36"/>
      <w:szCs w:val="18"/>
    </w:rPr>
  </w:style>
  <w:style w:type="paragraph" w:styleId="Heading2">
    <w:name w:val="heading 2"/>
    <w:basedOn w:val="Normal"/>
    <w:next w:val="Normal"/>
    <w:link w:val="Heading2Char"/>
    <w:unhideWhenUsed/>
    <w:qFormat/>
    <w:rsid w:val="00E22FCF"/>
    <w:pPr>
      <w:keepNext/>
      <w:outlineLvl w:val="1"/>
    </w:pPr>
    <w:rPr>
      <w:b/>
      <w:sz w:val="28"/>
      <w:szCs w:val="28"/>
    </w:rPr>
  </w:style>
  <w:style w:type="paragraph" w:styleId="Heading3">
    <w:name w:val="heading 3"/>
    <w:basedOn w:val="Normal"/>
    <w:next w:val="Normal"/>
    <w:link w:val="Heading3Char"/>
    <w:unhideWhenUsed/>
    <w:qFormat/>
    <w:rsid w:val="00E419D1"/>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E419D1"/>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F64D68"/>
    <w:pPr>
      <w:keepNext/>
      <w:keepLines/>
      <w:spacing w:before="200" w:after="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E2"/>
    <w:pPr>
      <w:tabs>
        <w:tab w:val="center" w:pos="4320"/>
        <w:tab w:val="right" w:pos="8640"/>
      </w:tabs>
    </w:pPr>
  </w:style>
  <w:style w:type="character" w:customStyle="1" w:styleId="HeaderChar">
    <w:name w:val="Header Char"/>
    <w:link w:val="Header"/>
    <w:uiPriority w:val="99"/>
    <w:rsid w:val="00D636E2"/>
    <w:rPr>
      <w:rFonts w:ascii="Helvetica" w:hAnsi="Helvetica"/>
      <w:sz w:val="22"/>
    </w:rPr>
  </w:style>
  <w:style w:type="paragraph" w:styleId="Footer">
    <w:name w:val="footer"/>
    <w:basedOn w:val="Normal"/>
    <w:link w:val="FooterChar"/>
    <w:uiPriority w:val="99"/>
    <w:unhideWhenUsed/>
    <w:rsid w:val="00D636E2"/>
    <w:pPr>
      <w:tabs>
        <w:tab w:val="center" w:pos="4320"/>
        <w:tab w:val="right" w:pos="8640"/>
      </w:tabs>
    </w:pPr>
  </w:style>
  <w:style w:type="character" w:customStyle="1" w:styleId="FooterChar">
    <w:name w:val="Footer Char"/>
    <w:link w:val="Footer"/>
    <w:uiPriority w:val="99"/>
    <w:rsid w:val="00D636E2"/>
    <w:rPr>
      <w:rFonts w:ascii="Helvetica" w:hAnsi="Helvetica"/>
      <w:sz w:val="22"/>
    </w:rPr>
  </w:style>
  <w:style w:type="paragraph" w:customStyle="1" w:styleId="MediumGrid21">
    <w:name w:val="Medium Grid 21"/>
    <w:basedOn w:val="Normal"/>
    <w:uiPriority w:val="1"/>
    <w:rsid w:val="0050127A"/>
    <w:rPr>
      <w:rFonts w:ascii="Calibri" w:hAnsi="Calibri" w:cs="Calibri"/>
      <w:szCs w:val="22"/>
    </w:rPr>
  </w:style>
  <w:style w:type="paragraph" w:customStyle="1" w:styleId="Default">
    <w:name w:val="Default"/>
    <w:rsid w:val="0050127A"/>
    <w:pPr>
      <w:autoSpaceDE w:val="0"/>
      <w:autoSpaceDN w:val="0"/>
      <w:adjustRightInd w:val="0"/>
    </w:pPr>
    <w:rPr>
      <w:rFonts w:ascii="Arial" w:eastAsia="Calibri" w:hAnsi="Arial" w:cs="Arial"/>
      <w:color w:val="000000"/>
      <w:sz w:val="24"/>
      <w:szCs w:val="24"/>
      <w:lang w:eastAsia="en-US"/>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rFonts w:ascii="Calibri" w:hAnsi="Calibri"/>
      <w:szCs w:val="21"/>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semiHidden/>
    <w:unhideWhenUsed/>
    <w:rsid w:val="001F235A"/>
  </w:style>
  <w:style w:type="paragraph" w:styleId="NormalWeb">
    <w:name w:val="Normal (Web)"/>
    <w:basedOn w:val="Normal"/>
    <w:uiPriority w:val="99"/>
    <w:rsid w:val="002C1BD9"/>
    <w:pPr>
      <w:spacing w:before="100" w:beforeAutospacing="1" w:after="100" w:afterAutospacing="1"/>
    </w:pPr>
    <w:rPr>
      <w:rFonts w:ascii="Times New Roman" w:eastAsia="Times New Roman" w:hAnsi="Times New Roman"/>
      <w:sz w:val="24"/>
      <w:lang w:eastAsia="en-AU"/>
    </w:rPr>
  </w:style>
  <w:style w:type="paragraph" w:customStyle="1" w:styleId="ColorfulList-Accent11">
    <w:name w:val="Colorful List - Accent 11"/>
    <w:basedOn w:val="Normal"/>
    <w:uiPriority w:val="34"/>
    <w:qFormat/>
    <w:rsid w:val="00900176"/>
    <w:pPr>
      <w:spacing w:after="200" w:line="276" w:lineRule="auto"/>
      <w:ind w:left="720"/>
    </w:pPr>
    <w:rPr>
      <w:rFonts w:ascii="Calibri" w:eastAsia="Calibri" w:hAnsi="Calibri"/>
      <w:szCs w:val="22"/>
    </w:rPr>
  </w:style>
  <w:style w:type="paragraph" w:styleId="BodyText">
    <w:name w:val="Body Text"/>
    <w:basedOn w:val="Normal"/>
    <w:link w:val="BodyTextChar"/>
    <w:rsid w:val="00AE3131"/>
    <w:pPr>
      <w:jc w:val="both"/>
    </w:pPr>
    <w:rPr>
      <w:rFonts w:ascii="Times New Roman" w:eastAsia="Times New Roman" w:hAnsi="Times New Roman"/>
      <w:sz w:val="24"/>
    </w:rPr>
  </w:style>
  <w:style w:type="character" w:customStyle="1" w:styleId="BodyTextChar">
    <w:name w:val="Body Text Char"/>
    <w:link w:val="BodyText"/>
    <w:rsid w:val="00AE3131"/>
    <w:rPr>
      <w:rFonts w:ascii="Times New Roman" w:eastAsia="Times New Roman" w:hAnsi="Times New Roman"/>
      <w:sz w:val="24"/>
      <w:szCs w:val="24"/>
    </w:rPr>
  </w:style>
  <w:style w:type="paragraph" w:customStyle="1" w:styleId="Boxh4">
    <w:name w:val="Box h4"/>
    <w:basedOn w:val="Box"/>
    <w:link w:val="Boxh4Char"/>
    <w:qFormat/>
    <w:rsid w:val="002F0716"/>
    <w:pPr>
      <w:keepNext/>
    </w:pPr>
    <w:rPr>
      <w:b/>
      <w:sz w:val="24"/>
    </w:rPr>
  </w:style>
  <w:style w:type="paragraph" w:customStyle="1" w:styleId="Textnew">
    <w:name w:val="Text_new"/>
    <w:basedOn w:val="Normal"/>
    <w:link w:val="TextnewChar"/>
    <w:rsid w:val="00AC27E4"/>
    <w:pPr>
      <w:pBdr>
        <w:top w:val="single" w:sz="4" w:space="4" w:color="auto"/>
      </w:pBdr>
      <w:ind w:left="1134"/>
    </w:pPr>
    <w:rPr>
      <w:rFonts w:ascii="Calibri" w:hAnsi="Calibri"/>
      <w:szCs w:val="22"/>
    </w:rPr>
  </w:style>
  <w:style w:type="paragraph" w:customStyle="1" w:styleId="H5inverse">
    <w:name w:val="H5 inverse"/>
    <w:basedOn w:val="Heading5"/>
    <w:link w:val="H5inverseChar"/>
    <w:qFormat/>
    <w:rsid w:val="00FB5F37"/>
    <w:pPr>
      <w:pBdr>
        <w:top w:val="single" w:sz="4" w:space="1" w:color="auto"/>
        <w:left w:val="single" w:sz="4" w:space="4" w:color="auto"/>
        <w:bottom w:val="single" w:sz="4" w:space="1" w:color="auto"/>
        <w:right w:val="single" w:sz="4" w:space="4" w:color="auto"/>
      </w:pBdr>
      <w:shd w:val="clear" w:color="auto" w:fill="000000" w:themeFill="text1"/>
      <w:spacing w:before="0" w:after="240"/>
    </w:pPr>
    <w:rPr>
      <w:color w:val="FFFFFF" w:themeColor="background1"/>
    </w:rPr>
  </w:style>
  <w:style w:type="paragraph" w:customStyle="1" w:styleId="Heading2new">
    <w:name w:val="Heading 2_new"/>
    <w:basedOn w:val="Normal"/>
    <w:link w:val="Heading2newChar"/>
    <w:rsid w:val="007B1D45"/>
    <w:pPr>
      <w:ind w:left="1134"/>
    </w:pPr>
    <w:rPr>
      <w:b/>
      <w:sz w:val="28"/>
      <w:szCs w:val="28"/>
    </w:rPr>
  </w:style>
  <w:style w:type="character" w:customStyle="1" w:styleId="TextnewChar">
    <w:name w:val="Text_new Char"/>
    <w:link w:val="Textnew"/>
    <w:rsid w:val="00AC27E4"/>
    <w:rPr>
      <w:rFonts w:ascii="Calibri" w:hAnsi="Calibri"/>
      <w:sz w:val="22"/>
      <w:szCs w:val="22"/>
      <w:lang w:val="en-US" w:eastAsia="en-US"/>
    </w:rPr>
  </w:style>
  <w:style w:type="character" w:styleId="Hyperlink">
    <w:name w:val="Hyperlink"/>
    <w:basedOn w:val="DefaultParagraphFont"/>
    <w:uiPriority w:val="99"/>
    <w:rsid w:val="00ED0265"/>
    <w:rPr>
      <w:color w:val="0000FF" w:themeColor="hyperlink"/>
      <w:u w:val="single"/>
    </w:rPr>
  </w:style>
  <w:style w:type="character" w:customStyle="1" w:styleId="Heading2newChar">
    <w:name w:val="Heading 2_new Char"/>
    <w:link w:val="Heading2new"/>
    <w:rsid w:val="007B1D45"/>
    <w:rPr>
      <w:rFonts w:asciiTheme="minorHAnsi" w:hAnsiTheme="minorHAnsi"/>
      <w:b/>
      <w:sz w:val="28"/>
      <w:szCs w:val="28"/>
      <w:lang w:eastAsia="en-US"/>
    </w:rPr>
  </w:style>
  <w:style w:type="paragraph" w:styleId="BalloonText">
    <w:name w:val="Balloon Text"/>
    <w:basedOn w:val="Normal"/>
    <w:link w:val="BalloonTextChar"/>
    <w:rsid w:val="00CD2777"/>
    <w:rPr>
      <w:rFonts w:ascii="Tahoma" w:hAnsi="Tahoma" w:cs="Tahoma"/>
      <w:sz w:val="16"/>
      <w:szCs w:val="16"/>
    </w:rPr>
  </w:style>
  <w:style w:type="character" w:customStyle="1" w:styleId="BalloonTextChar">
    <w:name w:val="Balloon Text Char"/>
    <w:basedOn w:val="DefaultParagraphFont"/>
    <w:link w:val="BalloonText"/>
    <w:rsid w:val="00CD2777"/>
    <w:rPr>
      <w:rFonts w:ascii="Tahoma" w:hAnsi="Tahoma" w:cs="Tahoma"/>
      <w:sz w:val="16"/>
      <w:szCs w:val="16"/>
      <w:lang w:eastAsia="en-US"/>
    </w:rPr>
  </w:style>
  <w:style w:type="table" w:styleId="TableGrid">
    <w:name w:val="Table Grid"/>
    <w:basedOn w:val="TableNormal"/>
    <w:uiPriority w:val="59"/>
    <w:rsid w:val="006B2140"/>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44CAE"/>
    <w:pPr>
      <w:keepNext/>
      <w:keepLines/>
      <w:numPr>
        <w:numId w:val="32"/>
      </w:numPr>
      <w:spacing w:after="200" w:line="276" w:lineRule="auto"/>
      <w:contextualSpacing/>
    </w:pPr>
    <w:rPr>
      <w:rFonts w:eastAsiaTheme="minorHAnsi" w:cstheme="minorBidi"/>
      <w:szCs w:val="22"/>
    </w:rPr>
  </w:style>
  <w:style w:type="paragraph" w:customStyle="1" w:styleId="Text">
    <w:name w:val="Text"/>
    <w:basedOn w:val="Normal"/>
    <w:link w:val="TextChar"/>
    <w:qFormat/>
    <w:rsid w:val="00CB52F1"/>
    <w:pPr>
      <w:spacing w:after="120"/>
    </w:pPr>
    <w:rPr>
      <w:rFonts w:ascii="Calibri" w:hAnsi="Calibri"/>
      <w:szCs w:val="22"/>
    </w:rPr>
  </w:style>
  <w:style w:type="character" w:customStyle="1" w:styleId="TextChar">
    <w:name w:val="Text Char"/>
    <w:basedOn w:val="DefaultParagraphFont"/>
    <w:link w:val="Text"/>
    <w:rsid w:val="00CB52F1"/>
    <w:rPr>
      <w:rFonts w:ascii="Calibri" w:hAnsi="Calibri"/>
      <w:sz w:val="22"/>
      <w:szCs w:val="22"/>
      <w:lang w:eastAsia="en-US"/>
    </w:rPr>
  </w:style>
  <w:style w:type="character" w:customStyle="1" w:styleId="ListParagraphChar">
    <w:name w:val="List Paragraph Char"/>
    <w:basedOn w:val="DefaultParagraphFont"/>
    <w:link w:val="ListParagraph"/>
    <w:uiPriority w:val="34"/>
    <w:rsid w:val="00844CAE"/>
    <w:rPr>
      <w:rFonts w:asciiTheme="minorHAnsi" w:eastAsiaTheme="minorHAnsi" w:hAnsiTheme="minorHAnsi" w:cstheme="minorBidi"/>
      <w:sz w:val="22"/>
      <w:szCs w:val="22"/>
      <w:lang w:eastAsia="en-US"/>
    </w:rPr>
  </w:style>
  <w:style w:type="paragraph" w:styleId="Caption">
    <w:name w:val="caption"/>
    <w:basedOn w:val="Normal"/>
    <w:next w:val="Normal"/>
    <w:link w:val="CaptionChar"/>
    <w:uiPriority w:val="35"/>
    <w:qFormat/>
    <w:rsid w:val="00BA49C9"/>
  </w:style>
  <w:style w:type="character" w:customStyle="1" w:styleId="CaptionChar">
    <w:name w:val="Caption Char"/>
    <w:basedOn w:val="DefaultParagraphFont"/>
    <w:link w:val="Caption"/>
    <w:uiPriority w:val="35"/>
    <w:locked/>
    <w:rsid w:val="00BA49C9"/>
    <w:rPr>
      <w:rFonts w:asciiTheme="minorHAnsi" w:hAnsiTheme="minorHAnsi" w:cstheme="minorHAnsi"/>
      <w:sz w:val="22"/>
      <w:szCs w:val="24"/>
      <w:lang w:eastAsia="en-US"/>
    </w:rPr>
  </w:style>
  <w:style w:type="paragraph" w:styleId="FootnoteText">
    <w:name w:val="footnote text"/>
    <w:basedOn w:val="Normal"/>
    <w:link w:val="FootnoteTextChar"/>
    <w:rsid w:val="00F945E4"/>
    <w:pPr>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F945E4"/>
    <w:rPr>
      <w:rFonts w:ascii="Times New Roman" w:eastAsia="Times New Roman" w:hAnsi="Times New Roman"/>
      <w:lang w:eastAsia="en-US"/>
    </w:rPr>
  </w:style>
  <w:style w:type="character" w:styleId="FootnoteReference">
    <w:name w:val="footnote reference"/>
    <w:basedOn w:val="DefaultParagraphFont"/>
    <w:rsid w:val="00F945E4"/>
    <w:rPr>
      <w:vertAlign w:val="superscript"/>
    </w:rPr>
  </w:style>
  <w:style w:type="paragraph" w:customStyle="1" w:styleId="EndNoteBibliographyTitle">
    <w:name w:val="EndNote Bibliography Title"/>
    <w:basedOn w:val="Normal"/>
    <w:link w:val="EndNoteBibliographyTitleChar"/>
    <w:rsid w:val="009807B3"/>
    <w:pPr>
      <w:jc w:val="center"/>
    </w:pPr>
    <w:rPr>
      <w:rFonts w:cs="Helvetica"/>
      <w:noProof/>
      <w:lang w:val="en-US"/>
    </w:rPr>
  </w:style>
  <w:style w:type="character" w:customStyle="1" w:styleId="EndNoteBibliographyTitleChar">
    <w:name w:val="EndNote Bibliography Title Char"/>
    <w:basedOn w:val="DefaultParagraphFont"/>
    <w:link w:val="EndNoteBibliographyTitle"/>
    <w:rsid w:val="009807B3"/>
    <w:rPr>
      <w:rFonts w:ascii="Helvetica" w:hAnsi="Helvetica" w:cs="Helvetica"/>
      <w:noProof/>
      <w:sz w:val="22"/>
      <w:szCs w:val="24"/>
      <w:lang w:val="en-US" w:eastAsia="en-US"/>
    </w:rPr>
  </w:style>
  <w:style w:type="paragraph" w:customStyle="1" w:styleId="EndNoteBibliography">
    <w:name w:val="EndNote Bibliography"/>
    <w:basedOn w:val="Normal"/>
    <w:link w:val="EndNoteBibliographyChar"/>
    <w:rsid w:val="009807B3"/>
    <w:rPr>
      <w:rFonts w:cs="Helvetica"/>
      <w:noProof/>
      <w:lang w:val="en-US"/>
    </w:rPr>
  </w:style>
  <w:style w:type="character" w:customStyle="1" w:styleId="EndNoteBibliographyChar">
    <w:name w:val="EndNote Bibliography Char"/>
    <w:basedOn w:val="DefaultParagraphFont"/>
    <w:link w:val="EndNoteBibliography"/>
    <w:rsid w:val="009807B3"/>
    <w:rPr>
      <w:rFonts w:ascii="Helvetica" w:hAnsi="Helvetica" w:cs="Helvetica"/>
      <w:noProof/>
      <w:sz w:val="22"/>
      <w:szCs w:val="24"/>
      <w:lang w:val="en-US" w:eastAsia="en-US"/>
    </w:rPr>
  </w:style>
  <w:style w:type="character" w:styleId="CommentReference">
    <w:name w:val="annotation reference"/>
    <w:basedOn w:val="DefaultParagraphFont"/>
    <w:uiPriority w:val="99"/>
    <w:unhideWhenUsed/>
    <w:rsid w:val="00DF2504"/>
    <w:rPr>
      <w:sz w:val="18"/>
      <w:szCs w:val="18"/>
    </w:rPr>
  </w:style>
  <w:style w:type="paragraph" w:styleId="CommentText">
    <w:name w:val="annotation text"/>
    <w:basedOn w:val="Normal"/>
    <w:link w:val="CommentTextChar"/>
    <w:uiPriority w:val="99"/>
    <w:unhideWhenUsed/>
    <w:rsid w:val="00DF2504"/>
    <w:rPr>
      <w:rFonts w:eastAsiaTheme="minorEastAsia" w:cstheme="minorBidi"/>
      <w:sz w:val="24"/>
      <w:lang w:val="en-US"/>
    </w:rPr>
  </w:style>
  <w:style w:type="character" w:customStyle="1" w:styleId="CommentTextChar">
    <w:name w:val="Comment Text Char"/>
    <w:basedOn w:val="DefaultParagraphFont"/>
    <w:link w:val="CommentText"/>
    <w:uiPriority w:val="99"/>
    <w:rsid w:val="00DF2504"/>
    <w:rPr>
      <w:rFonts w:asciiTheme="minorHAnsi" w:eastAsiaTheme="minorEastAsia" w:hAnsiTheme="minorHAnsi" w:cstheme="minorBidi"/>
      <w:sz w:val="24"/>
      <w:szCs w:val="24"/>
      <w:lang w:val="en-US" w:eastAsia="en-US"/>
    </w:rPr>
  </w:style>
  <w:style w:type="table" w:customStyle="1" w:styleId="TableGrid1">
    <w:name w:val="Table Grid1"/>
    <w:basedOn w:val="TableNormal"/>
    <w:next w:val="TableGrid"/>
    <w:uiPriority w:val="59"/>
    <w:rsid w:val="00D157CF"/>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866FF5"/>
    <w:rPr>
      <w:rFonts w:ascii="Helvetica" w:eastAsia="Cambria" w:hAnsi="Helvetica" w:cs="Times New Roman"/>
      <w:b/>
      <w:bCs/>
      <w:sz w:val="20"/>
      <w:szCs w:val="20"/>
      <w:lang w:val="en-AU"/>
    </w:rPr>
  </w:style>
  <w:style w:type="character" w:customStyle="1" w:styleId="CommentSubjectChar">
    <w:name w:val="Comment Subject Char"/>
    <w:basedOn w:val="CommentTextChar"/>
    <w:link w:val="CommentSubject"/>
    <w:rsid w:val="00866FF5"/>
    <w:rPr>
      <w:rFonts w:ascii="Helvetica" w:eastAsiaTheme="minorEastAsia" w:hAnsi="Helvetica" w:cstheme="minorBidi"/>
      <w:b/>
      <w:bCs/>
      <w:sz w:val="24"/>
      <w:szCs w:val="24"/>
      <w:lang w:val="en-US" w:eastAsia="en-US"/>
    </w:rPr>
  </w:style>
  <w:style w:type="character" w:customStyle="1" w:styleId="st">
    <w:name w:val="st"/>
    <w:basedOn w:val="DefaultParagraphFont"/>
    <w:rsid w:val="008D2C73"/>
  </w:style>
  <w:style w:type="paragraph" w:styleId="TOC1">
    <w:name w:val="toc 1"/>
    <w:basedOn w:val="Normal"/>
    <w:next w:val="Normal"/>
    <w:autoRedefine/>
    <w:uiPriority w:val="39"/>
    <w:rsid w:val="008D3FE5"/>
    <w:pPr>
      <w:tabs>
        <w:tab w:val="right" w:pos="9622"/>
      </w:tabs>
      <w:spacing w:before="240"/>
    </w:pPr>
    <w:rPr>
      <w:b/>
      <w:noProof/>
      <w:sz w:val="24"/>
    </w:rPr>
  </w:style>
  <w:style w:type="paragraph" w:styleId="TOC2">
    <w:name w:val="toc 2"/>
    <w:basedOn w:val="Normal"/>
    <w:next w:val="Normal"/>
    <w:autoRedefine/>
    <w:uiPriority w:val="39"/>
    <w:rsid w:val="00282704"/>
    <w:pPr>
      <w:ind w:left="220"/>
    </w:pPr>
    <w:rPr>
      <w:i/>
      <w:szCs w:val="22"/>
    </w:rPr>
  </w:style>
  <w:style w:type="paragraph" w:styleId="TOC3">
    <w:name w:val="toc 3"/>
    <w:basedOn w:val="Normal"/>
    <w:next w:val="Normal"/>
    <w:autoRedefine/>
    <w:uiPriority w:val="39"/>
    <w:rsid w:val="00282704"/>
    <w:pPr>
      <w:ind w:left="440"/>
    </w:pPr>
    <w:rPr>
      <w:szCs w:val="22"/>
    </w:rPr>
  </w:style>
  <w:style w:type="paragraph" w:styleId="TOC4">
    <w:name w:val="toc 4"/>
    <w:basedOn w:val="Normal"/>
    <w:next w:val="Normal"/>
    <w:autoRedefine/>
    <w:uiPriority w:val="39"/>
    <w:rsid w:val="00282704"/>
    <w:pPr>
      <w:ind w:left="660"/>
    </w:pPr>
    <w:rPr>
      <w:sz w:val="20"/>
      <w:szCs w:val="20"/>
    </w:rPr>
  </w:style>
  <w:style w:type="paragraph" w:styleId="TOC5">
    <w:name w:val="toc 5"/>
    <w:basedOn w:val="Normal"/>
    <w:next w:val="Normal"/>
    <w:autoRedefine/>
    <w:uiPriority w:val="39"/>
    <w:rsid w:val="00282704"/>
    <w:pPr>
      <w:ind w:left="880"/>
    </w:pPr>
    <w:rPr>
      <w:sz w:val="20"/>
      <w:szCs w:val="20"/>
    </w:rPr>
  </w:style>
  <w:style w:type="paragraph" w:styleId="TOC6">
    <w:name w:val="toc 6"/>
    <w:basedOn w:val="Normal"/>
    <w:next w:val="Normal"/>
    <w:autoRedefine/>
    <w:uiPriority w:val="39"/>
    <w:rsid w:val="00282704"/>
    <w:pPr>
      <w:ind w:left="1100"/>
    </w:pPr>
    <w:rPr>
      <w:sz w:val="20"/>
      <w:szCs w:val="20"/>
    </w:rPr>
  </w:style>
  <w:style w:type="paragraph" w:styleId="TOC7">
    <w:name w:val="toc 7"/>
    <w:basedOn w:val="Normal"/>
    <w:next w:val="Normal"/>
    <w:autoRedefine/>
    <w:uiPriority w:val="39"/>
    <w:rsid w:val="00282704"/>
    <w:pPr>
      <w:ind w:left="1320"/>
    </w:pPr>
    <w:rPr>
      <w:sz w:val="20"/>
      <w:szCs w:val="20"/>
    </w:rPr>
  </w:style>
  <w:style w:type="paragraph" w:styleId="TOC8">
    <w:name w:val="toc 8"/>
    <w:basedOn w:val="Normal"/>
    <w:next w:val="Normal"/>
    <w:autoRedefine/>
    <w:uiPriority w:val="39"/>
    <w:rsid w:val="00282704"/>
    <w:pPr>
      <w:ind w:left="1540"/>
    </w:pPr>
    <w:rPr>
      <w:sz w:val="20"/>
      <w:szCs w:val="20"/>
    </w:rPr>
  </w:style>
  <w:style w:type="paragraph" w:styleId="TOC9">
    <w:name w:val="toc 9"/>
    <w:basedOn w:val="Normal"/>
    <w:next w:val="Normal"/>
    <w:autoRedefine/>
    <w:uiPriority w:val="39"/>
    <w:rsid w:val="00282704"/>
    <w:pPr>
      <w:ind w:left="1760"/>
    </w:pPr>
    <w:rPr>
      <w:sz w:val="20"/>
      <w:szCs w:val="20"/>
    </w:rPr>
  </w:style>
  <w:style w:type="character" w:customStyle="1" w:styleId="Heading1Char">
    <w:name w:val="Heading 1 Char"/>
    <w:basedOn w:val="DefaultParagraphFont"/>
    <w:link w:val="Heading1"/>
    <w:rsid w:val="00880FD8"/>
    <w:rPr>
      <w:rFonts w:ascii="Calibri" w:hAnsi="Calibri" w:cstheme="minorHAnsi"/>
      <w:b/>
      <w:iCs/>
      <w:color w:val="BF1726"/>
      <w:sz w:val="36"/>
      <w:szCs w:val="18"/>
      <w:lang w:eastAsia="en-US"/>
    </w:rPr>
  </w:style>
  <w:style w:type="paragraph" w:styleId="TOCHeading">
    <w:name w:val="TOC Heading"/>
    <w:basedOn w:val="Heading1"/>
    <w:next w:val="Normal"/>
    <w:uiPriority w:val="39"/>
    <w:unhideWhenUsed/>
    <w:qFormat/>
    <w:rsid w:val="00880FD8"/>
  </w:style>
  <w:style w:type="character" w:customStyle="1" w:styleId="Heading2Char">
    <w:name w:val="Heading 2 Char"/>
    <w:basedOn w:val="DefaultParagraphFont"/>
    <w:link w:val="Heading2"/>
    <w:rsid w:val="00E22FCF"/>
    <w:rPr>
      <w:rFonts w:asciiTheme="minorHAnsi" w:hAnsiTheme="minorHAnsi" w:cstheme="minorHAnsi"/>
      <w:b/>
      <w:sz w:val="28"/>
      <w:szCs w:val="28"/>
      <w:lang w:eastAsia="en-US"/>
    </w:rPr>
  </w:style>
  <w:style w:type="character" w:customStyle="1" w:styleId="Heading3Char">
    <w:name w:val="Heading 3 Char"/>
    <w:basedOn w:val="DefaultParagraphFont"/>
    <w:link w:val="Heading3"/>
    <w:rsid w:val="00E419D1"/>
    <w:rPr>
      <w:rFonts w:asciiTheme="majorHAnsi" w:eastAsiaTheme="majorEastAsia" w:hAnsiTheme="majorHAnsi" w:cstheme="majorBidi"/>
      <w:b/>
      <w:bCs/>
      <w:sz w:val="22"/>
      <w:szCs w:val="24"/>
      <w:lang w:eastAsia="en-US"/>
    </w:rPr>
  </w:style>
  <w:style w:type="paragraph" w:styleId="ListBullet4">
    <w:name w:val="List Bullet 4"/>
    <w:basedOn w:val="Normal"/>
    <w:uiPriority w:val="36"/>
    <w:unhideWhenUsed/>
    <w:qFormat/>
    <w:rsid w:val="00C82BB7"/>
    <w:pPr>
      <w:numPr>
        <w:numId w:val="23"/>
      </w:numPr>
      <w:spacing w:line="276" w:lineRule="auto"/>
    </w:pPr>
    <w:rPr>
      <w:rFonts w:eastAsiaTheme="minorEastAsia"/>
      <w:color w:val="000000" w:themeColor="text1"/>
      <w:szCs w:val="20"/>
      <w:lang w:val="en-US"/>
    </w:rPr>
  </w:style>
  <w:style w:type="paragraph" w:styleId="Title">
    <w:name w:val="Title"/>
    <w:basedOn w:val="Normal"/>
    <w:next w:val="Normal"/>
    <w:link w:val="TitleChar"/>
    <w:qFormat/>
    <w:rsid w:val="006E7371"/>
    <w:pPr>
      <w:spacing w:before="4800"/>
      <w:jc w:val="right"/>
      <w:outlineLvl w:val="0"/>
    </w:pPr>
    <w:rPr>
      <w:rFonts w:ascii="Calibri" w:hAnsi="Calibri"/>
      <w:b/>
      <w:sz w:val="52"/>
    </w:rPr>
  </w:style>
  <w:style w:type="character" w:customStyle="1" w:styleId="TitleChar">
    <w:name w:val="Title Char"/>
    <w:basedOn w:val="DefaultParagraphFont"/>
    <w:link w:val="Title"/>
    <w:rsid w:val="006E7371"/>
    <w:rPr>
      <w:rFonts w:ascii="Calibri" w:hAnsi="Calibri" w:cstheme="minorHAnsi"/>
      <w:b/>
      <w:sz w:val="52"/>
      <w:szCs w:val="24"/>
      <w:lang w:eastAsia="en-US"/>
    </w:rPr>
  </w:style>
  <w:style w:type="paragraph" w:styleId="Subtitle">
    <w:name w:val="Subtitle"/>
    <w:basedOn w:val="Normal"/>
    <w:next w:val="Normal"/>
    <w:link w:val="SubtitleChar"/>
    <w:qFormat/>
    <w:rsid w:val="00A95675"/>
    <w:pPr>
      <w:spacing w:before="120"/>
      <w:jc w:val="right"/>
      <w:outlineLvl w:val="0"/>
    </w:pPr>
    <w:rPr>
      <w:rFonts w:ascii="Calibri" w:hAnsi="Calibri"/>
      <w:b/>
      <w:color w:val="BF1726"/>
      <w:sz w:val="40"/>
    </w:rPr>
  </w:style>
  <w:style w:type="character" w:customStyle="1" w:styleId="SubtitleChar">
    <w:name w:val="Subtitle Char"/>
    <w:basedOn w:val="DefaultParagraphFont"/>
    <w:link w:val="Subtitle"/>
    <w:rsid w:val="00A95675"/>
    <w:rPr>
      <w:rFonts w:ascii="Calibri" w:hAnsi="Calibri"/>
      <w:b/>
      <w:color w:val="BF1726"/>
      <w:sz w:val="40"/>
      <w:szCs w:val="24"/>
      <w:lang w:eastAsia="en-US"/>
    </w:rPr>
  </w:style>
  <w:style w:type="paragraph" w:customStyle="1" w:styleId="Box">
    <w:name w:val="Box"/>
    <w:basedOn w:val="Normal"/>
    <w:link w:val="BoxChar"/>
    <w:qFormat/>
    <w:rsid w:val="002F0716"/>
    <w:pPr>
      <w:pBdr>
        <w:top w:val="single" w:sz="4" w:space="1" w:color="auto"/>
        <w:left w:val="single" w:sz="4" w:space="4" w:color="auto"/>
        <w:bottom w:val="single" w:sz="4" w:space="1" w:color="auto"/>
        <w:right w:val="single" w:sz="4" w:space="4" w:color="auto"/>
      </w:pBdr>
    </w:pPr>
  </w:style>
  <w:style w:type="character" w:customStyle="1" w:styleId="BoxChar">
    <w:name w:val="Box Char"/>
    <w:basedOn w:val="DefaultParagraphFont"/>
    <w:link w:val="Box"/>
    <w:rsid w:val="002F0716"/>
    <w:rPr>
      <w:rFonts w:asciiTheme="minorHAnsi" w:hAnsiTheme="minorHAnsi" w:cstheme="minorHAnsi"/>
      <w:sz w:val="22"/>
      <w:szCs w:val="24"/>
      <w:lang w:eastAsia="en-US"/>
    </w:rPr>
  </w:style>
  <w:style w:type="character" w:customStyle="1" w:styleId="Heading4Char">
    <w:name w:val="Heading 4 Char"/>
    <w:basedOn w:val="DefaultParagraphFont"/>
    <w:link w:val="Heading4"/>
    <w:rsid w:val="00E419D1"/>
    <w:rPr>
      <w:rFonts w:asciiTheme="majorHAnsi" w:eastAsiaTheme="majorEastAsia" w:hAnsiTheme="majorHAnsi" w:cstheme="majorBidi"/>
      <w:b/>
      <w:bCs/>
      <w:i/>
      <w:iCs/>
      <w:sz w:val="22"/>
      <w:szCs w:val="24"/>
      <w:lang w:eastAsia="en-US"/>
    </w:rPr>
  </w:style>
  <w:style w:type="character" w:customStyle="1" w:styleId="Heading5Char">
    <w:name w:val="Heading 5 Char"/>
    <w:basedOn w:val="DefaultParagraphFont"/>
    <w:link w:val="Heading5"/>
    <w:rsid w:val="00F64D68"/>
    <w:rPr>
      <w:rFonts w:asciiTheme="majorHAnsi" w:eastAsiaTheme="majorEastAsia" w:hAnsiTheme="majorHAnsi" w:cstheme="majorBidi"/>
      <w:color w:val="000000" w:themeColor="text1"/>
      <w:sz w:val="22"/>
      <w:szCs w:val="24"/>
      <w:lang w:eastAsia="en-US"/>
    </w:rPr>
  </w:style>
  <w:style w:type="paragraph" w:customStyle="1" w:styleId="BoxBullet">
    <w:name w:val="Box Bullet"/>
    <w:basedOn w:val="Box"/>
    <w:link w:val="BoxBulletChar"/>
    <w:qFormat/>
    <w:rsid w:val="00E419D1"/>
    <w:pPr>
      <w:numPr>
        <w:numId w:val="34"/>
      </w:numPr>
      <w:ind w:left="357" w:hanging="357"/>
      <w:contextualSpacing/>
    </w:pPr>
  </w:style>
  <w:style w:type="character" w:customStyle="1" w:styleId="BoxBulletChar">
    <w:name w:val="Box Bullet Char"/>
    <w:basedOn w:val="BoxChar"/>
    <w:link w:val="BoxBullet"/>
    <w:rsid w:val="00E419D1"/>
    <w:rPr>
      <w:rFonts w:asciiTheme="minorHAnsi" w:hAnsiTheme="minorHAnsi" w:cstheme="minorHAnsi"/>
      <w:sz w:val="22"/>
      <w:szCs w:val="24"/>
      <w:lang w:eastAsia="en-US"/>
    </w:rPr>
  </w:style>
  <w:style w:type="paragraph" w:customStyle="1" w:styleId="StyleListParagraphBoxSinglesolidlineAuto05ptLine">
    <w:name w:val="Style List Paragraph + Box: (Single solid line Auto  0.5 pt Line ..."/>
    <w:basedOn w:val="ListParagraph"/>
    <w:rsid w:val="008475D7"/>
    <w:pPr>
      <w:pBdr>
        <w:top w:val="single" w:sz="4" w:space="1" w:color="auto"/>
        <w:left w:val="single" w:sz="4" w:space="4" w:color="auto"/>
        <w:bottom w:val="single" w:sz="4" w:space="1" w:color="auto"/>
        <w:right w:val="single" w:sz="4" w:space="4" w:color="auto"/>
      </w:pBdr>
      <w:spacing w:line="240" w:lineRule="auto"/>
    </w:pPr>
    <w:rPr>
      <w:rFonts w:eastAsia="Times New Roman" w:cs="Times New Roman"/>
      <w:szCs w:val="20"/>
    </w:rPr>
  </w:style>
  <w:style w:type="character" w:customStyle="1" w:styleId="Boxh4Char">
    <w:name w:val="Box h4 Char"/>
    <w:basedOn w:val="BoxChar"/>
    <w:link w:val="Boxh4"/>
    <w:rsid w:val="002F0716"/>
    <w:rPr>
      <w:rFonts w:asciiTheme="minorHAnsi" w:hAnsiTheme="minorHAnsi" w:cstheme="minorHAnsi"/>
      <w:b/>
      <w:sz w:val="24"/>
      <w:szCs w:val="24"/>
      <w:lang w:eastAsia="en-US"/>
    </w:rPr>
  </w:style>
  <w:style w:type="character" w:customStyle="1" w:styleId="H5inverseChar">
    <w:name w:val="H5 inverse Char"/>
    <w:basedOn w:val="Heading5Char"/>
    <w:link w:val="H5inverse"/>
    <w:rsid w:val="00FB5F37"/>
    <w:rPr>
      <w:rFonts w:asciiTheme="majorHAnsi" w:eastAsiaTheme="majorEastAsia" w:hAnsiTheme="majorHAnsi" w:cstheme="majorBidi"/>
      <w:color w:val="FFFFFF" w:themeColor="background1"/>
      <w:sz w:val="22"/>
      <w:szCs w:val="24"/>
      <w:shd w:val="clear" w:color="auto" w:fill="000000" w:themeFill="text1"/>
      <w:lang w:eastAsia="en-US"/>
    </w:rPr>
  </w:style>
  <w:style w:type="paragraph" w:customStyle="1" w:styleId="Boxh3">
    <w:name w:val="Box h3"/>
    <w:basedOn w:val="Heading3"/>
    <w:link w:val="Boxh3Char"/>
    <w:qFormat/>
    <w:rsid w:val="002F0716"/>
    <w:pPr>
      <w:pBdr>
        <w:top w:val="single" w:sz="4" w:space="1" w:color="auto"/>
        <w:left w:val="single" w:sz="4" w:space="4" w:color="auto"/>
        <w:bottom w:val="single" w:sz="4" w:space="1" w:color="auto"/>
        <w:right w:val="single" w:sz="4" w:space="4" w:color="auto"/>
      </w:pBdr>
    </w:pPr>
    <w:rPr>
      <w:sz w:val="24"/>
    </w:rPr>
  </w:style>
  <w:style w:type="character" w:customStyle="1" w:styleId="Boxh3Char">
    <w:name w:val="Box h3 Char"/>
    <w:basedOn w:val="Heading3Char"/>
    <w:link w:val="Boxh3"/>
    <w:rsid w:val="002F0716"/>
    <w:rPr>
      <w:rFonts w:asciiTheme="majorHAnsi" w:eastAsiaTheme="majorEastAsia" w:hAnsiTheme="majorHAnsi" w:cstheme="majorBidi"/>
      <w:b/>
      <w:bCs/>
      <w:color w:val="4F81BD" w:themeColor="accent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List Bullet 4" w:uiPriority="36"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Medium Grid 2" w:uiPriority="1" w:qFormat="1"/>
    <w:lsdException w:name="List Paragraph" w:uiPriority="34" w:qFormat="1"/>
    <w:lsdException w:name="Quote" w:qFormat="1"/>
    <w:lsdException w:name="Colorful List Accent 1" w:uiPriority="34" w:qFormat="1"/>
    <w:lsdException w:name="Subtle Emphasis" w:qFormat="1"/>
    <w:lsdException w:name="TOC Heading" w:semiHidden="1" w:uiPriority="39" w:unhideWhenUsed="1" w:qFormat="1"/>
  </w:latentStyles>
  <w:style w:type="paragraph" w:default="1" w:styleId="Normal">
    <w:name w:val="Normal"/>
    <w:qFormat/>
    <w:rsid w:val="00B30583"/>
    <w:pPr>
      <w:spacing w:after="240"/>
    </w:pPr>
    <w:rPr>
      <w:rFonts w:asciiTheme="minorHAnsi" w:hAnsiTheme="minorHAnsi" w:cstheme="minorHAnsi"/>
      <w:sz w:val="22"/>
      <w:szCs w:val="24"/>
      <w:lang w:eastAsia="en-US"/>
    </w:rPr>
  </w:style>
  <w:style w:type="paragraph" w:styleId="Heading1">
    <w:name w:val="heading 1"/>
    <w:basedOn w:val="Normal"/>
    <w:next w:val="Normal"/>
    <w:link w:val="Heading1Char"/>
    <w:qFormat/>
    <w:rsid w:val="00880FD8"/>
    <w:pPr>
      <w:outlineLvl w:val="0"/>
    </w:pPr>
    <w:rPr>
      <w:rFonts w:ascii="Calibri" w:hAnsi="Calibri"/>
      <w:b/>
      <w:iCs/>
      <w:color w:val="BF1726"/>
      <w:sz w:val="36"/>
      <w:szCs w:val="18"/>
    </w:rPr>
  </w:style>
  <w:style w:type="paragraph" w:styleId="Heading2">
    <w:name w:val="heading 2"/>
    <w:basedOn w:val="Normal"/>
    <w:next w:val="Normal"/>
    <w:link w:val="Heading2Char"/>
    <w:unhideWhenUsed/>
    <w:qFormat/>
    <w:rsid w:val="00E22FCF"/>
    <w:pPr>
      <w:keepNext/>
      <w:outlineLvl w:val="1"/>
    </w:pPr>
    <w:rPr>
      <w:b/>
      <w:sz w:val="28"/>
      <w:szCs w:val="28"/>
    </w:rPr>
  </w:style>
  <w:style w:type="paragraph" w:styleId="Heading3">
    <w:name w:val="heading 3"/>
    <w:basedOn w:val="Normal"/>
    <w:next w:val="Normal"/>
    <w:link w:val="Heading3Char"/>
    <w:unhideWhenUsed/>
    <w:qFormat/>
    <w:rsid w:val="00E419D1"/>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E419D1"/>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F64D68"/>
    <w:pPr>
      <w:keepNext/>
      <w:keepLines/>
      <w:spacing w:before="200" w:after="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E2"/>
    <w:pPr>
      <w:tabs>
        <w:tab w:val="center" w:pos="4320"/>
        <w:tab w:val="right" w:pos="8640"/>
      </w:tabs>
    </w:pPr>
  </w:style>
  <w:style w:type="character" w:customStyle="1" w:styleId="HeaderChar">
    <w:name w:val="Header Char"/>
    <w:link w:val="Header"/>
    <w:uiPriority w:val="99"/>
    <w:rsid w:val="00D636E2"/>
    <w:rPr>
      <w:rFonts w:ascii="Helvetica" w:hAnsi="Helvetica"/>
      <w:sz w:val="22"/>
    </w:rPr>
  </w:style>
  <w:style w:type="paragraph" w:styleId="Footer">
    <w:name w:val="footer"/>
    <w:basedOn w:val="Normal"/>
    <w:link w:val="FooterChar"/>
    <w:uiPriority w:val="99"/>
    <w:unhideWhenUsed/>
    <w:rsid w:val="00D636E2"/>
    <w:pPr>
      <w:tabs>
        <w:tab w:val="center" w:pos="4320"/>
        <w:tab w:val="right" w:pos="8640"/>
      </w:tabs>
    </w:pPr>
  </w:style>
  <w:style w:type="character" w:customStyle="1" w:styleId="FooterChar">
    <w:name w:val="Footer Char"/>
    <w:link w:val="Footer"/>
    <w:uiPriority w:val="99"/>
    <w:rsid w:val="00D636E2"/>
    <w:rPr>
      <w:rFonts w:ascii="Helvetica" w:hAnsi="Helvetica"/>
      <w:sz w:val="22"/>
    </w:rPr>
  </w:style>
  <w:style w:type="paragraph" w:customStyle="1" w:styleId="MediumGrid21">
    <w:name w:val="Medium Grid 21"/>
    <w:basedOn w:val="Normal"/>
    <w:uiPriority w:val="1"/>
    <w:rsid w:val="0050127A"/>
    <w:rPr>
      <w:rFonts w:ascii="Calibri" w:hAnsi="Calibri" w:cs="Calibri"/>
      <w:szCs w:val="22"/>
    </w:rPr>
  </w:style>
  <w:style w:type="paragraph" w:customStyle="1" w:styleId="Default">
    <w:name w:val="Default"/>
    <w:rsid w:val="0050127A"/>
    <w:pPr>
      <w:autoSpaceDE w:val="0"/>
      <w:autoSpaceDN w:val="0"/>
      <w:adjustRightInd w:val="0"/>
    </w:pPr>
    <w:rPr>
      <w:rFonts w:ascii="Arial" w:eastAsia="Calibri" w:hAnsi="Arial" w:cs="Arial"/>
      <w:color w:val="000000"/>
      <w:sz w:val="24"/>
      <w:szCs w:val="24"/>
      <w:lang w:eastAsia="en-US"/>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rFonts w:ascii="Calibri" w:hAnsi="Calibri"/>
      <w:szCs w:val="21"/>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semiHidden/>
    <w:unhideWhenUsed/>
    <w:rsid w:val="001F235A"/>
  </w:style>
  <w:style w:type="paragraph" w:styleId="NormalWeb">
    <w:name w:val="Normal (Web)"/>
    <w:basedOn w:val="Normal"/>
    <w:uiPriority w:val="99"/>
    <w:rsid w:val="002C1BD9"/>
    <w:pPr>
      <w:spacing w:before="100" w:beforeAutospacing="1" w:after="100" w:afterAutospacing="1"/>
    </w:pPr>
    <w:rPr>
      <w:rFonts w:ascii="Times New Roman" w:eastAsia="Times New Roman" w:hAnsi="Times New Roman"/>
      <w:sz w:val="24"/>
      <w:lang w:eastAsia="en-AU"/>
    </w:rPr>
  </w:style>
  <w:style w:type="paragraph" w:customStyle="1" w:styleId="ColorfulList-Accent11">
    <w:name w:val="Colorful List - Accent 11"/>
    <w:basedOn w:val="Normal"/>
    <w:uiPriority w:val="34"/>
    <w:qFormat/>
    <w:rsid w:val="00900176"/>
    <w:pPr>
      <w:spacing w:after="200" w:line="276" w:lineRule="auto"/>
      <w:ind w:left="720"/>
    </w:pPr>
    <w:rPr>
      <w:rFonts w:ascii="Calibri" w:eastAsia="Calibri" w:hAnsi="Calibri"/>
      <w:szCs w:val="22"/>
    </w:rPr>
  </w:style>
  <w:style w:type="paragraph" w:styleId="BodyText">
    <w:name w:val="Body Text"/>
    <w:basedOn w:val="Normal"/>
    <w:link w:val="BodyTextChar"/>
    <w:rsid w:val="00AE3131"/>
    <w:pPr>
      <w:jc w:val="both"/>
    </w:pPr>
    <w:rPr>
      <w:rFonts w:ascii="Times New Roman" w:eastAsia="Times New Roman" w:hAnsi="Times New Roman"/>
      <w:sz w:val="24"/>
    </w:rPr>
  </w:style>
  <w:style w:type="character" w:customStyle="1" w:styleId="BodyTextChar">
    <w:name w:val="Body Text Char"/>
    <w:link w:val="BodyText"/>
    <w:rsid w:val="00AE3131"/>
    <w:rPr>
      <w:rFonts w:ascii="Times New Roman" w:eastAsia="Times New Roman" w:hAnsi="Times New Roman"/>
      <w:sz w:val="24"/>
      <w:szCs w:val="24"/>
    </w:rPr>
  </w:style>
  <w:style w:type="paragraph" w:customStyle="1" w:styleId="Boxh4">
    <w:name w:val="Box h4"/>
    <w:basedOn w:val="Box"/>
    <w:link w:val="Boxh4Char"/>
    <w:qFormat/>
    <w:rsid w:val="002F0716"/>
    <w:pPr>
      <w:keepNext/>
    </w:pPr>
    <w:rPr>
      <w:b/>
      <w:sz w:val="24"/>
    </w:rPr>
  </w:style>
  <w:style w:type="paragraph" w:customStyle="1" w:styleId="Textnew">
    <w:name w:val="Text_new"/>
    <w:basedOn w:val="Normal"/>
    <w:link w:val="TextnewChar"/>
    <w:rsid w:val="00AC27E4"/>
    <w:pPr>
      <w:pBdr>
        <w:top w:val="single" w:sz="4" w:space="4" w:color="auto"/>
      </w:pBdr>
      <w:ind w:left="1134"/>
    </w:pPr>
    <w:rPr>
      <w:rFonts w:ascii="Calibri" w:hAnsi="Calibri"/>
      <w:szCs w:val="22"/>
    </w:rPr>
  </w:style>
  <w:style w:type="paragraph" w:customStyle="1" w:styleId="H5inverse">
    <w:name w:val="H5 inverse"/>
    <w:basedOn w:val="Heading5"/>
    <w:link w:val="H5inverseChar"/>
    <w:qFormat/>
    <w:rsid w:val="00FB5F37"/>
    <w:pPr>
      <w:pBdr>
        <w:top w:val="single" w:sz="4" w:space="1" w:color="auto"/>
        <w:left w:val="single" w:sz="4" w:space="4" w:color="auto"/>
        <w:bottom w:val="single" w:sz="4" w:space="1" w:color="auto"/>
        <w:right w:val="single" w:sz="4" w:space="4" w:color="auto"/>
      </w:pBdr>
      <w:shd w:val="clear" w:color="auto" w:fill="000000" w:themeFill="text1"/>
      <w:spacing w:before="0" w:after="240"/>
    </w:pPr>
    <w:rPr>
      <w:color w:val="FFFFFF" w:themeColor="background1"/>
    </w:rPr>
  </w:style>
  <w:style w:type="paragraph" w:customStyle="1" w:styleId="Heading2new">
    <w:name w:val="Heading 2_new"/>
    <w:basedOn w:val="Normal"/>
    <w:link w:val="Heading2newChar"/>
    <w:rsid w:val="007B1D45"/>
    <w:pPr>
      <w:ind w:left="1134"/>
    </w:pPr>
    <w:rPr>
      <w:b/>
      <w:sz w:val="28"/>
      <w:szCs w:val="28"/>
    </w:rPr>
  </w:style>
  <w:style w:type="character" w:customStyle="1" w:styleId="TextnewChar">
    <w:name w:val="Text_new Char"/>
    <w:link w:val="Textnew"/>
    <w:rsid w:val="00AC27E4"/>
    <w:rPr>
      <w:rFonts w:ascii="Calibri" w:hAnsi="Calibri"/>
      <w:sz w:val="22"/>
      <w:szCs w:val="22"/>
      <w:lang w:val="en-US" w:eastAsia="en-US"/>
    </w:rPr>
  </w:style>
  <w:style w:type="character" w:styleId="Hyperlink">
    <w:name w:val="Hyperlink"/>
    <w:basedOn w:val="DefaultParagraphFont"/>
    <w:uiPriority w:val="99"/>
    <w:rsid w:val="00ED0265"/>
    <w:rPr>
      <w:color w:val="0000FF" w:themeColor="hyperlink"/>
      <w:u w:val="single"/>
    </w:rPr>
  </w:style>
  <w:style w:type="character" w:customStyle="1" w:styleId="Heading2newChar">
    <w:name w:val="Heading 2_new Char"/>
    <w:link w:val="Heading2new"/>
    <w:rsid w:val="007B1D45"/>
    <w:rPr>
      <w:rFonts w:asciiTheme="minorHAnsi" w:hAnsiTheme="minorHAnsi"/>
      <w:b/>
      <w:sz w:val="28"/>
      <w:szCs w:val="28"/>
      <w:lang w:eastAsia="en-US"/>
    </w:rPr>
  </w:style>
  <w:style w:type="paragraph" w:styleId="BalloonText">
    <w:name w:val="Balloon Text"/>
    <w:basedOn w:val="Normal"/>
    <w:link w:val="BalloonTextChar"/>
    <w:rsid w:val="00CD2777"/>
    <w:rPr>
      <w:rFonts w:ascii="Tahoma" w:hAnsi="Tahoma" w:cs="Tahoma"/>
      <w:sz w:val="16"/>
      <w:szCs w:val="16"/>
    </w:rPr>
  </w:style>
  <w:style w:type="character" w:customStyle="1" w:styleId="BalloonTextChar">
    <w:name w:val="Balloon Text Char"/>
    <w:basedOn w:val="DefaultParagraphFont"/>
    <w:link w:val="BalloonText"/>
    <w:rsid w:val="00CD2777"/>
    <w:rPr>
      <w:rFonts w:ascii="Tahoma" w:hAnsi="Tahoma" w:cs="Tahoma"/>
      <w:sz w:val="16"/>
      <w:szCs w:val="16"/>
      <w:lang w:eastAsia="en-US"/>
    </w:rPr>
  </w:style>
  <w:style w:type="table" w:styleId="TableGrid">
    <w:name w:val="Table Grid"/>
    <w:basedOn w:val="TableNormal"/>
    <w:uiPriority w:val="59"/>
    <w:rsid w:val="006B2140"/>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44CAE"/>
    <w:pPr>
      <w:keepNext/>
      <w:keepLines/>
      <w:numPr>
        <w:numId w:val="32"/>
      </w:numPr>
      <w:spacing w:after="200" w:line="276" w:lineRule="auto"/>
      <w:contextualSpacing/>
    </w:pPr>
    <w:rPr>
      <w:rFonts w:eastAsiaTheme="minorHAnsi" w:cstheme="minorBidi"/>
      <w:szCs w:val="22"/>
    </w:rPr>
  </w:style>
  <w:style w:type="paragraph" w:customStyle="1" w:styleId="Text">
    <w:name w:val="Text"/>
    <w:basedOn w:val="Normal"/>
    <w:link w:val="TextChar"/>
    <w:qFormat/>
    <w:rsid w:val="00CB52F1"/>
    <w:pPr>
      <w:spacing w:after="120"/>
    </w:pPr>
    <w:rPr>
      <w:rFonts w:ascii="Calibri" w:hAnsi="Calibri"/>
      <w:szCs w:val="22"/>
    </w:rPr>
  </w:style>
  <w:style w:type="character" w:customStyle="1" w:styleId="TextChar">
    <w:name w:val="Text Char"/>
    <w:basedOn w:val="DefaultParagraphFont"/>
    <w:link w:val="Text"/>
    <w:rsid w:val="00CB52F1"/>
    <w:rPr>
      <w:rFonts w:ascii="Calibri" w:hAnsi="Calibri"/>
      <w:sz w:val="22"/>
      <w:szCs w:val="22"/>
      <w:lang w:eastAsia="en-US"/>
    </w:rPr>
  </w:style>
  <w:style w:type="character" w:customStyle="1" w:styleId="ListParagraphChar">
    <w:name w:val="List Paragraph Char"/>
    <w:basedOn w:val="DefaultParagraphFont"/>
    <w:link w:val="ListParagraph"/>
    <w:uiPriority w:val="34"/>
    <w:rsid w:val="00844CAE"/>
    <w:rPr>
      <w:rFonts w:asciiTheme="minorHAnsi" w:eastAsiaTheme="minorHAnsi" w:hAnsiTheme="minorHAnsi" w:cstheme="minorBidi"/>
      <w:sz w:val="22"/>
      <w:szCs w:val="22"/>
      <w:lang w:eastAsia="en-US"/>
    </w:rPr>
  </w:style>
  <w:style w:type="paragraph" w:styleId="Caption">
    <w:name w:val="caption"/>
    <w:basedOn w:val="Normal"/>
    <w:next w:val="Normal"/>
    <w:link w:val="CaptionChar"/>
    <w:uiPriority w:val="35"/>
    <w:qFormat/>
    <w:rsid w:val="00BA49C9"/>
  </w:style>
  <w:style w:type="character" w:customStyle="1" w:styleId="CaptionChar">
    <w:name w:val="Caption Char"/>
    <w:basedOn w:val="DefaultParagraphFont"/>
    <w:link w:val="Caption"/>
    <w:uiPriority w:val="35"/>
    <w:locked/>
    <w:rsid w:val="00BA49C9"/>
    <w:rPr>
      <w:rFonts w:asciiTheme="minorHAnsi" w:hAnsiTheme="minorHAnsi" w:cstheme="minorHAnsi"/>
      <w:sz w:val="22"/>
      <w:szCs w:val="24"/>
      <w:lang w:eastAsia="en-US"/>
    </w:rPr>
  </w:style>
  <w:style w:type="paragraph" w:styleId="FootnoteText">
    <w:name w:val="footnote text"/>
    <w:basedOn w:val="Normal"/>
    <w:link w:val="FootnoteTextChar"/>
    <w:rsid w:val="00F945E4"/>
    <w:pPr>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F945E4"/>
    <w:rPr>
      <w:rFonts w:ascii="Times New Roman" w:eastAsia="Times New Roman" w:hAnsi="Times New Roman"/>
      <w:lang w:eastAsia="en-US"/>
    </w:rPr>
  </w:style>
  <w:style w:type="character" w:styleId="FootnoteReference">
    <w:name w:val="footnote reference"/>
    <w:basedOn w:val="DefaultParagraphFont"/>
    <w:rsid w:val="00F945E4"/>
    <w:rPr>
      <w:vertAlign w:val="superscript"/>
    </w:rPr>
  </w:style>
  <w:style w:type="paragraph" w:customStyle="1" w:styleId="EndNoteBibliographyTitle">
    <w:name w:val="EndNote Bibliography Title"/>
    <w:basedOn w:val="Normal"/>
    <w:link w:val="EndNoteBibliographyTitleChar"/>
    <w:rsid w:val="009807B3"/>
    <w:pPr>
      <w:jc w:val="center"/>
    </w:pPr>
    <w:rPr>
      <w:rFonts w:cs="Helvetica"/>
      <w:noProof/>
      <w:lang w:val="en-US"/>
    </w:rPr>
  </w:style>
  <w:style w:type="character" w:customStyle="1" w:styleId="EndNoteBibliographyTitleChar">
    <w:name w:val="EndNote Bibliography Title Char"/>
    <w:basedOn w:val="DefaultParagraphFont"/>
    <w:link w:val="EndNoteBibliographyTitle"/>
    <w:rsid w:val="009807B3"/>
    <w:rPr>
      <w:rFonts w:ascii="Helvetica" w:hAnsi="Helvetica" w:cs="Helvetica"/>
      <w:noProof/>
      <w:sz w:val="22"/>
      <w:szCs w:val="24"/>
      <w:lang w:val="en-US" w:eastAsia="en-US"/>
    </w:rPr>
  </w:style>
  <w:style w:type="paragraph" w:customStyle="1" w:styleId="EndNoteBibliography">
    <w:name w:val="EndNote Bibliography"/>
    <w:basedOn w:val="Normal"/>
    <w:link w:val="EndNoteBibliographyChar"/>
    <w:rsid w:val="009807B3"/>
    <w:rPr>
      <w:rFonts w:cs="Helvetica"/>
      <w:noProof/>
      <w:lang w:val="en-US"/>
    </w:rPr>
  </w:style>
  <w:style w:type="character" w:customStyle="1" w:styleId="EndNoteBibliographyChar">
    <w:name w:val="EndNote Bibliography Char"/>
    <w:basedOn w:val="DefaultParagraphFont"/>
    <w:link w:val="EndNoteBibliography"/>
    <w:rsid w:val="009807B3"/>
    <w:rPr>
      <w:rFonts w:ascii="Helvetica" w:hAnsi="Helvetica" w:cs="Helvetica"/>
      <w:noProof/>
      <w:sz w:val="22"/>
      <w:szCs w:val="24"/>
      <w:lang w:val="en-US" w:eastAsia="en-US"/>
    </w:rPr>
  </w:style>
  <w:style w:type="character" w:styleId="CommentReference">
    <w:name w:val="annotation reference"/>
    <w:basedOn w:val="DefaultParagraphFont"/>
    <w:uiPriority w:val="99"/>
    <w:unhideWhenUsed/>
    <w:rsid w:val="00DF2504"/>
    <w:rPr>
      <w:sz w:val="18"/>
      <w:szCs w:val="18"/>
    </w:rPr>
  </w:style>
  <w:style w:type="paragraph" w:styleId="CommentText">
    <w:name w:val="annotation text"/>
    <w:basedOn w:val="Normal"/>
    <w:link w:val="CommentTextChar"/>
    <w:uiPriority w:val="99"/>
    <w:unhideWhenUsed/>
    <w:rsid w:val="00DF2504"/>
    <w:rPr>
      <w:rFonts w:eastAsiaTheme="minorEastAsia" w:cstheme="minorBidi"/>
      <w:sz w:val="24"/>
      <w:lang w:val="en-US"/>
    </w:rPr>
  </w:style>
  <w:style w:type="character" w:customStyle="1" w:styleId="CommentTextChar">
    <w:name w:val="Comment Text Char"/>
    <w:basedOn w:val="DefaultParagraphFont"/>
    <w:link w:val="CommentText"/>
    <w:uiPriority w:val="99"/>
    <w:rsid w:val="00DF2504"/>
    <w:rPr>
      <w:rFonts w:asciiTheme="minorHAnsi" w:eastAsiaTheme="minorEastAsia" w:hAnsiTheme="minorHAnsi" w:cstheme="minorBidi"/>
      <w:sz w:val="24"/>
      <w:szCs w:val="24"/>
      <w:lang w:val="en-US" w:eastAsia="en-US"/>
    </w:rPr>
  </w:style>
  <w:style w:type="table" w:customStyle="1" w:styleId="TableGrid1">
    <w:name w:val="Table Grid1"/>
    <w:basedOn w:val="TableNormal"/>
    <w:next w:val="TableGrid"/>
    <w:uiPriority w:val="59"/>
    <w:rsid w:val="00D157CF"/>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866FF5"/>
    <w:rPr>
      <w:rFonts w:ascii="Helvetica" w:eastAsia="Cambria" w:hAnsi="Helvetica" w:cs="Times New Roman"/>
      <w:b/>
      <w:bCs/>
      <w:sz w:val="20"/>
      <w:szCs w:val="20"/>
      <w:lang w:val="en-AU"/>
    </w:rPr>
  </w:style>
  <w:style w:type="character" w:customStyle="1" w:styleId="CommentSubjectChar">
    <w:name w:val="Comment Subject Char"/>
    <w:basedOn w:val="CommentTextChar"/>
    <w:link w:val="CommentSubject"/>
    <w:rsid w:val="00866FF5"/>
    <w:rPr>
      <w:rFonts w:ascii="Helvetica" w:eastAsiaTheme="minorEastAsia" w:hAnsi="Helvetica" w:cstheme="minorBidi"/>
      <w:b/>
      <w:bCs/>
      <w:sz w:val="24"/>
      <w:szCs w:val="24"/>
      <w:lang w:val="en-US" w:eastAsia="en-US"/>
    </w:rPr>
  </w:style>
  <w:style w:type="character" w:customStyle="1" w:styleId="st">
    <w:name w:val="st"/>
    <w:basedOn w:val="DefaultParagraphFont"/>
    <w:rsid w:val="008D2C73"/>
  </w:style>
  <w:style w:type="paragraph" w:styleId="TOC1">
    <w:name w:val="toc 1"/>
    <w:basedOn w:val="Normal"/>
    <w:next w:val="Normal"/>
    <w:autoRedefine/>
    <w:uiPriority w:val="39"/>
    <w:rsid w:val="008D3FE5"/>
    <w:pPr>
      <w:tabs>
        <w:tab w:val="right" w:pos="9622"/>
      </w:tabs>
      <w:spacing w:before="240"/>
    </w:pPr>
    <w:rPr>
      <w:b/>
      <w:noProof/>
      <w:sz w:val="24"/>
    </w:rPr>
  </w:style>
  <w:style w:type="paragraph" w:styleId="TOC2">
    <w:name w:val="toc 2"/>
    <w:basedOn w:val="Normal"/>
    <w:next w:val="Normal"/>
    <w:autoRedefine/>
    <w:uiPriority w:val="39"/>
    <w:rsid w:val="00282704"/>
    <w:pPr>
      <w:ind w:left="220"/>
    </w:pPr>
    <w:rPr>
      <w:i/>
      <w:szCs w:val="22"/>
    </w:rPr>
  </w:style>
  <w:style w:type="paragraph" w:styleId="TOC3">
    <w:name w:val="toc 3"/>
    <w:basedOn w:val="Normal"/>
    <w:next w:val="Normal"/>
    <w:autoRedefine/>
    <w:uiPriority w:val="39"/>
    <w:rsid w:val="00282704"/>
    <w:pPr>
      <w:ind w:left="440"/>
    </w:pPr>
    <w:rPr>
      <w:szCs w:val="22"/>
    </w:rPr>
  </w:style>
  <w:style w:type="paragraph" w:styleId="TOC4">
    <w:name w:val="toc 4"/>
    <w:basedOn w:val="Normal"/>
    <w:next w:val="Normal"/>
    <w:autoRedefine/>
    <w:uiPriority w:val="39"/>
    <w:rsid w:val="00282704"/>
    <w:pPr>
      <w:ind w:left="660"/>
    </w:pPr>
    <w:rPr>
      <w:sz w:val="20"/>
      <w:szCs w:val="20"/>
    </w:rPr>
  </w:style>
  <w:style w:type="paragraph" w:styleId="TOC5">
    <w:name w:val="toc 5"/>
    <w:basedOn w:val="Normal"/>
    <w:next w:val="Normal"/>
    <w:autoRedefine/>
    <w:uiPriority w:val="39"/>
    <w:rsid w:val="00282704"/>
    <w:pPr>
      <w:ind w:left="880"/>
    </w:pPr>
    <w:rPr>
      <w:sz w:val="20"/>
      <w:szCs w:val="20"/>
    </w:rPr>
  </w:style>
  <w:style w:type="paragraph" w:styleId="TOC6">
    <w:name w:val="toc 6"/>
    <w:basedOn w:val="Normal"/>
    <w:next w:val="Normal"/>
    <w:autoRedefine/>
    <w:uiPriority w:val="39"/>
    <w:rsid w:val="00282704"/>
    <w:pPr>
      <w:ind w:left="1100"/>
    </w:pPr>
    <w:rPr>
      <w:sz w:val="20"/>
      <w:szCs w:val="20"/>
    </w:rPr>
  </w:style>
  <w:style w:type="paragraph" w:styleId="TOC7">
    <w:name w:val="toc 7"/>
    <w:basedOn w:val="Normal"/>
    <w:next w:val="Normal"/>
    <w:autoRedefine/>
    <w:uiPriority w:val="39"/>
    <w:rsid w:val="00282704"/>
    <w:pPr>
      <w:ind w:left="1320"/>
    </w:pPr>
    <w:rPr>
      <w:sz w:val="20"/>
      <w:szCs w:val="20"/>
    </w:rPr>
  </w:style>
  <w:style w:type="paragraph" w:styleId="TOC8">
    <w:name w:val="toc 8"/>
    <w:basedOn w:val="Normal"/>
    <w:next w:val="Normal"/>
    <w:autoRedefine/>
    <w:uiPriority w:val="39"/>
    <w:rsid w:val="00282704"/>
    <w:pPr>
      <w:ind w:left="1540"/>
    </w:pPr>
    <w:rPr>
      <w:sz w:val="20"/>
      <w:szCs w:val="20"/>
    </w:rPr>
  </w:style>
  <w:style w:type="paragraph" w:styleId="TOC9">
    <w:name w:val="toc 9"/>
    <w:basedOn w:val="Normal"/>
    <w:next w:val="Normal"/>
    <w:autoRedefine/>
    <w:uiPriority w:val="39"/>
    <w:rsid w:val="00282704"/>
    <w:pPr>
      <w:ind w:left="1760"/>
    </w:pPr>
    <w:rPr>
      <w:sz w:val="20"/>
      <w:szCs w:val="20"/>
    </w:rPr>
  </w:style>
  <w:style w:type="character" w:customStyle="1" w:styleId="Heading1Char">
    <w:name w:val="Heading 1 Char"/>
    <w:basedOn w:val="DefaultParagraphFont"/>
    <w:link w:val="Heading1"/>
    <w:rsid w:val="00880FD8"/>
    <w:rPr>
      <w:rFonts w:ascii="Calibri" w:hAnsi="Calibri" w:cstheme="minorHAnsi"/>
      <w:b/>
      <w:iCs/>
      <w:color w:val="BF1726"/>
      <w:sz w:val="36"/>
      <w:szCs w:val="18"/>
      <w:lang w:eastAsia="en-US"/>
    </w:rPr>
  </w:style>
  <w:style w:type="paragraph" w:styleId="TOCHeading">
    <w:name w:val="TOC Heading"/>
    <w:basedOn w:val="Heading1"/>
    <w:next w:val="Normal"/>
    <w:uiPriority w:val="39"/>
    <w:unhideWhenUsed/>
    <w:qFormat/>
    <w:rsid w:val="00880FD8"/>
  </w:style>
  <w:style w:type="character" w:customStyle="1" w:styleId="Heading2Char">
    <w:name w:val="Heading 2 Char"/>
    <w:basedOn w:val="DefaultParagraphFont"/>
    <w:link w:val="Heading2"/>
    <w:rsid w:val="00E22FCF"/>
    <w:rPr>
      <w:rFonts w:asciiTheme="minorHAnsi" w:hAnsiTheme="minorHAnsi" w:cstheme="minorHAnsi"/>
      <w:b/>
      <w:sz w:val="28"/>
      <w:szCs w:val="28"/>
      <w:lang w:eastAsia="en-US"/>
    </w:rPr>
  </w:style>
  <w:style w:type="character" w:customStyle="1" w:styleId="Heading3Char">
    <w:name w:val="Heading 3 Char"/>
    <w:basedOn w:val="DefaultParagraphFont"/>
    <w:link w:val="Heading3"/>
    <w:rsid w:val="00E419D1"/>
    <w:rPr>
      <w:rFonts w:asciiTheme="majorHAnsi" w:eastAsiaTheme="majorEastAsia" w:hAnsiTheme="majorHAnsi" w:cstheme="majorBidi"/>
      <w:b/>
      <w:bCs/>
      <w:sz w:val="22"/>
      <w:szCs w:val="24"/>
      <w:lang w:eastAsia="en-US"/>
    </w:rPr>
  </w:style>
  <w:style w:type="paragraph" w:styleId="ListBullet4">
    <w:name w:val="List Bullet 4"/>
    <w:basedOn w:val="Normal"/>
    <w:uiPriority w:val="36"/>
    <w:unhideWhenUsed/>
    <w:qFormat/>
    <w:rsid w:val="00C82BB7"/>
    <w:pPr>
      <w:numPr>
        <w:numId w:val="23"/>
      </w:numPr>
      <w:spacing w:line="276" w:lineRule="auto"/>
    </w:pPr>
    <w:rPr>
      <w:rFonts w:eastAsiaTheme="minorEastAsia"/>
      <w:color w:val="000000" w:themeColor="text1"/>
      <w:szCs w:val="20"/>
      <w:lang w:val="en-US"/>
    </w:rPr>
  </w:style>
  <w:style w:type="paragraph" w:styleId="Title">
    <w:name w:val="Title"/>
    <w:basedOn w:val="Normal"/>
    <w:next w:val="Normal"/>
    <w:link w:val="TitleChar"/>
    <w:qFormat/>
    <w:rsid w:val="006E7371"/>
    <w:pPr>
      <w:spacing w:before="4800"/>
      <w:jc w:val="right"/>
      <w:outlineLvl w:val="0"/>
    </w:pPr>
    <w:rPr>
      <w:rFonts w:ascii="Calibri" w:hAnsi="Calibri"/>
      <w:b/>
      <w:sz w:val="52"/>
    </w:rPr>
  </w:style>
  <w:style w:type="character" w:customStyle="1" w:styleId="TitleChar">
    <w:name w:val="Title Char"/>
    <w:basedOn w:val="DefaultParagraphFont"/>
    <w:link w:val="Title"/>
    <w:rsid w:val="006E7371"/>
    <w:rPr>
      <w:rFonts w:ascii="Calibri" w:hAnsi="Calibri" w:cstheme="minorHAnsi"/>
      <w:b/>
      <w:sz w:val="52"/>
      <w:szCs w:val="24"/>
      <w:lang w:eastAsia="en-US"/>
    </w:rPr>
  </w:style>
  <w:style w:type="paragraph" w:styleId="Subtitle">
    <w:name w:val="Subtitle"/>
    <w:basedOn w:val="Normal"/>
    <w:next w:val="Normal"/>
    <w:link w:val="SubtitleChar"/>
    <w:qFormat/>
    <w:rsid w:val="00A95675"/>
    <w:pPr>
      <w:spacing w:before="120"/>
      <w:jc w:val="right"/>
      <w:outlineLvl w:val="0"/>
    </w:pPr>
    <w:rPr>
      <w:rFonts w:ascii="Calibri" w:hAnsi="Calibri"/>
      <w:b/>
      <w:color w:val="BF1726"/>
      <w:sz w:val="40"/>
    </w:rPr>
  </w:style>
  <w:style w:type="character" w:customStyle="1" w:styleId="SubtitleChar">
    <w:name w:val="Subtitle Char"/>
    <w:basedOn w:val="DefaultParagraphFont"/>
    <w:link w:val="Subtitle"/>
    <w:rsid w:val="00A95675"/>
    <w:rPr>
      <w:rFonts w:ascii="Calibri" w:hAnsi="Calibri"/>
      <w:b/>
      <w:color w:val="BF1726"/>
      <w:sz w:val="40"/>
      <w:szCs w:val="24"/>
      <w:lang w:eastAsia="en-US"/>
    </w:rPr>
  </w:style>
  <w:style w:type="paragraph" w:customStyle="1" w:styleId="Box">
    <w:name w:val="Box"/>
    <w:basedOn w:val="Normal"/>
    <w:link w:val="BoxChar"/>
    <w:qFormat/>
    <w:rsid w:val="002F0716"/>
    <w:pPr>
      <w:pBdr>
        <w:top w:val="single" w:sz="4" w:space="1" w:color="auto"/>
        <w:left w:val="single" w:sz="4" w:space="4" w:color="auto"/>
        <w:bottom w:val="single" w:sz="4" w:space="1" w:color="auto"/>
        <w:right w:val="single" w:sz="4" w:space="4" w:color="auto"/>
      </w:pBdr>
    </w:pPr>
  </w:style>
  <w:style w:type="character" w:customStyle="1" w:styleId="BoxChar">
    <w:name w:val="Box Char"/>
    <w:basedOn w:val="DefaultParagraphFont"/>
    <w:link w:val="Box"/>
    <w:rsid w:val="002F0716"/>
    <w:rPr>
      <w:rFonts w:asciiTheme="minorHAnsi" w:hAnsiTheme="minorHAnsi" w:cstheme="minorHAnsi"/>
      <w:sz w:val="22"/>
      <w:szCs w:val="24"/>
      <w:lang w:eastAsia="en-US"/>
    </w:rPr>
  </w:style>
  <w:style w:type="character" w:customStyle="1" w:styleId="Heading4Char">
    <w:name w:val="Heading 4 Char"/>
    <w:basedOn w:val="DefaultParagraphFont"/>
    <w:link w:val="Heading4"/>
    <w:rsid w:val="00E419D1"/>
    <w:rPr>
      <w:rFonts w:asciiTheme="majorHAnsi" w:eastAsiaTheme="majorEastAsia" w:hAnsiTheme="majorHAnsi" w:cstheme="majorBidi"/>
      <w:b/>
      <w:bCs/>
      <w:i/>
      <w:iCs/>
      <w:sz w:val="22"/>
      <w:szCs w:val="24"/>
      <w:lang w:eastAsia="en-US"/>
    </w:rPr>
  </w:style>
  <w:style w:type="character" w:customStyle="1" w:styleId="Heading5Char">
    <w:name w:val="Heading 5 Char"/>
    <w:basedOn w:val="DefaultParagraphFont"/>
    <w:link w:val="Heading5"/>
    <w:rsid w:val="00F64D68"/>
    <w:rPr>
      <w:rFonts w:asciiTheme="majorHAnsi" w:eastAsiaTheme="majorEastAsia" w:hAnsiTheme="majorHAnsi" w:cstheme="majorBidi"/>
      <w:color w:val="000000" w:themeColor="text1"/>
      <w:sz w:val="22"/>
      <w:szCs w:val="24"/>
      <w:lang w:eastAsia="en-US"/>
    </w:rPr>
  </w:style>
  <w:style w:type="paragraph" w:customStyle="1" w:styleId="BoxBullet">
    <w:name w:val="Box Bullet"/>
    <w:basedOn w:val="Box"/>
    <w:link w:val="BoxBulletChar"/>
    <w:qFormat/>
    <w:rsid w:val="00E419D1"/>
    <w:pPr>
      <w:numPr>
        <w:numId w:val="34"/>
      </w:numPr>
      <w:ind w:left="357" w:hanging="357"/>
      <w:contextualSpacing/>
    </w:pPr>
  </w:style>
  <w:style w:type="character" w:customStyle="1" w:styleId="BoxBulletChar">
    <w:name w:val="Box Bullet Char"/>
    <w:basedOn w:val="BoxChar"/>
    <w:link w:val="BoxBullet"/>
    <w:rsid w:val="00E419D1"/>
    <w:rPr>
      <w:rFonts w:asciiTheme="minorHAnsi" w:hAnsiTheme="minorHAnsi" w:cstheme="minorHAnsi"/>
      <w:sz w:val="22"/>
      <w:szCs w:val="24"/>
      <w:lang w:eastAsia="en-US"/>
    </w:rPr>
  </w:style>
  <w:style w:type="paragraph" w:customStyle="1" w:styleId="StyleListParagraphBoxSinglesolidlineAuto05ptLine">
    <w:name w:val="Style List Paragraph + Box: (Single solid line Auto  0.5 pt Line ..."/>
    <w:basedOn w:val="ListParagraph"/>
    <w:rsid w:val="008475D7"/>
    <w:pPr>
      <w:pBdr>
        <w:top w:val="single" w:sz="4" w:space="1" w:color="auto"/>
        <w:left w:val="single" w:sz="4" w:space="4" w:color="auto"/>
        <w:bottom w:val="single" w:sz="4" w:space="1" w:color="auto"/>
        <w:right w:val="single" w:sz="4" w:space="4" w:color="auto"/>
      </w:pBdr>
      <w:spacing w:line="240" w:lineRule="auto"/>
    </w:pPr>
    <w:rPr>
      <w:rFonts w:eastAsia="Times New Roman" w:cs="Times New Roman"/>
      <w:szCs w:val="20"/>
    </w:rPr>
  </w:style>
  <w:style w:type="character" w:customStyle="1" w:styleId="Boxh4Char">
    <w:name w:val="Box h4 Char"/>
    <w:basedOn w:val="BoxChar"/>
    <w:link w:val="Boxh4"/>
    <w:rsid w:val="002F0716"/>
    <w:rPr>
      <w:rFonts w:asciiTheme="minorHAnsi" w:hAnsiTheme="minorHAnsi" w:cstheme="minorHAnsi"/>
      <w:b/>
      <w:sz w:val="24"/>
      <w:szCs w:val="24"/>
      <w:lang w:eastAsia="en-US"/>
    </w:rPr>
  </w:style>
  <w:style w:type="character" w:customStyle="1" w:styleId="H5inverseChar">
    <w:name w:val="H5 inverse Char"/>
    <w:basedOn w:val="Heading5Char"/>
    <w:link w:val="H5inverse"/>
    <w:rsid w:val="00FB5F37"/>
    <w:rPr>
      <w:rFonts w:asciiTheme="majorHAnsi" w:eastAsiaTheme="majorEastAsia" w:hAnsiTheme="majorHAnsi" w:cstheme="majorBidi"/>
      <w:color w:val="FFFFFF" w:themeColor="background1"/>
      <w:sz w:val="22"/>
      <w:szCs w:val="24"/>
      <w:shd w:val="clear" w:color="auto" w:fill="000000" w:themeFill="text1"/>
      <w:lang w:eastAsia="en-US"/>
    </w:rPr>
  </w:style>
  <w:style w:type="paragraph" w:customStyle="1" w:styleId="Boxh3">
    <w:name w:val="Box h3"/>
    <w:basedOn w:val="Heading3"/>
    <w:link w:val="Boxh3Char"/>
    <w:qFormat/>
    <w:rsid w:val="002F0716"/>
    <w:pPr>
      <w:pBdr>
        <w:top w:val="single" w:sz="4" w:space="1" w:color="auto"/>
        <w:left w:val="single" w:sz="4" w:space="4" w:color="auto"/>
        <w:bottom w:val="single" w:sz="4" w:space="1" w:color="auto"/>
        <w:right w:val="single" w:sz="4" w:space="4" w:color="auto"/>
      </w:pBdr>
    </w:pPr>
    <w:rPr>
      <w:sz w:val="24"/>
    </w:rPr>
  </w:style>
  <w:style w:type="character" w:customStyle="1" w:styleId="Boxh3Char">
    <w:name w:val="Box h3 Char"/>
    <w:basedOn w:val="Heading3Char"/>
    <w:link w:val="Boxh3"/>
    <w:rsid w:val="002F0716"/>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6994">
      <w:bodyDiv w:val="1"/>
      <w:marLeft w:val="0"/>
      <w:marRight w:val="0"/>
      <w:marTop w:val="0"/>
      <w:marBottom w:val="0"/>
      <w:divBdr>
        <w:top w:val="none" w:sz="0" w:space="0" w:color="auto"/>
        <w:left w:val="none" w:sz="0" w:space="0" w:color="auto"/>
        <w:bottom w:val="none" w:sz="0" w:space="0" w:color="auto"/>
        <w:right w:val="none" w:sz="0" w:space="0" w:color="auto"/>
      </w:divBdr>
      <w:divsChild>
        <w:div w:id="831143073">
          <w:marLeft w:val="0"/>
          <w:marRight w:val="0"/>
          <w:marTop w:val="0"/>
          <w:marBottom w:val="0"/>
          <w:divBdr>
            <w:top w:val="none" w:sz="0" w:space="0" w:color="auto"/>
            <w:left w:val="none" w:sz="0" w:space="0" w:color="auto"/>
            <w:bottom w:val="none" w:sz="0" w:space="0" w:color="auto"/>
            <w:right w:val="none" w:sz="0" w:space="0" w:color="auto"/>
          </w:divBdr>
        </w:div>
        <w:div w:id="920942349">
          <w:marLeft w:val="0"/>
          <w:marRight w:val="0"/>
          <w:marTop w:val="0"/>
          <w:marBottom w:val="0"/>
          <w:divBdr>
            <w:top w:val="none" w:sz="0" w:space="0" w:color="auto"/>
            <w:left w:val="none" w:sz="0" w:space="0" w:color="auto"/>
            <w:bottom w:val="none" w:sz="0" w:space="0" w:color="auto"/>
            <w:right w:val="none" w:sz="0" w:space="0" w:color="auto"/>
          </w:divBdr>
        </w:div>
        <w:div w:id="1249924984">
          <w:marLeft w:val="0"/>
          <w:marRight w:val="0"/>
          <w:marTop w:val="0"/>
          <w:marBottom w:val="0"/>
          <w:divBdr>
            <w:top w:val="none" w:sz="0" w:space="0" w:color="auto"/>
            <w:left w:val="none" w:sz="0" w:space="0" w:color="auto"/>
            <w:bottom w:val="none" w:sz="0" w:space="0" w:color="auto"/>
            <w:right w:val="none" w:sz="0" w:space="0" w:color="auto"/>
          </w:divBdr>
        </w:div>
      </w:divsChild>
    </w:div>
    <w:div w:id="42485558">
      <w:bodyDiv w:val="1"/>
      <w:marLeft w:val="0"/>
      <w:marRight w:val="0"/>
      <w:marTop w:val="0"/>
      <w:marBottom w:val="0"/>
      <w:divBdr>
        <w:top w:val="none" w:sz="0" w:space="0" w:color="auto"/>
        <w:left w:val="none" w:sz="0" w:space="0" w:color="auto"/>
        <w:bottom w:val="none" w:sz="0" w:space="0" w:color="auto"/>
        <w:right w:val="none" w:sz="0" w:space="0" w:color="auto"/>
      </w:divBdr>
      <w:divsChild>
        <w:div w:id="237789986">
          <w:marLeft w:val="0"/>
          <w:marRight w:val="0"/>
          <w:marTop w:val="0"/>
          <w:marBottom w:val="0"/>
          <w:divBdr>
            <w:top w:val="none" w:sz="0" w:space="0" w:color="auto"/>
            <w:left w:val="none" w:sz="0" w:space="0" w:color="auto"/>
            <w:bottom w:val="none" w:sz="0" w:space="0" w:color="auto"/>
            <w:right w:val="none" w:sz="0" w:space="0" w:color="auto"/>
          </w:divBdr>
        </w:div>
        <w:div w:id="497503347">
          <w:marLeft w:val="0"/>
          <w:marRight w:val="0"/>
          <w:marTop w:val="0"/>
          <w:marBottom w:val="0"/>
          <w:divBdr>
            <w:top w:val="none" w:sz="0" w:space="0" w:color="auto"/>
            <w:left w:val="none" w:sz="0" w:space="0" w:color="auto"/>
            <w:bottom w:val="none" w:sz="0" w:space="0" w:color="auto"/>
            <w:right w:val="none" w:sz="0" w:space="0" w:color="auto"/>
          </w:divBdr>
        </w:div>
        <w:div w:id="542788461">
          <w:marLeft w:val="0"/>
          <w:marRight w:val="0"/>
          <w:marTop w:val="0"/>
          <w:marBottom w:val="0"/>
          <w:divBdr>
            <w:top w:val="none" w:sz="0" w:space="0" w:color="auto"/>
            <w:left w:val="none" w:sz="0" w:space="0" w:color="auto"/>
            <w:bottom w:val="none" w:sz="0" w:space="0" w:color="auto"/>
            <w:right w:val="none" w:sz="0" w:space="0" w:color="auto"/>
          </w:divBdr>
        </w:div>
        <w:div w:id="589462345">
          <w:marLeft w:val="0"/>
          <w:marRight w:val="0"/>
          <w:marTop w:val="0"/>
          <w:marBottom w:val="0"/>
          <w:divBdr>
            <w:top w:val="none" w:sz="0" w:space="0" w:color="auto"/>
            <w:left w:val="none" w:sz="0" w:space="0" w:color="auto"/>
            <w:bottom w:val="none" w:sz="0" w:space="0" w:color="auto"/>
            <w:right w:val="none" w:sz="0" w:space="0" w:color="auto"/>
          </w:divBdr>
        </w:div>
        <w:div w:id="628708507">
          <w:marLeft w:val="0"/>
          <w:marRight w:val="0"/>
          <w:marTop w:val="0"/>
          <w:marBottom w:val="0"/>
          <w:divBdr>
            <w:top w:val="none" w:sz="0" w:space="0" w:color="auto"/>
            <w:left w:val="none" w:sz="0" w:space="0" w:color="auto"/>
            <w:bottom w:val="none" w:sz="0" w:space="0" w:color="auto"/>
            <w:right w:val="none" w:sz="0" w:space="0" w:color="auto"/>
          </w:divBdr>
        </w:div>
        <w:div w:id="1121992307">
          <w:marLeft w:val="0"/>
          <w:marRight w:val="0"/>
          <w:marTop w:val="0"/>
          <w:marBottom w:val="0"/>
          <w:divBdr>
            <w:top w:val="none" w:sz="0" w:space="0" w:color="auto"/>
            <w:left w:val="none" w:sz="0" w:space="0" w:color="auto"/>
            <w:bottom w:val="none" w:sz="0" w:space="0" w:color="auto"/>
            <w:right w:val="none" w:sz="0" w:space="0" w:color="auto"/>
          </w:divBdr>
        </w:div>
        <w:div w:id="1581477160">
          <w:marLeft w:val="0"/>
          <w:marRight w:val="0"/>
          <w:marTop w:val="0"/>
          <w:marBottom w:val="0"/>
          <w:divBdr>
            <w:top w:val="none" w:sz="0" w:space="0" w:color="auto"/>
            <w:left w:val="none" w:sz="0" w:space="0" w:color="auto"/>
            <w:bottom w:val="none" w:sz="0" w:space="0" w:color="auto"/>
            <w:right w:val="none" w:sz="0" w:space="0" w:color="auto"/>
          </w:divBdr>
        </w:div>
        <w:div w:id="1640182880">
          <w:marLeft w:val="0"/>
          <w:marRight w:val="0"/>
          <w:marTop w:val="0"/>
          <w:marBottom w:val="0"/>
          <w:divBdr>
            <w:top w:val="none" w:sz="0" w:space="0" w:color="auto"/>
            <w:left w:val="none" w:sz="0" w:space="0" w:color="auto"/>
            <w:bottom w:val="none" w:sz="0" w:space="0" w:color="auto"/>
            <w:right w:val="none" w:sz="0" w:space="0" w:color="auto"/>
          </w:divBdr>
        </w:div>
        <w:div w:id="1737896137">
          <w:marLeft w:val="0"/>
          <w:marRight w:val="0"/>
          <w:marTop w:val="0"/>
          <w:marBottom w:val="0"/>
          <w:divBdr>
            <w:top w:val="none" w:sz="0" w:space="0" w:color="auto"/>
            <w:left w:val="none" w:sz="0" w:space="0" w:color="auto"/>
            <w:bottom w:val="none" w:sz="0" w:space="0" w:color="auto"/>
            <w:right w:val="none" w:sz="0" w:space="0" w:color="auto"/>
          </w:divBdr>
        </w:div>
        <w:div w:id="1820147800">
          <w:marLeft w:val="0"/>
          <w:marRight w:val="0"/>
          <w:marTop w:val="0"/>
          <w:marBottom w:val="0"/>
          <w:divBdr>
            <w:top w:val="none" w:sz="0" w:space="0" w:color="auto"/>
            <w:left w:val="none" w:sz="0" w:space="0" w:color="auto"/>
            <w:bottom w:val="none" w:sz="0" w:space="0" w:color="auto"/>
            <w:right w:val="none" w:sz="0" w:space="0" w:color="auto"/>
          </w:divBdr>
        </w:div>
      </w:divsChild>
    </w:div>
    <w:div w:id="105515015">
      <w:bodyDiv w:val="1"/>
      <w:marLeft w:val="0"/>
      <w:marRight w:val="0"/>
      <w:marTop w:val="0"/>
      <w:marBottom w:val="0"/>
      <w:divBdr>
        <w:top w:val="none" w:sz="0" w:space="0" w:color="auto"/>
        <w:left w:val="none" w:sz="0" w:space="0" w:color="auto"/>
        <w:bottom w:val="none" w:sz="0" w:space="0" w:color="auto"/>
        <w:right w:val="none" w:sz="0" w:space="0" w:color="auto"/>
      </w:divBdr>
    </w:div>
    <w:div w:id="120727964">
      <w:bodyDiv w:val="1"/>
      <w:marLeft w:val="0"/>
      <w:marRight w:val="0"/>
      <w:marTop w:val="0"/>
      <w:marBottom w:val="0"/>
      <w:divBdr>
        <w:top w:val="none" w:sz="0" w:space="0" w:color="auto"/>
        <w:left w:val="none" w:sz="0" w:space="0" w:color="auto"/>
        <w:bottom w:val="none" w:sz="0" w:space="0" w:color="auto"/>
        <w:right w:val="none" w:sz="0" w:space="0" w:color="auto"/>
      </w:divBdr>
    </w:div>
    <w:div w:id="127358478">
      <w:bodyDiv w:val="1"/>
      <w:marLeft w:val="0"/>
      <w:marRight w:val="0"/>
      <w:marTop w:val="0"/>
      <w:marBottom w:val="0"/>
      <w:divBdr>
        <w:top w:val="none" w:sz="0" w:space="0" w:color="auto"/>
        <w:left w:val="none" w:sz="0" w:space="0" w:color="auto"/>
        <w:bottom w:val="none" w:sz="0" w:space="0" w:color="auto"/>
        <w:right w:val="none" w:sz="0" w:space="0" w:color="auto"/>
      </w:divBdr>
    </w:div>
    <w:div w:id="150222366">
      <w:bodyDiv w:val="1"/>
      <w:marLeft w:val="0"/>
      <w:marRight w:val="0"/>
      <w:marTop w:val="0"/>
      <w:marBottom w:val="0"/>
      <w:divBdr>
        <w:top w:val="none" w:sz="0" w:space="0" w:color="auto"/>
        <w:left w:val="none" w:sz="0" w:space="0" w:color="auto"/>
        <w:bottom w:val="none" w:sz="0" w:space="0" w:color="auto"/>
        <w:right w:val="none" w:sz="0" w:space="0" w:color="auto"/>
      </w:divBdr>
      <w:divsChild>
        <w:div w:id="1656565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24987">
      <w:bodyDiv w:val="1"/>
      <w:marLeft w:val="0"/>
      <w:marRight w:val="0"/>
      <w:marTop w:val="0"/>
      <w:marBottom w:val="0"/>
      <w:divBdr>
        <w:top w:val="none" w:sz="0" w:space="0" w:color="auto"/>
        <w:left w:val="none" w:sz="0" w:space="0" w:color="auto"/>
        <w:bottom w:val="none" w:sz="0" w:space="0" w:color="auto"/>
        <w:right w:val="none" w:sz="0" w:space="0" w:color="auto"/>
      </w:divBdr>
    </w:div>
    <w:div w:id="414672151">
      <w:bodyDiv w:val="1"/>
      <w:marLeft w:val="0"/>
      <w:marRight w:val="0"/>
      <w:marTop w:val="0"/>
      <w:marBottom w:val="0"/>
      <w:divBdr>
        <w:top w:val="none" w:sz="0" w:space="0" w:color="auto"/>
        <w:left w:val="none" w:sz="0" w:space="0" w:color="auto"/>
        <w:bottom w:val="none" w:sz="0" w:space="0" w:color="auto"/>
        <w:right w:val="none" w:sz="0" w:space="0" w:color="auto"/>
      </w:divBdr>
    </w:div>
    <w:div w:id="614364175">
      <w:bodyDiv w:val="1"/>
      <w:marLeft w:val="0"/>
      <w:marRight w:val="0"/>
      <w:marTop w:val="0"/>
      <w:marBottom w:val="0"/>
      <w:divBdr>
        <w:top w:val="none" w:sz="0" w:space="0" w:color="auto"/>
        <w:left w:val="none" w:sz="0" w:space="0" w:color="auto"/>
        <w:bottom w:val="none" w:sz="0" w:space="0" w:color="auto"/>
        <w:right w:val="none" w:sz="0" w:space="0" w:color="auto"/>
      </w:divBdr>
    </w:div>
    <w:div w:id="640967902">
      <w:bodyDiv w:val="1"/>
      <w:marLeft w:val="0"/>
      <w:marRight w:val="0"/>
      <w:marTop w:val="0"/>
      <w:marBottom w:val="0"/>
      <w:divBdr>
        <w:top w:val="none" w:sz="0" w:space="0" w:color="auto"/>
        <w:left w:val="none" w:sz="0" w:space="0" w:color="auto"/>
        <w:bottom w:val="none" w:sz="0" w:space="0" w:color="auto"/>
        <w:right w:val="none" w:sz="0" w:space="0" w:color="auto"/>
      </w:divBdr>
      <w:divsChild>
        <w:div w:id="41250393">
          <w:marLeft w:val="0"/>
          <w:marRight w:val="0"/>
          <w:marTop w:val="0"/>
          <w:marBottom w:val="0"/>
          <w:divBdr>
            <w:top w:val="none" w:sz="0" w:space="0" w:color="auto"/>
            <w:left w:val="none" w:sz="0" w:space="0" w:color="auto"/>
            <w:bottom w:val="none" w:sz="0" w:space="0" w:color="auto"/>
            <w:right w:val="none" w:sz="0" w:space="0" w:color="auto"/>
          </w:divBdr>
        </w:div>
        <w:div w:id="1432890995">
          <w:marLeft w:val="0"/>
          <w:marRight w:val="0"/>
          <w:marTop w:val="0"/>
          <w:marBottom w:val="0"/>
          <w:divBdr>
            <w:top w:val="none" w:sz="0" w:space="0" w:color="auto"/>
            <w:left w:val="none" w:sz="0" w:space="0" w:color="auto"/>
            <w:bottom w:val="none" w:sz="0" w:space="0" w:color="auto"/>
            <w:right w:val="none" w:sz="0" w:space="0" w:color="auto"/>
          </w:divBdr>
        </w:div>
        <w:div w:id="1734351655">
          <w:marLeft w:val="0"/>
          <w:marRight w:val="0"/>
          <w:marTop w:val="0"/>
          <w:marBottom w:val="0"/>
          <w:divBdr>
            <w:top w:val="none" w:sz="0" w:space="0" w:color="auto"/>
            <w:left w:val="none" w:sz="0" w:space="0" w:color="auto"/>
            <w:bottom w:val="none" w:sz="0" w:space="0" w:color="auto"/>
            <w:right w:val="none" w:sz="0" w:space="0" w:color="auto"/>
          </w:divBdr>
        </w:div>
      </w:divsChild>
    </w:div>
    <w:div w:id="778838243">
      <w:bodyDiv w:val="1"/>
      <w:marLeft w:val="0"/>
      <w:marRight w:val="0"/>
      <w:marTop w:val="0"/>
      <w:marBottom w:val="0"/>
      <w:divBdr>
        <w:top w:val="none" w:sz="0" w:space="0" w:color="auto"/>
        <w:left w:val="none" w:sz="0" w:space="0" w:color="auto"/>
        <w:bottom w:val="none" w:sz="0" w:space="0" w:color="auto"/>
        <w:right w:val="none" w:sz="0" w:space="0" w:color="auto"/>
      </w:divBdr>
    </w:div>
    <w:div w:id="781723466">
      <w:bodyDiv w:val="1"/>
      <w:marLeft w:val="0"/>
      <w:marRight w:val="0"/>
      <w:marTop w:val="0"/>
      <w:marBottom w:val="0"/>
      <w:divBdr>
        <w:top w:val="none" w:sz="0" w:space="0" w:color="auto"/>
        <w:left w:val="none" w:sz="0" w:space="0" w:color="auto"/>
        <w:bottom w:val="none" w:sz="0" w:space="0" w:color="auto"/>
        <w:right w:val="none" w:sz="0" w:space="0" w:color="auto"/>
      </w:divBdr>
    </w:div>
    <w:div w:id="975646210">
      <w:bodyDiv w:val="1"/>
      <w:marLeft w:val="0"/>
      <w:marRight w:val="0"/>
      <w:marTop w:val="0"/>
      <w:marBottom w:val="0"/>
      <w:divBdr>
        <w:top w:val="none" w:sz="0" w:space="0" w:color="auto"/>
        <w:left w:val="none" w:sz="0" w:space="0" w:color="auto"/>
        <w:bottom w:val="none" w:sz="0" w:space="0" w:color="auto"/>
        <w:right w:val="none" w:sz="0" w:space="0" w:color="auto"/>
      </w:divBdr>
      <w:divsChild>
        <w:div w:id="307903975">
          <w:marLeft w:val="547"/>
          <w:marRight w:val="0"/>
          <w:marTop w:val="0"/>
          <w:marBottom w:val="0"/>
          <w:divBdr>
            <w:top w:val="none" w:sz="0" w:space="0" w:color="auto"/>
            <w:left w:val="none" w:sz="0" w:space="0" w:color="auto"/>
            <w:bottom w:val="none" w:sz="0" w:space="0" w:color="auto"/>
            <w:right w:val="none" w:sz="0" w:space="0" w:color="auto"/>
          </w:divBdr>
        </w:div>
        <w:div w:id="470681826">
          <w:marLeft w:val="547"/>
          <w:marRight w:val="0"/>
          <w:marTop w:val="0"/>
          <w:marBottom w:val="0"/>
          <w:divBdr>
            <w:top w:val="none" w:sz="0" w:space="0" w:color="auto"/>
            <w:left w:val="none" w:sz="0" w:space="0" w:color="auto"/>
            <w:bottom w:val="none" w:sz="0" w:space="0" w:color="auto"/>
            <w:right w:val="none" w:sz="0" w:space="0" w:color="auto"/>
          </w:divBdr>
        </w:div>
        <w:div w:id="567956791">
          <w:marLeft w:val="547"/>
          <w:marRight w:val="0"/>
          <w:marTop w:val="0"/>
          <w:marBottom w:val="0"/>
          <w:divBdr>
            <w:top w:val="none" w:sz="0" w:space="0" w:color="auto"/>
            <w:left w:val="none" w:sz="0" w:space="0" w:color="auto"/>
            <w:bottom w:val="none" w:sz="0" w:space="0" w:color="auto"/>
            <w:right w:val="none" w:sz="0" w:space="0" w:color="auto"/>
          </w:divBdr>
        </w:div>
        <w:div w:id="1093892896">
          <w:marLeft w:val="547"/>
          <w:marRight w:val="0"/>
          <w:marTop w:val="0"/>
          <w:marBottom w:val="0"/>
          <w:divBdr>
            <w:top w:val="none" w:sz="0" w:space="0" w:color="auto"/>
            <w:left w:val="none" w:sz="0" w:space="0" w:color="auto"/>
            <w:bottom w:val="none" w:sz="0" w:space="0" w:color="auto"/>
            <w:right w:val="none" w:sz="0" w:space="0" w:color="auto"/>
          </w:divBdr>
        </w:div>
      </w:divsChild>
    </w:div>
    <w:div w:id="982780124">
      <w:bodyDiv w:val="1"/>
      <w:marLeft w:val="0"/>
      <w:marRight w:val="0"/>
      <w:marTop w:val="0"/>
      <w:marBottom w:val="0"/>
      <w:divBdr>
        <w:top w:val="none" w:sz="0" w:space="0" w:color="auto"/>
        <w:left w:val="none" w:sz="0" w:space="0" w:color="auto"/>
        <w:bottom w:val="none" w:sz="0" w:space="0" w:color="auto"/>
        <w:right w:val="none" w:sz="0" w:space="0" w:color="auto"/>
      </w:divBdr>
    </w:div>
    <w:div w:id="1003894334">
      <w:bodyDiv w:val="1"/>
      <w:marLeft w:val="0"/>
      <w:marRight w:val="0"/>
      <w:marTop w:val="0"/>
      <w:marBottom w:val="0"/>
      <w:divBdr>
        <w:top w:val="none" w:sz="0" w:space="0" w:color="auto"/>
        <w:left w:val="none" w:sz="0" w:space="0" w:color="auto"/>
        <w:bottom w:val="none" w:sz="0" w:space="0" w:color="auto"/>
        <w:right w:val="none" w:sz="0" w:space="0" w:color="auto"/>
      </w:divBdr>
    </w:div>
    <w:div w:id="1304771013">
      <w:bodyDiv w:val="1"/>
      <w:marLeft w:val="0"/>
      <w:marRight w:val="0"/>
      <w:marTop w:val="0"/>
      <w:marBottom w:val="0"/>
      <w:divBdr>
        <w:top w:val="none" w:sz="0" w:space="0" w:color="auto"/>
        <w:left w:val="none" w:sz="0" w:space="0" w:color="auto"/>
        <w:bottom w:val="none" w:sz="0" w:space="0" w:color="auto"/>
        <w:right w:val="none" w:sz="0" w:space="0" w:color="auto"/>
      </w:divBdr>
    </w:div>
    <w:div w:id="1334649167">
      <w:bodyDiv w:val="1"/>
      <w:marLeft w:val="0"/>
      <w:marRight w:val="0"/>
      <w:marTop w:val="0"/>
      <w:marBottom w:val="0"/>
      <w:divBdr>
        <w:top w:val="none" w:sz="0" w:space="0" w:color="auto"/>
        <w:left w:val="none" w:sz="0" w:space="0" w:color="auto"/>
        <w:bottom w:val="none" w:sz="0" w:space="0" w:color="auto"/>
        <w:right w:val="none" w:sz="0" w:space="0" w:color="auto"/>
      </w:divBdr>
    </w:div>
    <w:div w:id="1445074536">
      <w:bodyDiv w:val="1"/>
      <w:marLeft w:val="0"/>
      <w:marRight w:val="0"/>
      <w:marTop w:val="0"/>
      <w:marBottom w:val="0"/>
      <w:divBdr>
        <w:top w:val="none" w:sz="0" w:space="0" w:color="auto"/>
        <w:left w:val="none" w:sz="0" w:space="0" w:color="auto"/>
        <w:bottom w:val="none" w:sz="0" w:space="0" w:color="auto"/>
        <w:right w:val="none" w:sz="0" w:space="0" w:color="auto"/>
      </w:divBdr>
    </w:div>
    <w:div w:id="1494952436">
      <w:bodyDiv w:val="1"/>
      <w:marLeft w:val="0"/>
      <w:marRight w:val="0"/>
      <w:marTop w:val="0"/>
      <w:marBottom w:val="0"/>
      <w:divBdr>
        <w:top w:val="none" w:sz="0" w:space="0" w:color="auto"/>
        <w:left w:val="none" w:sz="0" w:space="0" w:color="auto"/>
        <w:bottom w:val="none" w:sz="0" w:space="0" w:color="auto"/>
        <w:right w:val="none" w:sz="0" w:space="0" w:color="auto"/>
      </w:divBdr>
    </w:div>
    <w:div w:id="1521240743">
      <w:bodyDiv w:val="1"/>
      <w:marLeft w:val="0"/>
      <w:marRight w:val="0"/>
      <w:marTop w:val="0"/>
      <w:marBottom w:val="0"/>
      <w:divBdr>
        <w:top w:val="none" w:sz="0" w:space="0" w:color="auto"/>
        <w:left w:val="none" w:sz="0" w:space="0" w:color="auto"/>
        <w:bottom w:val="none" w:sz="0" w:space="0" w:color="auto"/>
        <w:right w:val="none" w:sz="0" w:space="0" w:color="auto"/>
      </w:divBdr>
    </w:div>
    <w:div w:id="1538737061">
      <w:bodyDiv w:val="1"/>
      <w:marLeft w:val="0"/>
      <w:marRight w:val="0"/>
      <w:marTop w:val="0"/>
      <w:marBottom w:val="0"/>
      <w:divBdr>
        <w:top w:val="none" w:sz="0" w:space="0" w:color="auto"/>
        <w:left w:val="none" w:sz="0" w:space="0" w:color="auto"/>
        <w:bottom w:val="none" w:sz="0" w:space="0" w:color="auto"/>
        <w:right w:val="none" w:sz="0" w:space="0" w:color="auto"/>
      </w:divBdr>
    </w:div>
    <w:div w:id="1601722841">
      <w:bodyDiv w:val="1"/>
      <w:marLeft w:val="0"/>
      <w:marRight w:val="0"/>
      <w:marTop w:val="0"/>
      <w:marBottom w:val="0"/>
      <w:divBdr>
        <w:top w:val="none" w:sz="0" w:space="0" w:color="auto"/>
        <w:left w:val="none" w:sz="0" w:space="0" w:color="auto"/>
        <w:bottom w:val="none" w:sz="0" w:space="0" w:color="auto"/>
        <w:right w:val="none" w:sz="0" w:space="0" w:color="auto"/>
      </w:divBdr>
    </w:div>
    <w:div w:id="1668947152">
      <w:bodyDiv w:val="1"/>
      <w:marLeft w:val="0"/>
      <w:marRight w:val="0"/>
      <w:marTop w:val="0"/>
      <w:marBottom w:val="0"/>
      <w:divBdr>
        <w:top w:val="none" w:sz="0" w:space="0" w:color="auto"/>
        <w:left w:val="none" w:sz="0" w:space="0" w:color="auto"/>
        <w:bottom w:val="none" w:sz="0" w:space="0" w:color="auto"/>
        <w:right w:val="none" w:sz="0" w:space="0" w:color="auto"/>
      </w:divBdr>
    </w:div>
    <w:div w:id="1670787107">
      <w:bodyDiv w:val="1"/>
      <w:marLeft w:val="0"/>
      <w:marRight w:val="0"/>
      <w:marTop w:val="0"/>
      <w:marBottom w:val="0"/>
      <w:divBdr>
        <w:top w:val="none" w:sz="0" w:space="0" w:color="auto"/>
        <w:left w:val="none" w:sz="0" w:space="0" w:color="auto"/>
        <w:bottom w:val="none" w:sz="0" w:space="0" w:color="auto"/>
        <w:right w:val="none" w:sz="0" w:space="0" w:color="auto"/>
      </w:divBdr>
    </w:div>
    <w:div w:id="1813016978">
      <w:bodyDiv w:val="1"/>
      <w:marLeft w:val="0"/>
      <w:marRight w:val="0"/>
      <w:marTop w:val="0"/>
      <w:marBottom w:val="0"/>
      <w:divBdr>
        <w:top w:val="none" w:sz="0" w:space="0" w:color="auto"/>
        <w:left w:val="none" w:sz="0" w:space="0" w:color="auto"/>
        <w:bottom w:val="none" w:sz="0" w:space="0" w:color="auto"/>
        <w:right w:val="none" w:sz="0" w:space="0" w:color="auto"/>
      </w:divBdr>
    </w:div>
    <w:div w:id="1988120869">
      <w:bodyDiv w:val="1"/>
      <w:marLeft w:val="0"/>
      <w:marRight w:val="0"/>
      <w:marTop w:val="0"/>
      <w:marBottom w:val="0"/>
      <w:divBdr>
        <w:top w:val="none" w:sz="0" w:space="0" w:color="auto"/>
        <w:left w:val="none" w:sz="0" w:space="0" w:color="auto"/>
        <w:bottom w:val="none" w:sz="0" w:space="0" w:color="auto"/>
        <w:right w:val="none" w:sz="0" w:space="0" w:color="auto"/>
      </w:divBdr>
    </w:div>
    <w:div w:id="1989093745">
      <w:bodyDiv w:val="1"/>
      <w:marLeft w:val="0"/>
      <w:marRight w:val="0"/>
      <w:marTop w:val="0"/>
      <w:marBottom w:val="0"/>
      <w:divBdr>
        <w:top w:val="none" w:sz="0" w:space="0" w:color="auto"/>
        <w:left w:val="none" w:sz="0" w:space="0" w:color="auto"/>
        <w:bottom w:val="none" w:sz="0" w:space="0" w:color="auto"/>
        <w:right w:val="none" w:sz="0" w:space="0" w:color="auto"/>
      </w:divBdr>
    </w:div>
    <w:div w:id="2034453101">
      <w:bodyDiv w:val="1"/>
      <w:marLeft w:val="0"/>
      <w:marRight w:val="0"/>
      <w:marTop w:val="0"/>
      <w:marBottom w:val="0"/>
      <w:divBdr>
        <w:top w:val="none" w:sz="0" w:space="0" w:color="auto"/>
        <w:left w:val="none" w:sz="0" w:space="0" w:color="auto"/>
        <w:bottom w:val="none" w:sz="0" w:space="0" w:color="auto"/>
        <w:right w:val="none" w:sz="0" w:space="0" w:color="auto"/>
      </w:divBdr>
    </w:div>
    <w:div w:id="2061005199">
      <w:bodyDiv w:val="1"/>
      <w:marLeft w:val="0"/>
      <w:marRight w:val="0"/>
      <w:marTop w:val="0"/>
      <w:marBottom w:val="0"/>
      <w:divBdr>
        <w:top w:val="none" w:sz="0" w:space="0" w:color="auto"/>
        <w:left w:val="none" w:sz="0" w:space="0" w:color="auto"/>
        <w:bottom w:val="none" w:sz="0" w:space="0" w:color="auto"/>
        <w:right w:val="none" w:sz="0" w:space="0" w:color="auto"/>
      </w:divBdr>
    </w:div>
    <w:div w:id="2073498768">
      <w:bodyDiv w:val="1"/>
      <w:marLeft w:val="0"/>
      <w:marRight w:val="0"/>
      <w:marTop w:val="0"/>
      <w:marBottom w:val="0"/>
      <w:divBdr>
        <w:top w:val="none" w:sz="0" w:space="0" w:color="auto"/>
        <w:left w:val="none" w:sz="0" w:space="0" w:color="auto"/>
        <w:bottom w:val="none" w:sz="0" w:space="0" w:color="auto"/>
        <w:right w:val="none" w:sz="0" w:space="0" w:color="auto"/>
      </w:divBdr>
      <w:divsChild>
        <w:div w:id="6908667">
          <w:marLeft w:val="0"/>
          <w:marRight w:val="0"/>
          <w:marTop w:val="0"/>
          <w:marBottom w:val="0"/>
          <w:divBdr>
            <w:top w:val="none" w:sz="0" w:space="0" w:color="auto"/>
            <w:left w:val="none" w:sz="0" w:space="0" w:color="auto"/>
            <w:bottom w:val="none" w:sz="0" w:space="0" w:color="auto"/>
            <w:right w:val="none" w:sz="0" w:space="0" w:color="auto"/>
          </w:divBdr>
        </w:div>
        <w:div w:id="13768216">
          <w:marLeft w:val="0"/>
          <w:marRight w:val="0"/>
          <w:marTop w:val="0"/>
          <w:marBottom w:val="0"/>
          <w:divBdr>
            <w:top w:val="none" w:sz="0" w:space="0" w:color="auto"/>
            <w:left w:val="none" w:sz="0" w:space="0" w:color="auto"/>
            <w:bottom w:val="none" w:sz="0" w:space="0" w:color="auto"/>
            <w:right w:val="none" w:sz="0" w:space="0" w:color="auto"/>
          </w:divBdr>
        </w:div>
        <w:div w:id="71659683">
          <w:marLeft w:val="0"/>
          <w:marRight w:val="0"/>
          <w:marTop w:val="0"/>
          <w:marBottom w:val="0"/>
          <w:divBdr>
            <w:top w:val="none" w:sz="0" w:space="0" w:color="auto"/>
            <w:left w:val="none" w:sz="0" w:space="0" w:color="auto"/>
            <w:bottom w:val="none" w:sz="0" w:space="0" w:color="auto"/>
            <w:right w:val="none" w:sz="0" w:space="0" w:color="auto"/>
          </w:divBdr>
        </w:div>
        <w:div w:id="455372411">
          <w:marLeft w:val="0"/>
          <w:marRight w:val="0"/>
          <w:marTop w:val="0"/>
          <w:marBottom w:val="0"/>
          <w:divBdr>
            <w:top w:val="none" w:sz="0" w:space="0" w:color="auto"/>
            <w:left w:val="none" w:sz="0" w:space="0" w:color="auto"/>
            <w:bottom w:val="none" w:sz="0" w:space="0" w:color="auto"/>
            <w:right w:val="none" w:sz="0" w:space="0" w:color="auto"/>
          </w:divBdr>
        </w:div>
        <w:div w:id="601645917">
          <w:marLeft w:val="0"/>
          <w:marRight w:val="0"/>
          <w:marTop w:val="0"/>
          <w:marBottom w:val="0"/>
          <w:divBdr>
            <w:top w:val="none" w:sz="0" w:space="0" w:color="auto"/>
            <w:left w:val="none" w:sz="0" w:space="0" w:color="auto"/>
            <w:bottom w:val="none" w:sz="0" w:space="0" w:color="auto"/>
            <w:right w:val="none" w:sz="0" w:space="0" w:color="auto"/>
          </w:divBdr>
        </w:div>
        <w:div w:id="1053115310">
          <w:marLeft w:val="0"/>
          <w:marRight w:val="0"/>
          <w:marTop w:val="0"/>
          <w:marBottom w:val="0"/>
          <w:divBdr>
            <w:top w:val="none" w:sz="0" w:space="0" w:color="auto"/>
            <w:left w:val="none" w:sz="0" w:space="0" w:color="auto"/>
            <w:bottom w:val="none" w:sz="0" w:space="0" w:color="auto"/>
            <w:right w:val="none" w:sz="0" w:space="0" w:color="auto"/>
          </w:divBdr>
        </w:div>
        <w:div w:id="1143472820">
          <w:marLeft w:val="0"/>
          <w:marRight w:val="0"/>
          <w:marTop w:val="0"/>
          <w:marBottom w:val="0"/>
          <w:divBdr>
            <w:top w:val="none" w:sz="0" w:space="0" w:color="auto"/>
            <w:left w:val="none" w:sz="0" w:space="0" w:color="auto"/>
            <w:bottom w:val="none" w:sz="0" w:space="0" w:color="auto"/>
            <w:right w:val="none" w:sz="0" w:space="0" w:color="auto"/>
          </w:divBdr>
        </w:div>
        <w:div w:id="1400980571">
          <w:marLeft w:val="0"/>
          <w:marRight w:val="0"/>
          <w:marTop w:val="0"/>
          <w:marBottom w:val="0"/>
          <w:divBdr>
            <w:top w:val="none" w:sz="0" w:space="0" w:color="auto"/>
            <w:left w:val="none" w:sz="0" w:space="0" w:color="auto"/>
            <w:bottom w:val="none" w:sz="0" w:space="0" w:color="auto"/>
            <w:right w:val="none" w:sz="0" w:space="0" w:color="auto"/>
          </w:divBdr>
        </w:div>
        <w:div w:id="1482691867">
          <w:marLeft w:val="0"/>
          <w:marRight w:val="0"/>
          <w:marTop w:val="0"/>
          <w:marBottom w:val="0"/>
          <w:divBdr>
            <w:top w:val="none" w:sz="0" w:space="0" w:color="auto"/>
            <w:left w:val="none" w:sz="0" w:space="0" w:color="auto"/>
            <w:bottom w:val="none" w:sz="0" w:space="0" w:color="auto"/>
            <w:right w:val="none" w:sz="0" w:space="0" w:color="auto"/>
          </w:divBdr>
        </w:div>
        <w:div w:id="2018147583">
          <w:marLeft w:val="0"/>
          <w:marRight w:val="0"/>
          <w:marTop w:val="0"/>
          <w:marBottom w:val="0"/>
          <w:divBdr>
            <w:top w:val="none" w:sz="0" w:space="0" w:color="auto"/>
            <w:left w:val="none" w:sz="0" w:space="0" w:color="auto"/>
            <w:bottom w:val="none" w:sz="0" w:space="0" w:color="auto"/>
            <w:right w:val="none" w:sz="0" w:space="0" w:color="auto"/>
          </w:divBdr>
        </w:div>
      </w:divsChild>
    </w:div>
    <w:div w:id="2118717856">
      <w:bodyDiv w:val="1"/>
      <w:marLeft w:val="0"/>
      <w:marRight w:val="0"/>
      <w:marTop w:val="0"/>
      <w:marBottom w:val="0"/>
      <w:divBdr>
        <w:top w:val="none" w:sz="0" w:space="0" w:color="auto"/>
        <w:left w:val="none" w:sz="0" w:space="0" w:color="auto"/>
        <w:bottom w:val="none" w:sz="0" w:space="0" w:color="auto"/>
        <w:right w:val="none" w:sz="0" w:space="0" w:color="auto"/>
      </w:divBdr>
    </w:div>
    <w:div w:id="21411494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bsss.act.edu.au/publications" TargetMode="External"/><Relationship Id="rId26" Type="http://schemas.openxmlformats.org/officeDocument/2006/relationships/image" Target="media/image5.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qcaa.qld.edu.au/617.html" TargetMode="External"/><Relationship Id="rId34" Type="http://schemas.openxmlformats.org/officeDocument/2006/relationships/hyperlink" Target="https://www.gov.uk/english-baccalaureate-information-for-schools"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www.scsa.wa.edu.au/internet/Publications/Reports/Statistical_Reports/Secondary_Education_Statistics/Default" TargetMode="External"/><Relationship Id="rId33" Type="http://schemas.openxmlformats.org/officeDocument/2006/relationships/hyperlink" Target="http://www.education.vic.gov.au/school/teachers/teachingresources/discipline/languages/Pages/research.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education.nt.gov.au/teachers-educators/ntbos/ntcet-data/subject-enrolmen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scsa.wa.edu.au/internet/Publications/Reports/Statistical_Reports" TargetMode="External"/><Relationship Id="rId32" Type="http://schemas.openxmlformats.org/officeDocument/2006/relationships/hyperlink" Target="http://www.studentsfirst.gov.au/strengthening-australian-curriculum" TargetMode="External"/><Relationship Id="rId37" Type="http://schemas.openxmlformats.org/officeDocument/2006/relationships/hyperlink" Target="http://www.britac.ac.uk/policy/State_of_the_Nation_2013.cfm"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vcaa.vic.edu.au/Pages/vce/statistics/subjectstats.aspx" TargetMode="External"/><Relationship Id="rId28" Type="http://schemas.openxmlformats.org/officeDocument/2006/relationships/footer" Target="footer2.xml"/><Relationship Id="rId36" Type="http://schemas.openxmlformats.org/officeDocument/2006/relationships/hyperlink" Target="http://www.bbc.com/news/education-28269496" TargetMode="External"/><Relationship Id="rId10" Type="http://schemas.openxmlformats.org/officeDocument/2006/relationships/footnotes" Target="footnotes.xml"/><Relationship Id="rId19" Type="http://schemas.openxmlformats.org/officeDocument/2006/relationships/hyperlink" Target="http://www.boardofstudies.nsw.edu.au/ebos/static/ebos_stats.html" TargetMode="External"/><Relationship Id="rId31" Type="http://schemas.openxmlformats.org/officeDocument/2006/relationships/hyperlink" Target="http://www.acara.edu.au/reporting/national_report_on_schooling_2010/national_report_on_schooling_2.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sace.sa.edu.au/about/key-information/annual-report" TargetMode="External"/><Relationship Id="rId27" Type="http://schemas.openxmlformats.org/officeDocument/2006/relationships/hyperlink" Target="http://education.qld.gov.au/curriculum/framework/p-12/docs/qld-languages-policy.pdf" TargetMode="External"/><Relationship Id="rId30" Type="http://schemas.openxmlformats.org/officeDocument/2006/relationships/hyperlink" Target="http://www.abs.gov.au/websitedbs/censushome.nsf/home/CO-60" TargetMode="External"/><Relationship Id="rId35" Type="http://schemas.openxmlformats.org/officeDocument/2006/relationships/hyperlink" Target="http://eacea.ec.europa.eu/education/eurydice/documents/key_data_series/14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DocumentType xmlns="2F7BD17D-B3B3-45D9-A69A-296CE5AB3680" xsi:nil="true"/>
    <pdms_Reason xmlns="2F7BD17D-B3B3-45D9-A69A-296CE5AB3680" xsi:nil="true"/>
    <pdms_SecurityClassification xmlns="2F7BD17D-B3B3-45D9-A69A-296CE5AB3680" xsi:nil="true"/>
    <SecurityClassification xmlns="2F7BD17D-B3B3-45D9-A69A-296CE5AB3680" xsi:nil="true"/>
    <pdms_AttachedBy xmlns="2F7BD17D-B3B3-45D9-A69A-296CE5AB36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44193D363F643749B257055BABFB202C" ma:contentTypeVersion="" ma:contentTypeDescription="PDMS Documentation Content Type" ma:contentTypeScope="" ma:versionID="099377a58aa0760b57f3774ba0ef91b4">
  <xsd:schema xmlns:xsd="http://www.w3.org/2001/XMLSchema" xmlns:xs="http://www.w3.org/2001/XMLSchema" xmlns:p="http://schemas.microsoft.com/office/2006/metadata/properties" xmlns:ns2="2F7BD17D-B3B3-45D9-A69A-296CE5AB3680" targetNamespace="http://schemas.microsoft.com/office/2006/metadata/properties" ma:root="true" ma:fieldsID="e074efad447d0ebf54bf420f2d79144d" ns2:_="">
    <xsd:import namespace="2F7BD17D-B3B3-45D9-A69A-296CE5AB3680"/>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BD17D-B3B3-45D9-A69A-296CE5AB368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17FD4-986A-48B7-BF0E-EA8CCA138FD2}">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2F7BD17D-B3B3-45D9-A69A-296CE5AB368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DAA1993-231A-4BCE-8094-E1C2C9683D9B}">
  <ds:schemaRefs>
    <ds:schemaRef ds:uri="http://schemas.microsoft.com/sharepoint/v3/contenttype/forms"/>
  </ds:schemaRefs>
</ds:datastoreItem>
</file>

<file path=customXml/itemProps3.xml><?xml version="1.0" encoding="utf-8"?>
<ds:datastoreItem xmlns:ds="http://schemas.openxmlformats.org/officeDocument/2006/customXml" ds:itemID="{E7435330-8098-4E0E-8B8C-6B1F4727A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BD17D-B3B3-45D9-A69A-296CE5AB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AD382C-594D-483E-9D9A-1FA787F8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4482B821.dotm</Template>
  <TotalTime>37</TotalTime>
  <Pages>94</Pages>
  <Words>31715</Words>
  <Characters>186907</Characters>
  <Application>Microsoft Office Word</Application>
  <DocSecurity>0</DocSecurity>
  <Lines>1557</Lines>
  <Paragraphs>436</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218186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Eeqbal Hassim</dc:creator>
  <cp:lastModifiedBy>Nopporn Ganthavee</cp:lastModifiedBy>
  <cp:revision>8</cp:revision>
  <cp:lastPrinted>2016-04-26T03:44:00Z</cp:lastPrinted>
  <dcterms:created xsi:type="dcterms:W3CDTF">2016-04-26T01:57:00Z</dcterms:created>
  <dcterms:modified xsi:type="dcterms:W3CDTF">2016-04-26T03:49:00Z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0x010100266966F133664895A6EE3632470D45F5010044193D363F643749B257055BABFB202C</vt:lpwstr>
  </property>
</Properties>
</file>