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Default="00243D6B" w:rsidP="00130923">
      <w:pPr>
        <w:pStyle w:val="BodyText"/>
      </w:pPr>
      <w:bookmarkStart w:id="0" w:name="_GoBack"/>
      <w:bookmarkEnd w:id="0"/>
      <w:r>
        <w:rPr>
          <w:noProof/>
        </w:rPr>
        <w:drawing>
          <wp:inline distT="0" distB="0" distL="0" distR="0" wp14:anchorId="4C452065" wp14:editId="4C452066">
            <wp:extent cx="2252345" cy="560705"/>
            <wp:effectExtent l="0" t="0" r="0" b="0"/>
            <wp:docPr id="1" name="Picture 1" descr="Department of Education"/>
            <wp:cNvGraphicFramePr/>
            <a:graphic xmlns:a="http://schemas.openxmlformats.org/drawingml/2006/main">
              <a:graphicData uri="http://schemas.openxmlformats.org/drawingml/2006/picture">
                <pic:pic xmlns:pic="http://schemas.openxmlformats.org/drawingml/2006/picture">
                  <pic:nvPicPr>
                    <pic:cNvPr id="1" name="Picture 1" descr="Department of Educati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2345" cy="560705"/>
                    </a:xfrm>
                    <a:prstGeom prst="rect">
                      <a:avLst/>
                    </a:prstGeom>
                  </pic:spPr>
                </pic:pic>
              </a:graphicData>
            </a:graphic>
          </wp:inline>
        </w:drawing>
      </w:r>
    </w:p>
    <w:p w:rsidR="001414F3" w:rsidRPr="00F47193" w:rsidRDefault="001414F3" w:rsidP="00F80CFC">
      <w:pPr>
        <w:pStyle w:val="Subtitle"/>
        <w:ind w:left="1276" w:right="-22"/>
        <w:rPr>
          <w:sz w:val="120"/>
          <w:szCs w:val="120"/>
        </w:rPr>
      </w:pPr>
    </w:p>
    <w:p w:rsidR="00BA282D" w:rsidRDefault="00D413EA" w:rsidP="00BA4D57">
      <w:pPr>
        <w:pStyle w:val="Title"/>
        <w:ind w:left="1276" w:right="-23"/>
      </w:pPr>
      <w:r>
        <w:rPr>
          <w:sz w:val="52"/>
        </w:rPr>
        <w:t>Completion Rates of Domestic Bachelor Students - A Cohort Analysis, 2005-2013</w:t>
      </w:r>
    </w:p>
    <w:p w:rsidR="00F47193" w:rsidRPr="00AD09E4" w:rsidRDefault="00F47193" w:rsidP="00F47193">
      <w:pPr>
        <w:rPr>
          <w:sz w:val="620"/>
          <w:szCs w:val="620"/>
        </w:rPr>
      </w:pPr>
      <w:r>
        <w:rPr>
          <w:noProof/>
          <w:lang w:eastAsia="en-AU"/>
        </w:rPr>
        <w:drawing>
          <wp:anchor distT="0" distB="0" distL="114300" distR="114300" simplePos="0" relativeHeight="251658240" behindDoc="1" locked="0" layoutInCell="1" allowOverlap="1" wp14:anchorId="00737250" wp14:editId="67F51DE8">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0">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p>
    <w:p w:rsidR="00130923" w:rsidRDefault="00F47193" w:rsidP="00EF5845">
      <w:pPr>
        <w:spacing w:after="0"/>
        <w:ind w:left="1276"/>
      </w:pPr>
      <w:r w:rsidRPr="00A475CB">
        <w:rPr>
          <w:rStyle w:val="Emphasis"/>
          <w:color w:val="FFFFFF" w:themeColor="background2"/>
        </w:rPr>
        <w:t>Opportunity through learning</w:t>
      </w:r>
      <w:r w:rsidR="00130923">
        <w:br w:type="page"/>
      </w:r>
    </w:p>
    <w:p w:rsidR="00130923" w:rsidRDefault="00130923" w:rsidP="00130923">
      <w:pPr>
        <w:pStyle w:val="BodyText"/>
        <w:sectPr w:rsidR="00130923" w:rsidSect="00AD09E4">
          <w:headerReference w:type="even" r:id="rId11"/>
          <w:headerReference w:type="default" r:id="rId12"/>
          <w:footerReference w:type="even" r:id="rId13"/>
          <w:footerReference w:type="default" r:id="rId14"/>
          <w:headerReference w:type="first" r:id="rId15"/>
          <w:footerReference w:type="first" r:id="rId16"/>
          <w:pgSz w:w="11906" w:h="16838"/>
          <w:pgMar w:top="1418" w:right="1558" w:bottom="567" w:left="1440" w:header="708" w:footer="283" w:gutter="0"/>
          <w:cols w:space="708"/>
          <w:docGrid w:linePitch="360"/>
        </w:sectPr>
      </w:pPr>
    </w:p>
    <w:p w:rsidR="00130923" w:rsidRPr="00A4371E" w:rsidRDefault="00130923" w:rsidP="007D58FB">
      <w:r w:rsidRPr="008E4DA0">
        <w:lastRenderedPageBreak/>
        <w:t>ISBN</w:t>
      </w:r>
      <w:r w:rsidR="00DC3052">
        <w:rPr>
          <w:szCs w:val="20"/>
          <w:highlight w:val="yellow"/>
        </w:rPr>
        <w:br/>
      </w:r>
      <w:r w:rsidR="00642114" w:rsidRPr="00642114">
        <w:rPr>
          <w:szCs w:val="20"/>
        </w:rPr>
        <w:t xml:space="preserve">978-1-76028-037-6 </w:t>
      </w:r>
      <w:r w:rsidRPr="008E4DA0">
        <w:rPr>
          <w:szCs w:val="20"/>
        </w:rPr>
        <w:t>[PDF</w:t>
      </w:r>
      <w:proofErr w:type="gramStart"/>
      <w:r w:rsidRPr="008E4DA0">
        <w:rPr>
          <w:szCs w:val="20"/>
        </w:rPr>
        <w:t>]</w:t>
      </w:r>
      <w:proofErr w:type="gramEnd"/>
      <w:r w:rsidRPr="008E4DA0">
        <w:rPr>
          <w:szCs w:val="20"/>
        </w:rPr>
        <w:br/>
      </w:r>
      <w:r w:rsidR="00642114" w:rsidRPr="00642114">
        <w:rPr>
          <w:szCs w:val="20"/>
        </w:rPr>
        <w:t xml:space="preserve">978-1-76028-038-3 </w:t>
      </w:r>
      <w:r w:rsidRPr="008E4DA0">
        <w:rPr>
          <w:szCs w:val="20"/>
        </w:rPr>
        <w:t>[</w:t>
      </w:r>
      <w:proofErr w:type="spellStart"/>
      <w:r w:rsidRPr="008E4DA0">
        <w:rPr>
          <w:szCs w:val="20"/>
        </w:rPr>
        <w:t>DOCX</w:t>
      </w:r>
      <w:proofErr w:type="spellEnd"/>
      <w:r w:rsidRPr="008E4DA0">
        <w:rPr>
          <w:szCs w:val="20"/>
        </w:rPr>
        <w:t>]</w:t>
      </w:r>
    </w:p>
    <w:p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33E6781B" wp14:editId="2B9A81FF">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7" r:link="rId18"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9"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20"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A4371E" w:rsidRPr="00A4371E" w:rsidRDefault="00130923" w:rsidP="00A4371E">
      <w:r w:rsidRPr="000462F1">
        <w:t>The document must be attributed as the</w:t>
      </w:r>
      <w:r w:rsidR="00A4371E">
        <w:t xml:space="preserve"> ‘Completion Rates of </w:t>
      </w:r>
      <w:r w:rsidR="00800CB0">
        <w:t>Domestic Bachelor Students – A C</w:t>
      </w:r>
      <w:r w:rsidR="00A4371E">
        <w:t>ohort Analysis, 2005-2013’</w:t>
      </w:r>
      <w:r>
        <w:t>.</w:t>
      </w:r>
    </w:p>
    <w:p w:rsidR="00A4371E" w:rsidRDefault="00A4371E" w:rsidP="00A4371E">
      <w:pPr>
        <w:spacing w:after="0"/>
      </w:pPr>
      <w:r>
        <w:t xml:space="preserve">For questions regarding higher education data or for further information, please email </w:t>
      </w:r>
    </w:p>
    <w:p w:rsidR="00A4371E" w:rsidRDefault="005C7EA9" w:rsidP="00A4371E">
      <w:pPr>
        <w:spacing w:after="0"/>
        <w:rPr>
          <w:b/>
          <w:sz w:val="24"/>
          <w:szCs w:val="24"/>
        </w:rPr>
      </w:pPr>
      <w:hyperlink r:id="rId21" w:history="1">
        <w:r w:rsidR="00A4371E" w:rsidRPr="008F612F">
          <w:rPr>
            <w:rStyle w:val="Hyperlink"/>
          </w:rPr>
          <w:t>university-statistics@education.gov.au</w:t>
        </w:r>
      </w:hyperlink>
      <w:r w:rsidR="00A4371E">
        <w:t>.</w:t>
      </w:r>
    </w:p>
    <w:p w:rsidR="00A4371E" w:rsidRDefault="00A4371E" w:rsidP="00130923">
      <w:pPr>
        <w:pStyle w:val="numberedpara"/>
        <w:numPr>
          <w:ilvl w:val="0"/>
          <w:numId w:val="0"/>
        </w:numPr>
        <w:tabs>
          <w:tab w:val="left" w:pos="720"/>
        </w:tabs>
        <w:spacing w:before="120" w:after="120"/>
        <w:rPr>
          <w:sz w:val="20"/>
          <w:szCs w:val="20"/>
        </w:rPr>
        <w:sectPr w:rsidR="00A4371E" w:rsidSect="00A4371E">
          <w:type w:val="continuous"/>
          <w:pgSz w:w="11906" w:h="16838"/>
          <w:pgMar w:top="949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rsidR="00EF4A38" w:rsidRDefault="00EF4A38">
          <w:pPr>
            <w:pStyle w:val="TOCHeading"/>
          </w:pPr>
          <w:r>
            <w:t>Contents</w:t>
          </w:r>
        </w:p>
        <w:p w:rsidR="00800CB0" w:rsidRDefault="00EF4A38">
          <w:pPr>
            <w:pStyle w:val="TOC1"/>
            <w:tabs>
              <w:tab w:val="right" w:leader="dot" w:pos="9016"/>
            </w:tabs>
            <w:rPr>
              <w:noProof/>
              <w:lang w:eastAsia="en-AU"/>
            </w:rPr>
          </w:pPr>
          <w:r>
            <w:fldChar w:fldCharType="begin"/>
          </w:r>
          <w:r>
            <w:instrText xml:space="preserve"> TOC \o "1-3" \h \z \u </w:instrText>
          </w:r>
          <w:r>
            <w:fldChar w:fldCharType="separate"/>
          </w:r>
          <w:hyperlink w:anchor="_Toc406751077" w:history="1">
            <w:r w:rsidR="00800CB0" w:rsidRPr="00DE219F">
              <w:rPr>
                <w:rStyle w:val="Hyperlink"/>
                <w:noProof/>
              </w:rPr>
              <w:t>Key messages</w:t>
            </w:r>
            <w:r w:rsidR="00800CB0">
              <w:rPr>
                <w:noProof/>
                <w:webHidden/>
              </w:rPr>
              <w:tab/>
            </w:r>
            <w:r w:rsidR="00800CB0">
              <w:rPr>
                <w:noProof/>
                <w:webHidden/>
              </w:rPr>
              <w:fldChar w:fldCharType="begin"/>
            </w:r>
            <w:r w:rsidR="00800CB0">
              <w:rPr>
                <w:noProof/>
                <w:webHidden/>
              </w:rPr>
              <w:instrText xml:space="preserve"> PAGEREF _Toc406751077 \h </w:instrText>
            </w:r>
            <w:r w:rsidR="00800CB0">
              <w:rPr>
                <w:noProof/>
                <w:webHidden/>
              </w:rPr>
            </w:r>
            <w:r w:rsidR="00800CB0">
              <w:rPr>
                <w:noProof/>
                <w:webHidden/>
              </w:rPr>
              <w:fldChar w:fldCharType="separate"/>
            </w:r>
            <w:r w:rsidR="005C7EA9">
              <w:rPr>
                <w:noProof/>
                <w:webHidden/>
              </w:rPr>
              <w:t>4</w:t>
            </w:r>
            <w:r w:rsidR="00800CB0">
              <w:rPr>
                <w:noProof/>
                <w:webHidden/>
              </w:rPr>
              <w:fldChar w:fldCharType="end"/>
            </w:r>
          </w:hyperlink>
        </w:p>
        <w:p w:rsidR="00800CB0" w:rsidRDefault="005C7EA9">
          <w:pPr>
            <w:pStyle w:val="TOC1"/>
            <w:tabs>
              <w:tab w:val="right" w:leader="dot" w:pos="9016"/>
            </w:tabs>
            <w:rPr>
              <w:noProof/>
              <w:lang w:eastAsia="en-AU"/>
            </w:rPr>
          </w:pPr>
          <w:hyperlink w:anchor="_Toc406751078" w:history="1">
            <w:r w:rsidR="00800CB0" w:rsidRPr="00DE219F">
              <w:rPr>
                <w:rStyle w:val="Hyperlink"/>
                <w:noProof/>
              </w:rPr>
              <w:t>Background</w:t>
            </w:r>
            <w:r w:rsidR="00800CB0">
              <w:rPr>
                <w:noProof/>
                <w:webHidden/>
              </w:rPr>
              <w:tab/>
            </w:r>
            <w:r w:rsidR="00800CB0">
              <w:rPr>
                <w:noProof/>
                <w:webHidden/>
              </w:rPr>
              <w:fldChar w:fldCharType="begin"/>
            </w:r>
            <w:r w:rsidR="00800CB0">
              <w:rPr>
                <w:noProof/>
                <w:webHidden/>
              </w:rPr>
              <w:instrText xml:space="preserve"> PAGEREF _Toc406751078 \h </w:instrText>
            </w:r>
            <w:r w:rsidR="00800CB0">
              <w:rPr>
                <w:noProof/>
                <w:webHidden/>
              </w:rPr>
            </w:r>
            <w:r w:rsidR="00800CB0">
              <w:rPr>
                <w:noProof/>
                <w:webHidden/>
              </w:rPr>
              <w:fldChar w:fldCharType="separate"/>
            </w:r>
            <w:r>
              <w:rPr>
                <w:noProof/>
                <w:webHidden/>
              </w:rPr>
              <w:t>4</w:t>
            </w:r>
            <w:r w:rsidR="00800CB0">
              <w:rPr>
                <w:noProof/>
                <w:webHidden/>
              </w:rPr>
              <w:fldChar w:fldCharType="end"/>
            </w:r>
          </w:hyperlink>
        </w:p>
        <w:p w:rsidR="00800CB0" w:rsidRDefault="005C7EA9">
          <w:pPr>
            <w:pStyle w:val="TOC1"/>
            <w:tabs>
              <w:tab w:val="right" w:leader="dot" w:pos="9016"/>
            </w:tabs>
            <w:rPr>
              <w:noProof/>
              <w:lang w:eastAsia="en-AU"/>
            </w:rPr>
          </w:pPr>
          <w:hyperlink w:anchor="_Toc406751079" w:history="1">
            <w:r w:rsidR="00800CB0" w:rsidRPr="00DE219F">
              <w:rPr>
                <w:rStyle w:val="Hyperlink"/>
                <w:noProof/>
              </w:rPr>
              <w:t>Updated analysis</w:t>
            </w:r>
            <w:r w:rsidR="00800CB0">
              <w:rPr>
                <w:noProof/>
                <w:webHidden/>
              </w:rPr>
              <w:tab/>
            </w:r>
            <w:r w:rsidR="00800CB0">
              <w:rPr>
                <w:noProof/>
                <w:webHidden/>
              </w:rPr>
              <w:fldChar w:fldCharType="begin"/>
            </w:r>
            <w:r w:rsidR="00800CB0">
              <w:rPr>
                <w:noProof/>
                <w:webHidden/>
              </w:rPr>
              <w:instrText xml:space="preserve"> PAGEREF _Toc406751079 \h </w:instrText>
            </w:r>
            <w:r w:rsidR="00800CB0">
              <w:rPr>
                <w:noProof/>
                <w:webHidden/>
              </w:rPr>
            </w:r>
            <w:r w:rsidR="00800CB0">
              <w:rPr>
                <w:noProof/>
                <w:webHidden/>
              </w:rPr>
              <w:fldChar w:fldCharType="separate"/>
            </w:r>
            <w:r>
              <w:rPr>
                <w:noProof/>
                <w:webHidden/>
              </w:rPr>
              <w:t>5</w:t>
            </w:r>
            <w:r w:rsidR="00800CB0">
              <w:rPr>
                <w:noProof/>
                <w:webHidden/>
              </w:rPr>
              <w:fldChar w:fldCharType="end"/>
            </w:r>
          </w:hyperlink>
        </w:p>
        <w:p w:rsidR="00800CB0" w:rsidRDefault="005C7EA9">
          <w:pPr>
            <w:pStyle w:val="TOC1"/>
            <w:tabs>
              <w:tab w:val="right" w:leader="dot" w:pos="9016"/>
            </w:tabs>
            <w:rPr>
              <w:noProof/>
              <w:lang w:eastAsia="en-AU"/>
            </w:rPr>
          </w:pPr>
          <w:hyperlink w:anchor="_Toc406751080" w:history="1">
            <w:r w:rsidR="00800CB0" w:rsidRPr="00DE219F">
              <w:rPr>
                <w:rStyle w:val="Hyperlink"/>
                <w:noProof/>
              </w:rPr>
              <w:t>Outcomes for the 2005 cohort</w:t>
            </w:r>
            <w:r w:rsidR="00800CB0">
              <w:rPr>
                <w:noProof/>
                <w:webHidden/>
              </w:rPr>
              <w:tab/>
            </w:r>
            <w:r w:rsidR="00800CB0">
              <w:rPr>
                <w:noProof/>
                <w:webHidden/>
              </w:rPr>
              <w:fldChar w:fldCharType="begin"/>
            </w:r>
            <w:r w:rsidR="00800CB0">
              <w:rPr>
                <w:noProof/>
                <w:webHidden/>
              </w:rPr>
              <w:instrText xml:space="preserve"> PAGEREF _Toc406751080 \h </w:instrText>
            </w:r>
            <w:r w:rsidR="00800CB0">
              <w:rPr>
                <w:noProof/>
                <w:webHidden/>
              </w:rPr>
            </w:r>
            <w:r w:rsidR="00800CB0">
              <w:rPr>
                <w:noProof/>
                <w:webHidden/>
              </w:rPr>
              <w:fldChar w:fldCharType="separate"/>
            </w:r>
            <w:r>
              <w:rPr>
                <w:noProof/>
                <w:webHidden/>
              </w:rPr>
              <w:t>5</w:t>
            </w:r>
            <w:r w:rsidR="00800CB0">
              <w:rPr>
                <w:noProof/>
                <w:webHidden/>
              </w:rPr>
              <w:fldChar w:fldCharType="end"/>
            </w:r>
          </w:hyperlink>
        </w:p>
        <w:p w:rsidR="00800CB0" w:rsidRDefault="005C7EA9">
          <w:pPr>
            <w:pStyle w:val="TOC1"/>
            <w:tabs>
              <w:tab w:val="right" w:leader="dot" w:pos="9016"/>
            </w:tabs>
            <w:rPr>
              <w:noProof/>
              <w:lang w:eastAsia="en-AU"/>
            </w:rPr>
          </w:pPr>
          <w:hyperlink w:anchor="_Toc406751081" w:history="1">
            <w:r w:rsidR="00800CB0" w:rsidRPr="00DE219F">
              <w:rPr>
                <w:rStyle w:val="Hyperlink"/>
                <w:noProof/>
              </w:rPr>
              <w:t>Four year outcomes - influence of the demand driven system</w:t>
            </w:r>
            <w:r w:rsidR="00800CB0">
              <w:rPr>
                <w:noProof/>
                <w:webHidden/>
              </w:rPr>
              <w:tab/>
            </w:r>
            <w:r w:rsidR="00800CB0">
              <w:rPr>
                <w:noProof/>
                <w:webHidden/>
              </w:rPr>
              <w:fldChar w:fldCharType="begin"/>
            </w:r>
            <w:r w:rsidR="00800CB0">
              <w:rPr>
                <w:noProof/>
                <w:webHidden/>
              </w:rPr>
              <w:instrText xml:space="preserve"> PAGEREF _Toc406751081 \h </w:instrText>
            </w:r>
            <w:r w:rsidR="00800CB0">
              <w:rPr>
                <w:noProof/>
                <w:webHidden/>
              </w:rPr>
            </w:r>
            <w:r w:rsidR="00800CB0">
              <w:rPr>
                <w:noProof/>
                <w:webHidden/>
              </w:rPr>
              <w:fldChar w:fldCharType="separate"/>
            </w:r>
            <w:r>
              <w:rPr>
                <w:noProof/>
                <w:webHidden/>
              </w:rPr>
              <w:t>7</w:t>
            </w:r>
            <w:r w:rsidR="00800CB0">
              <w:rPr>
                <w:noProof/>
                <w:webHidden/>
              </w:rPr>
              <w:fldChar w:fldCharType="end"/>
            </w:r>
          </w:hyperlink>
        </w:p>
        <w:p w:rsidR="00800CB0" w:rsidRDefault="005C7EA9">
          <w:pPr>
            <w:pStyle w:val="TOC1"/>
            <w:tabs>
              <w:tab w:val="right" w:leader="dot" w:pos="9016"/>
            </w:tabs>
            <w:rPr>
              <w:noProof/>
              <w:lang w:eastAsia="en-AU"/>
            </w:rPr>
          </w:pPr>
          <w:hyperlink w:anchor="_Toc406751082" w:history="1">
            <w:r w:rsidR="00800CB0" w:rsidRPr="00DE219F">
              <w:rPr>
                <w:rStyle w:val="Hyperlink"/>
                <w:noProof/>
              </w:rPr>
              <w:t>Six year outcomes</w:t>
            </w:r>
            <w:r w:rsidR="00800CB0">
              <w:rPr>
                <w:noProof/>
                <w:webHidden/>
              </w:rPr>
              <w:tab/>
            </w:r>
            <w:r w:rsidR="00800CB0">
              <w:rPr>
                <w:noProof/>
                <w:webHidden/>
              </w:rPr>
              <w:fldChar w:fldCharType="begin"/>
            </w:r>
            <w:r w:rsidR="00800CB0">
              <w:rPr>
                <w:noProof/>
                <w:webHidden/>
              </w:rPr>
              <w:instrText xml:space="preserve"> PAGEREF _Toc406751082 \h </w:instrText>
            </w:r>
            <w:r w:rsidR="00800CB0">
              <w:rPr>
                <w:noProof/>
                <w:webHidden/>
              </w:rPr>
            </w:r>
            <w:r w:rsidR="00800CB0">
              <w:rPr>
                <w:noProof/>
                <w:webHidden/>
              </w:rPr>
              <w:fldChar w:fldCharType="separate"/>
            </w:r>
            <w:r>
              <w:rPr>
                <w:noProof/>
                <w:webHidden/>
              </w:rPr>
              <w:t>9</w:t>
            </w:r>
            <w:r w:rsidR="00800CB0">
              <w:rPr>
                <w:noProof/>
                <w:webHidden/>
              </w:rPr>
              <w:fldChar w:fldCharType="end"/>
            </w:r>
          </w:hyperlink>
        </w:p>
        <w:p w:rsidR="00800CB0" w:rsidRDefault="005C7EA9">
          <w:pPr>
            <w:pStyle w:val="TOC1"/>
            <w:tabs>
              <w:tab w:val="right" w:leader="dot" w:pos="9016"/>
            </w:tabs>
            <w:rPr>
              <w:noProof/>
              <w:lang w:eastAsia="en-AU"/>
            </w:rPr>
          </w:pPr>
          <w:hyperlink w:anchor="_Toc406751083" w:history="1">
            <w:r w:rsidR="00800CB0" w:rsidRPr="00DE219F">
              <w:rPr>
                <w:rStyle w:val="Hyperlink"/>
                <w:noProof/>
              </w:rPr>
              <w:t>Eight year outcomes</w:t>
            </w:r>
            <w:r w:rsidR="00800CB0">
              <w:rPr>
                <w:noProof/>
                <w:webHidden/>
              </w:rPr>
              <w:tab/>
            </w:r>
            <w:r w:rsidR="00800CB0">
              <w:rPr>
                <w:noProof/>
                <w:webHidden/>
              </w:rPr>
              <w:fldChar w:fldCharType="begin"/>
            </w:r>
            <w:r w:rsidR="00800CB0">
              <w:rPr>
                <w:noProof/>
                <w:webHidden/>
              </w:rPr>
              <w:instrText xml:space="preserve"> PAGEREF _Toc406751083 \h </w:instrText>
            </w:r>
            <w:r w:rsidR="00800CB0">
              <w:rPr>
                <w:noProof/>
                <w:webHidden/>
              </w:rPr>
            </w:r>
            <w:r w:rsidR="00800CB0">
              <w:rPr>
                <w:noProof/>
                <w:webHidden/>
              </w:rPr>
              <w:fldChar w:fldCharType="separate"/>
            </w:r>
            <w:r>
              <w:rPr>
                <w:noProof/>
                <w:webHidden/>
              </w:rPr>
              <w:t>9</w:t>
            </w:r>
            <w:r w:rsidR="00800CB0">
              <w:rPr>
                <w:noProof/>
                <w:webHidden/>
              </w:rPr>
              <w:fldChar w:fldCharType="end"/>
            </w:r>
          </w:hyperlink>
        </w:p>
        <w:p w:rsidR="00800CB0" w:rsidRDefault="005C7EA9">
          <w:pPr>
            <w:pStyle w:val="TOC1"/>
            <w:tabs>
              <w:tab w:val="right" w:leader="dot" w:pos="9016"/>
            </w:tabs>
            <w:rPr>
              <w:noProof/>
              <w:lang w:eastAsia="en-AU"/>
            </w:rPr>
          </w:pPr>
          <w:hyperlink w:anchor="_Toc406751084" w:history="1">
            <w:r w:rsidR="00800CB0" w:rsidRPr="00DE219F">
              <w:rPr>
                <w:rStyle w:val="Hyperlink"/>
                <w:noProof/>
              </w:rPr>
              <w:t>Data notes</w:t>
            </w:r>
            <w:r w:rsidR="00800CB0">
              <w:rPr>
                <w:noProof/>
                <w:webHidden/>
              </w:rPr>
              <w:tab/>
            </w:r>
            <w:r w:rsidR="00800CB0">
              <w:rPr>
                <w:noProof/>
                <w:webHidden/>
              </w:rPr>
              <w:fldChar w:fldCharType="begin"/>
            </w:r>
            <w:r w:rsidR="00800CB0">
              <w:rPr>
                <w:noProof/>
                <w:webHidden/>
              </w:rPr>
              <w:instrText xml:space="preserve"> PAGEREF _Toc406751084 \h </w:instrText>
            </w:r>
            <w:r w:rsidR="00800CB0">
              <w:rPr>
                <w:noProof/>
                <w:webHidden/>
              </w:rPr>
            </w:r>
            <w:r w:rsidR="00800CB0">
              <w:rPr>
                <w:noProof/>
                <w:webHidden/>
              </w:rPr>
              <w:fldChar w:fldCharType="separate"/>
            </w:r>
            <w:r>
              <w:rPr>
                <w:noProof/>
                <w:webHidden/>
              </w:rPr>
              <w:t>10</w:t>
            </w:r>
            <w:r w:rsidR="00800CB0">
              <w:rPr>
                <w:noProof/>
                <w:webHidden/>
              </w:rPr>
              <w:fldChar w:fldCharType="end"/>
            </w:r>
          </w:hyperlink>
        </w:p>
        <w:p w:rsidR="00800CB0" w:rsidRDefault="005C7EA9">
          <w:pPr>
            <w:pStyle w:val="TOC1"/>
            <w:tabs>
              <w:tab w:val="right" w:leader="dot" w:pos="9016"/>
            </w:tabs>
            <w:rPr>
              <w:noProof/>
              <w:lang w:eastAsia="en-AU"/>
            </w:rPr>
          </w:pPr>
          <w:hyperlink w:anchor="_Toc406751085" w:history="1">
            <w:r w:rsidR="00800CB0" w:rsidRPr="00DE219F">
              <w:rPr>
                <w:rStyle w:val="Hyperlink"/>
                <w:noProof/>
              </w:rPr>
              <w:t>Appendix - detailed tables and charts</w:t>
            </w:r>
            <w:r w:rsidR="00800CB0">
              <w:rPr>
                <w:noProof/>
                <w:webHidden/>
              </w:rPr>
              <w:tab/>
            </w:r>
            <w:r w:rsidR="00800CB0">
              <w:rPr>
                <w:noProof/>
                <w:webHidden/>
              </w:rPr>
              <w:fldChar w:fldCharType="begin"/>
            </w:r>
            <w:r w:rsidR="00800CB0">
              <w:rPr>
                <w:noProof/>
                <w:webHidden/>
              </w:rPr>
              <w:instrText xml:space="preserve"> PAGEREF _Toc406751085 \h </w:instrText>
            </w:r>
            <w:r w:rsidR="00800CB0">
              <w:rPr>
                <w:noProof/>
                <w:webHidden/>
              </w:rPr>
            </w:r>
            <w:r w:rsidR="00800CB0">
              <w:rPr>
                <w:noProof/>
                <w:webHidden/>
              </w:rPr>
              <w:fldChar w:fldCharType="separate"/>
            </w:r>
            <w:r>
              <w:rPr>
                <w:noProof/>
                <w:webHidden/>
              </w:rPr>
              <w:t>11</w:t>
            </w:r>
            <w:r w:rsidR="00800CB0">
              <w:rPr>
                <w:noProof/>
                <w:webHidden/>
              </w:rPr>
              <w:fldChar w:fldCharType="end"/>
            </w:r>
          </w:hyperlink>
        </w:p>
        <w:p w:rsidR="00EF4A38" w:rsidRDefault="00EF4A38">
          <w:r>
            <w:rPr>
              <w:b/>
              <w:bCs/>
              <w:noProof/>
            </w:rPr>
            <w:fldChar w:fldCharType="end"/>
          </w:r>
        </w:p>
      </w:sdtContent>
    </w:sdt>
    <w:p w:rsidR="00EF4A38" w:rsidRDefault="00EF4A38" w:rsidP="00EF4A38">
      <w:pPr>
        <w:pStyle w:val="numberedpara"/>
        <w:numPr>
          <w:ilvl w:val="0"/>
          <w:numId w:val="0"/>
        </w:numPr>
        <w:tabs>
          <w:tab w:val="left" w:pos="720"/>
        </w:tabs>
        <w:spacing w:before="120" w:after="120"/>
        <w:rPr>
          <w:sz w:val="20"/>
          <w:szCs w:val="20"/>
        </w:rPr>
        <w:sectPr w:rsidR="00EF4A38" w:rsidSect="00EF4A38">
          <w:type w:val="continuous"/>
          <w:pgSz w:w="11906" w:h="16838"/>
          <w:pgMar w:top="3544" w:right="1440" w:bottom="1440" w:left="1440" w:header="708" w:footer="708" w:gutter="0"/>
          <w:cols w:space="708"/>
          <w:docGrid w:linePitch="360"/>
        </w:sectPr>
      </w:pPr>
    </w:p>
    <w:p w:rsidR="00C8462C" w:rsidRDefault="00130923" w:rsidP="00C8462C">
      <w:pPr>
        <w:pBdr>
          <w:top w:val="single" w:sz="4" w:space="1" w:color="auto"/>
          <w:left w:val="single" w:sz="4" w:space="4" w:color="auto"/>
          <w:bottom w:val="single" w:sz="4" w:space="1" w:color="auto"/>
          <w:right w:val="single" w:sz="4" w:space="4" w:color="auto"/>
        </w:pBdr>
        <w:sectPr w:rsidR="00C8462C" w:rsidSect="00D91101">
          <w:headerReference w:type="default" r:id="rId22"/>
          <w:footerReference w:type="default" r:id="rId23"/>
          <w:type w:val="continuous"/>
          <w:pgSz w:w="11906" w:h="16838"/>
          <w:pgMar w:top="1248" w:right="1440" w:bottom="993" w:left="1440" w:header="708" w:footer="1011" w:gutter="0"/>
          <w:cols w:space="708"/>
          <w:docGrid w:linePitch="360"/>
        </w:sectPr>
      </w:pPr>
      <w:r>
        <w:lastRenderedPageBreak/>
        <w:br w:type="page"/>
      </w:r>
    </w:p>
    <w:p w:rsidR="0081438A" w:rsidRPr="0030139D" w:rsidRDefault="0030139D" w:rsidP="0081438A">
      <w:pPr>
        <w:rPr>
          <w:sz w:val="8"/>
          <w:szCs w:val="2"/>
        </w:rPr>
      </w:pPr>
      <w:r>
        <w:rPr>
          <w:noProof/>
          <w:sz w:val="2"/>
          <w:szCs w:val="2"/>
          <w:lang w:eastAsia="en-AU"/>
        </w:rPr>
        <w:lastRenderedPageBreak/>
        <w:drawing>
          <wp:anchor distT="0" distB="0" distL="114300" distR="114300" simplePos="0" relativeHeight="251659264" behindDoc="1" locked="0" layoutInCell="1" allowOverlap="1" wp14:anchorId="41F39749" wp14:editId="38FF9267">
            <wp:simplePos x="0" y="0"/>
            <wp:positionH relativeFrom="column">
              <wp:posOffset>0</wp:posOffset>
            </wp:positionH>
            <wp:positionV relativeFrom="paragraph">
              <wp:posOffset>-49447</wp:posOffset>
            </wp:positionV>
            <wp:extent cx="5868000" cy="4935600"/>
            <wp:effectExtent l="0" t="0" r="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Background.jpg"/>
                    <pic:cNvPicPr/>
                  </pic:nvPicPr>
                  <pic:blipFill>
                    <a:blip r:embed="rId24">
                      <a:extLst>
                        <a:ext uri="{28A0092B-C50C-407E-A947-70E740481C1C}">
                          <a14:useLocalDpi xmlns:a14="http://schemas.microsoft.com/office/drawing/2010/main" val="0"/>
                        </a:ext>
                      </a:extLst>
                    </a:blip>
                    <a:stretch>
                      <a:fillRect/>
                    </a:stretch>
                  </pic:blipFill>
                  <pic:spPr>
                    <a:xfrm>
                      <a:off x="0" y="0"/>
                      <a:ext cx="5868000" cy="4935600"/>
                    </a:xfrm>
                    <a:prstGeom prst="rect">
                      <a:avLst/>
                    </a:prstGeom>
                  </pic:spPr>
                </pic:pic>
              </a:graphicData>
            </a:graphic>
            <wp14:sizeRelH relativeFrom="page">
              <wp14:pctWidth>0</wp14:pctWidth>
            </wp14:sizeRelH>
            <wp14:sizeRelV relativeFrom="page">
              <wp14:pctHeight>0</wp14:pctHeight>
            </wp14:sizeRelV>
          </wp:anchor>
        </w:drawing>
      </w:r>
    </w:p>
    <w:p w:rsidR="0081438A" w:rsidRDefault="0081438A" w:rsidP="006B27E8">
      <w:pPr>
        <w:pStyle w:val="Heading1"/>
        <w:spacing w:after="240"/>
        <w:ind w:left="709"/>
      </w:pPr>
      <w:bookmarkStart w:id="1" w:name="_Toc406751077"/>
      <w:r>
        <w:t>Key messages</w:t>
      </w:r>
      <w:bookmarkEnd w:id="1"/>
    </w:p>
    <w:p w:rsidR="0081438A" w:rsidRPr="00027DF6" w:rsidRDefault="0081438A" w:rsidP="00E81CA8">
      <w:pPr>
        <w:pStyle w:val="ListParagraph"/>
        <w:numPr>
          <w:ilvl w:val="0"/>
          <w:numId w:val="22"/>
        </w:numPr>
        <w:ind w:left="1134" w:right="521"/>
      </w:pPr>
      <w:r>
        <w:t>Almost three quarters (73.6%) of the 2005 cohort of</w:t>
      </w:r>
      <w:r w:rsidRPr="00027DF6">
        <w:t xml:space="preserve"> domestic bachelor students</w:t>
      </w:r>
      <w:r>
        <w:t xml:space="preserve"> commencing at Table </w:t>
      </w:r>
      <w:proofErr w:type="gramStart"/>
      <w:r>
        <w:t>A</w:t>
      </w:r>
      <w:proofErr w:type="gramEnd"/>
      <w:r>
        <w:t xml:space="preserve"> universities </w:t>
      </w:r>
      <w:r w:rsidRPr="00027DF6">
        <w:t>completed a course within nine year</w:t>
      </w:r>
      <w:r>
        <w:t>s</w:t>
      </w:r>
      <w:r w:rsidRPr="00027DF6">
        <w:t xml:space="preserve"> of commencement. </w:t>
      </w:r>
    </w:p>
    <w:p w:rsidR="0081438A" w:rsidRDefault="0081438A" w:rsidP="00E81CA8">
      <w:pPr>
        <w:pStyle w:val="ListParagraph"/>
        <w:numPr>
          <w:ilvl w:val="0"/>
          <w:numId w:val="29"/>
        </w:numPr>
        <w:ind w:left="1843" w:right="521" w:hanging="567"/>
      </w:pPr>
      <w:r>
        <w:t>After four years since commencement, the proportion of additional students who complete a course diminishes each year. Only 1.3% of the 2005 student cohort completed a course between eight and nine years after commencement.</w:t>
      </w:r>
    </w:p>
    <w:p w:rsidR="0081438A" w:rsidRDefault="0081438A" w:rsidP="00E81CA8">
      <w:pPr>
        <w:pStyle w:val="ListParagraph"/>
        <w:ind w:left="1418" w:right="521"/>
      </w:pPr>
    </w:p>
    <w:p w:rsidR="0081438A" w:rsidRDefault="0081438A" w:rsidP="00E81CA8">
      <w:pPr>
        <w:pStyle w:val="ListParagraph"/>
        <w:numPr>
          <w:ilvl w:val="0"/>
          <w:numId w:val="22"/>
        </w:numPr>
        <w:ind w:left="1134" w:right="521"/>
      </w:pPr>
      <w:r w:rsidRPr="00AD6823">
        <w:t>Nationally</w:t>
      </w:r>
      <w:r>
        <w:t>,</w:t>
      </w:r>
      <w:r w:rsidRPr="00AD6823">
        <w:t xml:space="preserve"> and across many student characteristics, four year outcome data for the 2010 </w:t>
      </w:r>
      <w:r>
        <w:t xml:space="preserve">Table A commencing domestic bachelor student </w:t>
      </w:r>
      <w:r w:rsidRPr="00AD6823">
        <w:t xml:space="preserve">cohort (the first </w:t>
      </w:r>
      <w:r>
        <w:t>student group i</w:t>
      </w:r>
      <w:r w:rsidRPr="00AD6823">
        <w:t>nfluenced by the demand driven system</w:t>
      </w:r>
      <w:r>
        <w:t>)</w:t>
      </w:r>
      <w:r w:rsidRPr="00AD6823">
        <w:t xml:space="preserve"> showed marginally lower completion rates than for </w:t>
      </w:r>
      <w:r>
        <w:t xml:space="preserve">previous </w:t>
      </w:r>
      <w:r w:rsidRPr="00AD6823">
        <w:t>years</w:t>
      </w:r>
      <w:r>
        <w:t>. The four year completion rate for the 2010 cohort was 45.1%, co</w:t>
      </w:r>
      <w:r w:rsidR="00800CB0">
        <w:t>mpared to an average of 46.6% for</w:t>
      </w:r>
      <w:r>
        <w:t xml:space="preserve"> the 2005 to 2009 cohorts.</w:t>
      </w:r>
    </w:p>
    <w:p w:rsidR="0081438A" w:rsidRDefault="0081438A" w:rsidP="00E81CA8">
      <w:pPr>
        <w:pStyle w:val="ListParagraph"/>
        <w:numPr>
          <w:ilvl w:val="0"/>
          <w:numId w:val="29"/>
        </w:numPr>
        <w:ind w:left="1843" w:right="521" w:hanging="567"/>
      </w:pPr>
      <w:r>
        <w:t>The proportion of 2010 cohort students who were ‘engaged’ with Higher Education (had either completed a course after four years or were still enrolled), however, was similar to previous years.</w:t>
      </w:r>
    </w:p>
    <w:p w:rsidR="0081438A" w:rsidRPr="00AD6823" w:rsidRDefault="0081438A" w:rsidP="00E81CA8">
      <w:pPr>
        <w:pStyle w:val="ListParagraph"/>
        <w:numPr>
          <w:ilvl w:val="0"/>
          <w:numId w:val="29"/>
        </w:numPr>
        <w:ind w:left="1843" w:right="521" w:hanging="567"/>
      </w:pPr>
      <w:r>
        <w:t xml:space="preserve">Future data will need to be analysed to confirm if the four year outcomes for the 2010 student cohort were a direct result of the shift to the demand driven system. </w:t>
      </w:r>
    </w:p>
    <w:p w:rsidR="005D5599" w:rsidRPr="00D413EA" w:rsidRDefault="005D5599" w:rsidP="00D413EA"/>
    <w:p w:rsidR="0086662B" w:rsidRPr="0086662B" w:rsidRDefault="008241C6" w:rsidP="003829FA">
      <w:pPr>
        <w:pStyle w:val="Heading1"/>
      </w:pPr>
      <w:bookmarkStart w:id="2" w:name="_Toc406751078"/>
      <w:r>
        <w:t>Background</w:t>
      </w:r>
      <w:bookmarkEnd w:id="2"/>
    </w:p>
    <w:p w:rsidR="00EF33AF" w:rsidRDefault="00C9710B" w:rsidP="00F73A27">
      <w:r>
        <w:t xml:space="preserve">This report </w:t>
      </w:r>
      <w:r w:rsidR="00EF33AF">
        <w:t>extends the</w:t>
      </w:r>
      <w:r>
        <w:t xml:space="preserve"> </w:t>
      </w:r>
      <w:r w:rsidRPr="00D57D99">
        <w:rPr>
          <w:i/>
        </w:rPr>
        <w:t>Completion Rates of Domestic Bachelor Students: A Cohort Analysis</w:t>
      </w:r>
      <w:r>
        <w:t xml:space="preserve">, published by the Department of Education in mid-2014. The previous report tracked all domestic bachelor students </w:t>
      </w:r>
      <w:r w:rsidR="00D57D99">
        <w:t>commencing at</w:t>
      </w:r>
      <w:r>
        <w:t xml:space="preserve"> Table </w:t>
      </w:r>
      <w:proofErr w:type="gramStart"/>
      <w:r>
        <w:t>A</w:t>
      </w:r>
      <w:proofErr w:type="gramEnd"/>
      <w:r>
        <w:t xml:space="preserve"> universities</w:t>
      </w:r>
      <w:r w:rsidR="003F4ED4">
        <w:rPr>
          <w:rStyle w:val="FootnoteReference"/>
        </w:rPr>
        <w:footnoteReference w:id="1"/>
      </w:r>
      <w:r>
        <w:t xml:space="preserve"> in 2005</w:t>
      </w:r>
      <w:r w:rsidR="00D57D99">
        <w:t xml:space="preserve"> until the end of 2012, using their </w:t>
      </w:r>
      <w:r w:rsidR="00D57D99" w:rsidRPr="002B0354">
        <w:t xml:space="preserve">student ID (within institution) and their Commonwealth Higher Education Student Support Number, </w:t>
      </w:r>
      <w:proofErr w:type="spellStart"/>
      <w:r w:rsidR="00D57D99" w:rsidRPr="002B0354">
        <w:t>CHESSN</w:t>
      </w:r>
      <w:proofErr w:type="spellEnd"/>
      <w:r w:rsidR="00E62057">
        <w:rPr>
          <w:rStyle w:val="FootnoteReference"/>
        </w:rPr>
        <w:footnoteReference w:id="2"/>
      </w:r>
      <w:r w:rsidR="00D57D99" w:rsidRPr="002B0354">
        <w:t xml:space="preserve"> (across institutions). </w:t>
      </w:r>
      <w:r w:rsidR="00D57D99">
        <w:t xml:space="preserve"> </w:t>
      </w:r>
    </w:p>
    <w:p w:rsidR="00586E28" w:rsidRDefault="00D57D99" w:rsidP="00F73A27">
      <w:r w:rsidRPr="002B0354">
        <w:t>The results provide</w:t>
      </w:r>
      <w:r>
        <w:t>d</w:t>
      </w:r>
      <w:r w:rsidRPr="002B0354">
        <w:t xml:space="preserve"> an overview of student </w:t>
      </w:r>
      <w:r>
        <w:t>outcomes betwe</w:t>
      </w:r>
      <w:r w:rsidR="0017173E">
        <w:t>en 2005 and 2012. That is, as at</w:t>
      </w:r>
      <w:r>
        <w:t xml:space="preserve"> the end of 2012, how many students had completed their studies</w:t>
      </w:r>
      <w:r w:rsidR="00536C0A">
        <w:rPr>
          <w:rStyle w:val="FootnoteReference"/>
        </w:rPr>
        <w:footnoteReference w:id="3"/>
      </w:r>
      <w:proofErr w:type="gramStart"/>
      <w:r>
        <w:t>,</w:t>
      </w:r>
      <w:proofErr w:type="gramEnd"/>
      <w:r w:rsidRPr="00E330DF">
        <w:rPr>
          <w:rStyle w:val="FootnoteReference"/>
        </w:rPr>
        <w:t xml:space="preserve"> </w:t>
      </w:r>
      <w:r w:rsidRPr="002B0354">
        <w:t xml:space="preserve">how many were still studying, and how many were neither studying nor had completed </w:t>
      </w:r>
      <w:r>
        <w:t xml:space="preserve">an award </w:t>
      </w:r>
      <w:r w:rsidRPr="002B0354">
        <w:t xml:space="preserve">and therefore were no longer at the </w:t>
      </w:r>
      <w:r w:rsidRPr="002B0354">
        <w:lastRenderedPageBreak/>
        <w:t>original inst</w:t>
      </w:r>
      <w:r w:rsidR="004339EC">
        <w:t xml:space="preserve">itution or the institution </w:t>
      </w:r>
      <w:r w:rsidRPr="002B0354">
        <w:t>they had transferred</w:t>
      </w:r>
      <w:r>
        <w:t xml:space="preserve"> to</w:t>
      </w:r>
      <w:r w:rsidRPr="002B0354">
        <w:t>.</w:t>
      </w:r>
      <w:r>
        <w:t xml:space="preserve"> </w:t>
      </w:r>
      <w:r w:rsidR="00586E28">
        <w:t>An additional focus of the previous report was to analyse student outcomes by differen</w:t>
      </w:r>
      <w:r w:rsidR="00536C0A">
        <w:t>t</w:t>
      </w:r>
      <w:r w:rsidR="00586E28">
        <w:t xml:space="preserve"> student ch</w:t>
      </w:r>
      <w:r w:rsidR="0017173E">
        <w:t>aracteristics (for example, by age group, basis of</w:t>
      </w:r>
      <w:r w:rsidR="00586E28">
        <w:t xml:space="preserve"> admission</w:t>
      </w:r>
      <w:r w:rsidR="0017173E">
        <w:t xml:space="preserve"> to university or field of education</w:t>
      </w:r>
      <w:r w:rsidR="00586E28">
        <w:t>).</w:t>
      </w:r>
    </w:p>
    <w:p w:rsidR="001C4CBC" w:rsidRDefault="001C4CBC" w:rsidP="001C4CBC">
      <w:pPr>
        <w:spacing w:after="240"/>
      </w:pPr>
      <w:r>
        <w:t xml:space="preserve">The tracking of cohorts over time enables </w:t>
      </w:r>
      <w:r w:rsidR="004339EC">
        <w:t>a</w:t>
      </w:r>
      <w:r>
        <w:t xml:space="preserve"> better understand</w:t>
      </w:r>
      <w:r w:rsidR="004339EC">
        <w:t>ing of</w:t>
      </w:r>
      <w:r>
        <w:t xml:space="preserve"> the progression of students through the Higher Education System. Tracking outcomes also assists in understanding student performance and is a useful tool in identifying students with specific characteristics who are more likely to drop out and </w:t>
      </w:r>
      <w:r w:rsidR="004339EC">
        <w:t xml:space="preserve">may benefit </w:t>
      </w:r>
      <w:r>
        <w:t xml:space="preserve">most from early assistance. </w:t>
      </w:r>
    </w:p>
    <w:p w:rsidR="00366F12" w:rsidRDefault="00366F12" w:rsidP="00366F12">
      <w:bookmarkStart w:id="3" w:name="_Toc406751079"/>
    </w:p>
    <w:p w:rsidR="00EF33AF" w:rsidRDefault="00A35B56" w:rsidP="00EF33AF">
      <w:pPr>
        <w:pStyle w:val="Heading1"/>
      </w:pPr>
      <w:r>
        <w:t>Updated</w:t>
      </w:r>
      <w:r w:rsidR="00EF33AF">
        <w:t xml:space="preserve"> </w:t>
      </w:r>
      <w:r w:rsidR="00A74AD2">
        <w:t>a</w:t>
      </w:r>
      <w:r w:rsidR="00EF33AF">
        <w:t>nalysis</w:t>
      </w:r>
      <w:bookmarkEnd w:id="3"/>
    </w:p>
    <w:p w:rsidR="00C9710B" w:rsidRDefault="00D57D99" w:rsidP="00F73A27">
      <w:r w:rsidRPr="00EE288A">
        <w:t xml:space="preserve">The current report extends the </w:t>
      </w:r>
      <w:r w:rsidR="00EF33AF">
        <w:t xml:space="preserve">previous </w:t>
      </w:r>
      <w:r w:rsidRPr="00EE288A">
        <w:t>analysis</w:t>
      </w:r>
      <w:r w:rsidR="00DA277F">
        <w:t xml:space="preserve"> </w:t>
      </w:r>
      <w:r w:rsidR="00DA277F" w:rsidRPr="00EE288A">
        <w:t>to review 2013 outcomes</w:t>
      </w:r>
      <w:r w:rsidRPr="00EE288A">
        <w:t xml:space="preserve"> </w:t>
      </w:r>
      <w:r w:rsidR="00DA277F">
        <w:t xml:space="preserve">for </w:t>
      </w:r>
      <w:r w:rsidR="00C8462C">
        <w:t xml:space="preserve">the </w:t>
      </w:r>
      <w:r w:rsidR="00997E64" w:rsidRPr="00EE288A">
        <w:t xml:space="preserve">2005 </w:t>
      </w:r>
      <w:r w:rsidR="001C4CBC">
        <w:t xml:space="preserve">Table </w:t>
      </w:r>
      <w:proofErr w:type="gramStart"/>
      <w:r w:rsidR="001C4CBC">
        <w:t>A</w:t>
      </w:r>
      <w:proofErr w:type="gramEnd"/>
      <w:r w:rsidR="001C4CBC">
        <w:t xml:space="preserve"> </w:t>
      </w:r>
      <w:r w:rsidRPr="00EE288A">
        <w:t>comme</w:t>
      </w:r>
      <w:r w:rsidR="00C8462C">
        <w:t>ncing domestic bachelor student cohort</w:t>
      </w:r>
      <w:r w:rsidR="004339EC">
        <w:t>. When these data are compared with</w:t>
      </w:r>
      <w:r w:rsidR="00EE288A" w:rsidRPr="00EE288A">
        <w:t xml:space="preserve"> 2012 data, the change in student outcomes eight and nine years after commencement can be analysed. </w:t>
      </w:r>
    </w:p>
    <w:p w:rsidR="00997E64" w:rsidRDefault="00997E64" w:rsidP="00C9710B">
      <w:r>
        <w:t>In additio</w:t>
      </w:r>
      <w:r w:rsidR="00EE288A">
        <w:t xml:space="preserve">n to reviewing the 2005 cohort nine years after </w:t>
      </w:r>
      <w:r>
        <w:t>commencement, this report provide</w:t>
      </w:r>
      <w:r w:rsidR="00DA277F">
        <w:t>s information on student cohorts</w:t>
      </w:r>
      <w:r w:rsidR="00EE288A">
        <w:t xml:space="preserve"> four</w:t>
      </w:r>
      <w:r w:rsidR="004339EC">
        <w:t>, six and eight</w:t>
      </w:r>
      <w:r w:rsidR="00EE288A">
        <w:t xml:space="preserve"> </w:t>
      </w:r>
      <w:r>
        <w:t>years after starting their course.</w:t>
      </w:r>
      <w:r w:rsidR="00EE288A">
        <w:t xml:space="preserve"> For each of these groups, d</w:t>
      </w:r>
      <w:r>
        <w:t>ifferent commencing year cohorts are compared to see if there are chang</w:t>
      </w:r>
      <w:r w:rsidR="00EE288A">
        <w:t>es</w:t>
      </w:r>
      <w:r>
        <w:t xml:space="preserve"> in student outcomes over time. </w:t>
      </w:r>
      <w:r w:rsidR="004339EC">
        <w:t>This</w:t>
      </w:r>
      <w:r w:rsidR="00E554E4">
        <w:t xml:space="preserve"> information </w:t>
      </w:r>
      <w:r w:rsidR="00EE288A">
        <w:t>builds on data in the previous</w:t>
      </w:r>
      <w:r w:rsidR="00E554E4">
        <w:t xml:space="preserve"> report</w:t>
      </w:r>
      <w:r w:rsidR="00EE288A">
        <w:t xml:space="preserve">, </w:t>
      </w:r>
      <w:r w:rsidR="004339EC">
        <w:t>by</w:t>
      </w:r>
      <w:r w:rsidR="00DA277F">
        <w:t xml:space="preserve"> </w:t>
      </w:r>
      <w:r w:rsidR="00EE288A">
        <w:t xml:space="preserve">incorporating student outcomes by 2013. </w:t>
      </w:r>
    </w:p>
    <w:p w:rsidR="00536C0A" w:rsidRDefault="00536C0A" w:rsidP="00C9710B">
      <w:r>
        <w:t>Detailed tables and charts of cohort data can be found in the Appendix.</w:t>
      </w:r>
    </w:p>
    <w:p w:rsidR="00366F12" w:rsidRDefault="00366F12" w:rsidP="00366F12">
      <w:bookmarkStart w:id="4" w:name="_Toc406751080"/>
    </w:p>
    <w:p w:rsidR="00EE288A" w:rsidRDefault="00A35B56" w:rsidP="00AD6823">
      <w:pPr>
        <w:pStyle w:val="Heading1"/>
      </w:pPr>
      <w:r>
        <w:t>Outcomes for</w:t>
      </w:r>
      <w:r w:rsidR="009C3510" w:rsidRPr="00D24769">
        <w:t xml:space="preserve"> the 2005 cohort</w:t>
      </w:r>
      <w:bookmarkEnd w:id="4"/>
    </w:p>
    <w:p w:rsidR="006B27E8" w:rsidRDefault="00A35B56" w:rsidP="008C2E5B">
      <w:pPr>
        <w:spacing w:after="240"/>
      </w:pPr>
      <w:r>
        <w:t xml:space="preserve">Nine years after the </w:t>
      </w:r>
      <w:r w:rsidR="008C2E5B">
        <w:t xml:space="preserve">2005 cohort of Table </w:t>
      </w:r>
      <w:proofErr w:type="gramStart"/>
      <w:r w:rsidR="008C2E5B">
        <w:t>A</w:t>
      </w:r>
      <w:proofErr w:type="gramEnd"/>
      <w:r w:rsidR="008C2E5B">
        <w:t xml:space="preserve"> </w:t>
      </w:r>
      <w:r w:rsidR="008C2E5B" w:rsidRPr="00027DF6">
        <w:t>commencing dom</w:t>
      </w:r>
      <w:r w:rsidR="008C2E5B">
        <w:t xml:space="preserve">estic bachelor students enrolled, 73.6% of students had completed a course (Chart 1). A very small proportion of the 2005 cohort were still enrolled after nine years (4.2%), with the remainder either re-enrolling, but dropping out before 2013 (14.0%) or </w:t>
      </w:r>
      <w:r w:rsidR="006F651E">
        <w:t>never returning after 2005 (</w:t>
      </w:r>
      <w:r w:rsidR="008C2E5B">
        <w:t>8.2%</w:t>
      </w:r>
      <w:r w:rsidR="006F651E">
        <w:t>).</w:t>
      </w:r>
      <w:r w:rsidR="008917D9">
        <w:t xml:space="preserve"> Nine year outcomes compared to previous year outcomes are shown in Chart 1. </w:t>
      </w:r>
    </w:p>
    <w:p w:rsidR="006B27E8" w:rsidRDefault="006B27E8">
      <w:r>
        <w:br w:type="page"/>
      </w:r>
    </w:p>
    <w:p w:rsidR="005161F5" w:rsidRPr="00FF01D3" w:rsidRDefault="005161F5" w:rsidP="005161F5">
      <w:pPr>
        <w:rPr>
          <w:b/>
          <w:noProof/>
        </w:rPr>
      </w:pPr>
      <w:r>
        <w:rPr>
          <w:b/>
          <w:noProof/>
        </w:rPr>
        <w:lastRenderedPageBreak/>
        <w:t>Chart 1</w:t>
      </w:r>
      <w:r w:rsidRPr="00BE7595">
        <w:rPr>
          <w:b/>
          <w:noProof/>
        </w:rPr>
        <w:t>.</w:t>
      </w:r>
      <w:r>
        <w:rPr>
          <w:b/>
          <w:noProof/>
        </w:rPr>
        <w:t xml:space="preserve"> The percentage of the 2005 </w:t>
      </w:r>
      <w:r w:rsidR="009D628A">
        <w:rPr>
          <w:b/>
          <w:noProof/>
        </w:rPr>
        <w:t xml:space="preserve">Table A </w:t>
      </w:r>
      <w:r>
        <w:rPr>
          <w:b/>
          <w:noProof/>
        </w:rPr>
        <w:t>commencing domestic bachelor student cohort, by outcome, four, six, eight and nine years after commencement</w:t>
      </w:r>
      <w:r w:rsidR="008C2E5B">
        <w:rPr>
          <w:b/>
          <w:noProof/>
        </w:rPr>
        <w:t xml:space="preserve"> (2013)</w:t>
      </w:r>
      <w:r>
        <w:rPr>
          <w:b/>
          <w:noProof/>
        </w:rPr>
        <w:t xml:space="preserve">. </w:t>
      </w:r>
    </w:p>
    <w:p w:rsidR="006F651E" w:rsidRDefault="00376D20" w:rsidP="006F651E">
      <w:pPr>
        <w:rPr>
          <w:i/>
          <w:noProof/>
        </w:rPr>
      </w:pPr>
      <w:r>
        <w:rPr>
          <w:i/>
          <w:noProof/>
          <w:lang w:eastAsia="en-AU"/>
        </w:rPr>
        <w:drawing>
          <wp:inline distT="0" distB="0" distL="0" distR="0" wp14:anchorId="3FA04CD0" wp14:editId="03AFA7C6">
            <wp:extent cx="5730875" cy="3499485"/>
            <wp:effectExtent l="0" t="0" r="3175" b="5715"/>
            <wp:docPr id="7" name="Picture 7" descr="Chart 1- graphical representation of data available in Tables 1-4 (see append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0875" cy="3499485"/>
                    </a:xfrm>
                    <a:prstGeom prst="rect">
                      <a:avLst/>
                    </a:prstGeom>
                    <a:noFill/>
                  </pic:spPr>
                </pic:pic>
              </a:graphicData>
            </a:graphic>
          </wp:inline>
        </w:drawing>
      </w:r>
    </w:p>
    <w:p w:rsidR="005161F5" w:rsidRPr="006B27E8" w:rsidRDefault="006F651E" w:rsidP="006B27E8">
      <w:pPr>
        <w:pStyle w:val="Heading2"/>
      </w:pPr>
      <w:r w:rsidRPr="006B27E8">
        <w:t xml:space="preserve">Completions </w:t>
      </w:r>
    </w:p>
    <w:p w:rsidR="00892818" w:rsidRDefault="008917D9" w:rsidP="008917D9">
      <w:r>
        <w:t>The proportion of additional students who have completed a course diminishes each year, after four years since commencement (Chart 2). T</w:t>
      </w:r>
      <w:r w:rsidR="00892818">
        <w:t xml:space="preserve">he proportion of </w:t>
      </w:r>
      <w:r>
        <w:t>the 2005 student cohort</w:t>
      </w:r>
      <w:r w:rsidR="004339EC">
        <w:t xml:space="preserve"> who had </w:t>
      </w:r>
      <w:r w:rsidR="00892818">
        <w:t>completed a course increased by only 1.3% nine years after commencement, compared to eight years after commencement (from 72.3% to 73.6%)</w:t>
      </w:r>
      <w:r w:rsidR="005F5AA3">
        <w:t xml:space="preserve">. </w:t>
      </w:r>
    </w:p>
    <w:p w:rsidR="00D071BF" w:rsidRDefault="00D071BF" w:rsidP="006B27E8">
      <w:pPr>
        <w:pStyle w:val="Heading2"/>
      </w:pPr>
      <w:r>
        <w:t xml:space="preserve">Engagement </w:t>
      </w:r>
    </w:p>
    <w:p w:rsidR="006B27E8" w:rsidRDefault="008917D9" w:rsidP="00D071BF">
      <w:r>
        <w:rPr>
          <w:noProof/>
        </w:rPr>
        <w:t xml:space="preserve">The proportion of students ‘engaged’ with Higher Education includes those students who have completed a course or are still enrolled. The proportion of the 2005 cohort who were engaged remained stable from four years after commencement until nine years after commencement (the sum of the dark and light blue bars in Chart </w:t>
      </w:r>
      <w:r w:rsidR="008B6BB5">
        <w:rPr>
          <w:noProof/>
        </w:rPr>
        <w:t>1</w:t>
      </w:r>
      <w:r>
        <w:rPr>
          <w:noProof/>
        </w:rPr>
        <w:t xml:space="preserve">). </w:t>
      </w:r>
      <w:r w:rsidR="008B6BB5">
        <w:t xml:space="preserve">The engagement rate for the 2005 student cohort ranged from 77.5% to 78.0% (four years after commencement and six years after commencement respectively). </w:t>
      </w:r>
    </w:p>
    <w:p w:rsidR="006B27E8" w:rsidRDefault="006B27E8">
      <w:r>
        <w:br w:type="page"/>
      </w:r>
    </w:p>
    <w:p w:rsidR="00AA688D" w:rsidRPr="003511B6" w:rsidRDefault="00BE7595" w:rsidP="003511B6">
      <w:pPr>
        <w:rPr>
          <w:b/>
          <w:noProof/>
        </w:rPr>
      </w:pPr>
      <w:r w:rsidRPr="00BE7595">
        <w:rPr>
          <w:b/>
          <w:noProof/>
        </w:rPr>
        <w:lastRenderedPageBreak/>
        <w:t xml:space="preserve">Chart </w:t>
      </w:r>
      <w:r w:rsidR="005161F5">
        <w:rPr>
          <w:b/>
          <w:noProof/>
        </w:rPr>
        <w:t>2</w:t>
      </w:r>
      <w:r w:rsidRPr="00BE7595">
        <w:rPr>
          <w:b/>
          <w:noProof/>
        </w:rPr>
        <w:t>.</w:t>
      </w:r>
      <w:r>
        <w:rPr>
          <w:b/>
          <w:noProof/>
        </w:rPr>
        <w:t xml:space="preserve"> </w:t>
      </w:r>
      <w:r w:rsidR="00FF4F44">
        <w:rPr>
          <w:b/>
          <w:noProof/>
        </w:rPr>
        <w:t>Percentage point increase in completions each year, from four years after commenc</w:t>
      </w:r>
      <w:r w:rsidR="004339EC">
        <w:rPr>
          <w:b/>
          <w:noProof/>
        </w:rPr>
        <w:t>e</w:t>
      </w:r>
      <w:r w:rsidR="00FF4F44">
        <w:rPr>
          <w:b/>
          <w:noProof/>
        </w:rPr>
        <w:t>ment</w:t>
      </w:r>
      <w:r w:rsidR="00AA688D">
        <w:rPr>
          <w:b/>
          <w:noProof/>
        </w:rPr>
        <w:t>,</w:t>
      </w:r>
      <w:r w:rsidR="00FF4F44">
        <w:rPr>
          <w:b/>
          <w:noProof/>
        </w:rPr>
        <w:t xml:space="preserve"> for the </w:t>
      </w:r>
      <w:r w:rsidR="00EF777E">
        <w:rPr>
          <w:b/>
          <w:noProof/>
        </w:rPr>
        <w:t xml:space="preserve">2005 </w:t>
      </w:r>
      <w:r w:rsidR="009D628A">
        <w:rPr>
          <w:b/>
          <w:noProof/>
        </w:rPr>
        <w:t xml:space="preserve">Table A </w:t>
      </w:r>
      <w:r w:rsidR="00EF777E">
        <w:rPr>
          <w:b/>
          <w:noProof/>
        </w:rPr>
        <w:t>commencing domestic bachelor student cohort</w:t>
      </w:r>
      <w:r w:rsidR="00FF4F44">
        <w:rPr>
          <w:b/>
          <w:noProof/>
        </w:rPr>
        <w:t>.</w:t>
      </w:r>
      <w:r w:rsidR="008B6BB5">
        <w:rPr>
          <w:b/>
          <w:noProof/>
        </w:rPr>
        <w:t xml:space="preserve"> </w:t>
      </w:r>
    </w:p>
    <w:p w:rsidR="008917D9" w:rsidRDefault="003511B6" w:rsidP="00892818">
      <w:pPr>
        <w:spacing w:after="240"/>
      </w:pPr>
      <w:r>
        <w:rPr>
          <w:noProof/>
          <w:lang w:eastAsia="en-AU"/>
        </w:rPr>
        <w:drawing>
          <wp:inline distT="0" distB="0" distL="0" distR="0" wp14:anchorId="04C4131A" wp14:editId="711D7A73">
            <wp:extent cx="5736590" cy="3017520"/>
            <wp:effectExtent l="0" t="0" r="0" b="0"/>
            <wp:docPr id="9" name="Picture 9" descr="Chart 2- graphical representation indicating that the proportion of additional students who have completed a course diminishes each year, after four years since commenc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6590" cy="3017520"/>
                    </a:xfrm>
                    <a:prstGeom prst="rect">
                      <a:avLst/>
                    </a:prstGeom>
                    <a:noFill/>
                  </pic:spPr>
                </pic:pic>
              </a:graphicData>
            </a:graphic>
          </wp:inline>
        </w:drawing>
      </w:r>
    </w:p>
    <w:p w:rsidR="00892818" w:rsidRDefault="00892818" w:rsidP="00892818">
      <w:pPr>
        <w:spacing w:after="240"/>
      </w:pPr>
      <w:r>
        <w:t xml:space="preserve">Table 1 and Chart </w:t>
      </w:r>
      <w:r w:rsidR="008E4033">
        <w:t>3</w:t>
      </w:r>
      <w:r w:rsidR="005F5AA3">
        <w:t xml:space="preserve"> (see Appendix)</w:t>
      </w:r>
      <w:r>
        <w:t xml:space="preserve"> show </w:t>
      </w:r>
      <w:r w:rsidR="00E843D4">
        <w:t>detailed attrition and completion information</w:t>
      </w:r>
      <w:r w:rsidR="005F5AA3">
        <w:t xml:space="preserve"> by student characteristics</w:t>
      </w:r>
      <w:r w:rsidR="00E843D4" w:rsidRPr="00E843D4">
        <w:rPr>
          <w:color w:val="FF0000"/>
        </w:rPr>
        <w:t xml:space="preserve"> </w:t>
      </w:r>
      <w:r w:rsidR="00E843D4">
        <w:t>for the 2005 student cohort nine years after commencement. Eight year outcomes</w:t>
      </w:r>
      <w:r w:rsidR="005F5AA3">
        <w:t xml:space="preserve"> for the 2005 cohort</w:t>
      </w:r>
      <w:r w:rsidR="00E843D4">
        <w:t xml:space="preserve"> are shown in </w:t>
      </w:r>
      <w:r w:rsidR="005F5AA3">
        <w:t xml:space="preserve">Table </w:t>
      </w:r>
      <w:r w:rsidR="008B6BB5">
        <w:t>4</w:t>
      </w:r>
      <w:r w:rsidR="005F5AA3">
        <w:t xml:space="preserve"> and Chart </w:t>
      </w:r>
      <w:r w:rsidR="008B6BB5">
        <w:t>6</w:t>
      </w:r>
      <w:r w:rsidR="005F5AA3">
        <w:t xml:space="preserve">. </w:t>
      </w:r>
      <w:r w:rsidR="00D071BF">
        <w:t>Similar to the total change, t</w:t>
      </w:r>
      <w:r w:rsidR="0074166C">
        <w:t>he patt</w:t>
      </w:r>
      <w:r w:rsidR="00D071BF">
        <w:t xml:space="preserve">ern of attrition and completion </w:t>
      </w:r>
      <w:r w:rsidR="0074166C">
        <w:t>information by student characteristics</w:t>
      </w:r>
      <w:r w:rsidR="00D071BF">
        <w:t xml:space="preserve"> </w:t>
      </w:r>
      <w:r w:rsidR="0074166C">
        <w:t>change</w:t>
      </w:r>
      <w:r w:rsidR="00D071BF">
        <w:t>d</w:t>
      </w:r>
      <w:r w:rsidR="0074166C">
        <w:t xml:space="preserve"> little between eight</w:t>
      </w:r>
      <w:r w:rsidR="00D071BF">
        <w:t xml:space="preserve"> and nine</w:t>
      </w:r>
      <w:r w:rsidR="0074166C">
        <w:t xml:space="preserve"> </w:t>
      </w:r>
      <w:r w:rsidR="00D071BF">
        <w:t xml:space="preserve">years after commencement. </w:t>
      </w:r>
    </w:p>
    <w:p w:rsidR="00366F12" w:rsidRDefault="00366F12" w:rsidP="00366F12">
      <w:bookmarkStart w:id="5" w:name="_Toc406751081"/>
    </w:p>
    <w:p w:rsidR="00A50A2F" w:rsidRPr="00D24769" w:rsidRDefault="00A50A2F" w:rsidP="00A50A2F">
      <w:pPr>
        <w:pStyle w:val="Heading1"/>
      </w:pPr>
      <w:r w:rsidRPr="00D24769">
        <w:t xml:space="preserve">Four year </w:t>
      </w:r>
      <w:r w:rsidR="0017173E">
        <w:t>outcomes</w:t>
      </w:r>
      <w:r w:rsidR="00873E8C">
        <w:t xml:space="preserve"> </w:t>
      </w:r>
      <w:r w:rsidR="0017173E">
        <w:t>- influence of the demand driven system</w:t>
      </w:r>
      <w:bookmarkEnd w:id="5"/>
    </w:p>
    <w:p w:rsidR="00A50A2F" w:rsidRDefault="00A50A2F" w:rsidP="00A50A2F">
      <w:pPr>
        <w:rPr>
          <w:rFonts w:cstheme="minorHAnsi"/>
        </w:rPr>
      </w:pPr>
      <w:r w:rsidRPr="00D16F72">
        <w:rPr>
          <w:rFonts w:ascii="Calibri" w:hAnsi="Calibri"/>
        </w:rPr>
        <w:t xml:space="preserve">From </w:t>
      </w:r>
      <w:r w:rsidR="00873E8C">
        <w:rPr>
          <w:rFonts w:ascii="Calibri" w:hAnsi="Calibri"/>
        </w:rPr>
        <w:t>1 January 2012, the Australian G</w:t>
      </w:r>
      <w:r w:rsidRPr="00D16F72">
        <w:rPr>
          <w:rFonts w:ascii="Calibri" w:hAnsi="Calibri"/>
        </w:rPr>
        <w:t xml:space="preserve">overnment lifted limits on the number of Commonwealth supported places for domestic </w:t>
      </w:r>
      <w:r w:rsidR="00873E8C">
        <w:rPr>
          <w:rFonts w:ascii="Calibri" w:hAnsi="Calibri"/>
        </w:rPr>
        <w:t>b</w:t>
      </w:r>
      <w:r w:rsidRPr="00D16F72">
        <w:rPr>
          <w:rFonts w:ascii="Calibri" w:hAnsi="Calibri"/>
        </w:rPr>
        <w:t>achelor degree students at public universities (</w:t>
      </w:r>
      <w:r w:rsidR="00873E8C">
        <w:rPr>
          <w:rFonts w:ascii="Calibri" w:hAnsi="Calibri"/>
        </w:rPr>
        <w:t>excluding</w:t>
      </w:r>
      <w:r w:rsidRPr="00D16F72">
        <w:rPr>
          <w:rFonts w:ascii="Calibri" w:hAnsi="Calibri"/>
        </w:rPr>
        <w:t xml:space="preserve"> medical places) under the ‘demand driven system’.</w:t>
      </w:r>
      <w:r>
        <w:rPr>
          <w:rFonts w:ascii="Calibri" w:hAnsi="Calibri"/>
          <w:sz w:val="18"/>
          <w:szCs w:val="18"/>
        </w:rPr>
        <w:t xml:space="preserve"> </w:t>
      </w:r>
      <w:r w:rsidRPr="00D16F72">
        <w:rPr>
          <w:rFonts w:cstheme="minorHAnsi"/>
        </w:rPr>
        <w:t>Although the demand driven funding system was fully implemented i</w:t>
      </w:r>
      <w:r w:rsidR="0017173E">
        <w:rPr>
          <w:rFonts w:cstheme="minorHAnsi"/>
        </w:rPr>
        <w:t xml:space="preserve">n 2012, </w:t>
      </w:r>
      <w:r w:rsidR="00873E8C">
        <w:rPr>
          <w:rFonts w:cstheme="minorHAnsi"/>
        </w:rPr>
        <w:t>it was</w:t>
      </w:r>
      <w:r w:rsidR="0017173E">
        <w:rPr>
          <w:rFonts w:cstheme="minorHAnsi"/>
        </w:rPr>
        <w:t xml:space="preserve"> preceded by a transition period </w:t>
      </w:r>
      <w:r w:rsidRPr="00D16F72">
        <w:rPr>
          <w:rFonts w:cstheme="minorHAnsi"/>
        </w:rPr>
        <w:t>where the previous 5% over enrolment cap increased to 10% for 2010 and 2011.</w:t>
      </w:r>
      <w:r>
        <w:rPr>
          <w:rFonts w:cstheme="minorHAnsi"/>
        </w:rPr>
        <w:t xml:space="preserve"> </w:t>
      </w:r>
    </w:p>
    <w:p w:rsidR="00A50A2F" w:rsidRDefault="00A50A2F" w:rsidP="00A50A2F">
      <w:r>
        <w:rPr>
          <w:rFonts w:cstheme="minorHAnsi"/>
        </w:rPr>
        <w:t xml:space="preserve">The 2010 cohort data provides the first indication of how </w:t>
      </w:r>
      <w:r>
        <w:t xml:space="preserve">of students’ attrition and completion </w:t>
      </w:r>
      <w:r>
        <w:rPr>
          <w:rFonts w:cstheme="minorHAnsi"/>
        </w:rPr>
        <w:t>outcomes under the demand driven system compares to that of commencing students prior to the demand driven system. With the release of 2013 data, four year outcomes for the 2010 cohort of Table A commencing domestic bachelor students</w:t>
      </w:r>
      <w:r w:rsidR="0017173E">
        <w:rPr>
          <w:rFonts w:cstheme="minorHAnsi"/>
        </w:rPr>
        <w:t xml:space="preserve"> is now available and</w:t>
      </w:r>
      <w:r>
        <w:rPr>
          <w:rFonts w:cstheme="minorHAnsi"/>
        </w:rPr>
        <w:t xml:space="preserve"> can be assessed</w:t>
      </w:r>
      <w:r w:rsidR="00536C0A">
        <w:rPr>
          <w:rStyle w:val="FootnoteReference"/>
          <w:rFonts w:cstheme="minorHAnsi"/>
        </w:rPr>
        <w:footnoteReference w:id="4"/>
      </w:r>
      <w:r w:rsidRPr="000C6077">
        <w:rPr>
          <w:rFonts w:cstheme="minorHAnsi"/>
        </w:rPr>
        <w:t xml:space="preserve">. Comparative cohorts include </w:t>
      </w:r>
      <w:r w:rsidRPr="000C6077">
        <w:t>2005-2008, 2006-2009, 2007-2010, 2008-2011 and 2009-2012.</w:t>
      </w:r>
      <w:r>
        <w:t xml:space="preserve"> </w:t>
      </w:r>
      <w:r w:rsidR="00CC36B0">
        <w:t xml:space="preserve">Data for </w:t>
      </w:r>
      <w:r>
        <w:t>four year</w:t>
      </w:r>
      <w:r w:rsidR="0017173E">
        <w:t xml:space="preserve"> outcomes of cohorts</w:t>
      </w:r>
      <w:r>
        <w:t xml:space="preserve"> are shown in Table </w:t>
      </w:r>
      <w:r w:rsidR="00E61D12">
        <w:t>2</w:t>
      </w:r>
      <w:r>
        <w:t xml:space="preserve"> and Chart </w:t>
      </w:r>
      <w:r w:rsidR="00E61D12">
        <w:t>4</w:t>
      </w:r>
      <w:r>
        <w:t xml:space="preserve">. </w:t>
      </w:r>
    </w:p>
    <w:p w:rsidR="00A50A2F" w:rsidRPr="00A50A2F" w:rsidRDefault="00A50A2F" w:rsidP="00A50A2F">
      <w:r>
        <w:lastRenderedPageBreak/>
        <w:t xml:space="preserve">As noted in the previous report, </w:t>
      </w:r>
      <w:r>
        <w:rPr>
          <w:noProof/>
        </w:rPr>
        <w:t xml:space="preserve">four year </w:t>
      </w:r>
      <w:r w:rsidR="0017173E">
        <w:rPr>
          <w:noProof/>
        </w:rPr>
        <w:t xml:space="preserve">outcome data </w:t>
      </w:r>
      <w:r>
        <w:rPr>
          <w:noProof/>
        </w:rPr>
        <w:t>was fairly consistent</w:t>
      </w:r>
      <w:r w:rsidR="0017173E">
        <w:rPr>
          <w:noProof/>
        </w:rPr>
        <w:t xml:space="preserve"> across cohorts</w:t>
      </w:r>
      <w:r>
        <w:rPr>
          <w:noProof/>
        </w:rPr>
        <w:t xml:space="preserve">, taking into account </w:t>
      </w:r>
      <w:r>
        <w:t xml:space="preserve">normal minor fluctuations in the data. </w:t>
      </w:r>
      <w:r w:rsidR="00B40F24">
        <w:t>However, n</w:t>
      </w:r>
      <w:r>
        <w:t>ationally and across many student characteristics, four year ou</w:t>
      </w:r>
      <w:r w:rsidR="00B40F24">
        <w:t xml:space="preserve">tcome data for the 2010 cohort </w:t>
      </w:r>
      <w:r>
        <w:t>showed marginally lower completion rates than</w:t>
      </w:r>
      <w:r w:rsidR="0017173E">
        <w:t xml:space="preserve"> for other years. O</w:t>
      </w:r>
      <w:r>
        <w:t>n average</w:t>
      </w:r>
      <w:r w:rsidR="00B40F24">
        <w:t>,</w:t>
      </w:r>
      <w:r>
        <w:t xml:space="preserve"> 46.6% of students had completed afte</w:t>
      </w:r>
      <w:r w:rsidR="00800CB0">
        <w:t>r four years for</w:t>
      </w:r>
      <w:r>
        <w:t xml:space="preserve"> the 2005 to 20</w:t>
      </w:r>
      <w:r w:rsidR="00800CB0">
        <w:t>09 cohorts, compared to 45.1% for</w:t>
      </w:r>
      <w:r>
        <w:t xml:space="preserve"> the 2010 cohort. It should be noted however, that the proportion of students who had completed or were still enrolled was 79.8% for the 2010 cohort, which was very similar to the equivalent figure for other years (an average of 79.9% for the four cohorts prior to 2010). To confirm whether the slight decrease in completion rates for the 2010 cohort is a result of the introduction of the demand driven system (as opposed to other factors which lead to small fluctuations in</w:t>
      </w:r>
      <w:r w:rsidR="00B40F24">
        <w:t xml:space="preserve"> results from year to year), future</w:t>
      </w:r>
      <w:r>
        <w:t xml:space="preserve"> cohorts under the </w:t>
      </w:r>
      <w:r>
        <w:rPr>
          <w:rFonts w:ascii="Calibri" w:hAnsi="Calibri"/>
        </w:rPr>
        <w:t xml:space="preserve">demand driven system will need to be </w:t>
      </w:r>
      <w:r w:rsidR="00B40F24">
        <w:rPr>
          <w:rFonts w:ascii="Calibri" w:hAnsi="Calibri"/>
        </w:rPr>
        <w:t>analysed</w:t>
      </w:r>
      <w:r>
        <w:rPr>
          <w:rFonts w:ascii="Calibri" w:hAnsi="Calibri"/>
        </w:rPr>
        <w:t xml:space="preserve">. </w:t>
      </w:r>
    </w:p>
    <w:p w:rsidR="00A50A2F" w:rsidRPr="006321A5" w:rsidRDefault="00A50A2F" w:rsidP="006B27E8">
      <w:pPr>
        <w:pStyle w:val="Heading2"/>
      </w:pPr>
      <w:r>
        <w:t>Minor differences across four year cohorts</w:t>
      </w:r>
    </w:p>
    <w:p w:rsidR="00A50A2F" w:rsidRDefault="00A50A2F" w:rsidP="00A50A2F">
      <w:r>
        <w:t xml:space="preserve">Although the pattern of attrition and completion outcomes across </w:t>
      </w:r>
      <w:r w:rsidR="0017173E">
        <w:t>student</w:t>
      </w:r>
      <w:r>
        <w:t xml:space="preserve"> cohorts </w:t>
      </w:r>
      <w:r w:rsidR="0017173E">
        <w:t xml:space="preserve">four years after commencement </w:t>
      </w:r>
      <w:r>
        <w:t>was relatively stable, there were some minor differences:</w:t>
      </w:r>
    </w:p>
    <w:p w:rsidR="00A84F6E" w:rsidRDefault="00A84F6E" w:rsidP="00BB740E">
      <w:pPr>
        <w:pStyle w:val="ListParagraph"/>
        <w:numPr>
          <w:ilvl w:val="0"/>
          <w:numId w:val="28"/>
        </w:numPr>
      </w:pPr>
      <w:r>
        <w:t xml:space="preserve">Completion rates for </w:t>
      </w:r>
      <w:r w:rsidRPr="007C2ADE">
        <w:t xml:space="preserve">students undertaking </w:t>
      </w:r>
      <w:r>
        <w:t xml:space="preserve">a Bachelor’s </w:t>
      </w:r>
      <w:r w:rsidRPr="007C2ADE">
        <w:t>Honours</w:t>
      </w:r>
      <w:r>
        <w:t xml:space="preserve"> course fluctuated, ranging from </w:t>
      </w:r>
      <w:r w:rsidR="00BB740E">
        <w:t>a high of 81.4% in 2009</w:t>
      </w:r>
      <w:r w:rsidR="001A57B2">
        <w:t xml:space="preserve"> </w:t>
      </w:r>
      <w:r w:rsidR="00BB740E">
        <w:t xml:space="preserve">down </w:t>
      </w:r>
      <w:r>
        <w:t xml:space="preserve">to </w:t>
      </w:r>
      <w:r w:rsidR="00BB740E">
        <w:t>74.5</w:t>
      </w:r>
      <w:r>
        <w:t>% in 20</w:t>
      </w:r>
      <w:r w:rsidR="00BB740E">
        <w:t>10</w:t>
      </w:r>
      <w:r w:rsidR="00745FBF">
        <w:rPr>
          <w:rStyle w:val="FootnoteReference"/>
        </w:rPr>
        <w:footnoteReference w:id="5"/>
      </w:r>
      <w:r>
        <w:t>.</w:t>
      </w:r>
      <w:r w:rsidR="00BB740E">
        <w:t xml:space="preserve"> </w:t>
      </w:r>
    </w:p>
    <w:p w:rsidR="006B7E95" w:rsidRDefault="00BB740E" w:rsidP="006B7E95">
      <w:pPr>
        <w:pStyle w:val="ListParagraph"/>
        <w:numPr>
          <w:ilvl w:val="0"/>
          <w:numId w:val="28"/>
        </w:numPr>
      </w:pPr>
      <w:r>
        <w:t xml:space="preserve">Completion rates for Bachelor’s Graduate Entry courses </w:t>
      </w:r>
      <w:r w:rsidR="0017173E">
        <w:t>across the</w:t>
      </w:r>
      <w:r>
        <w:t xml:space="preserve"> cohort</w:t>
      </w:r>
      <w:r w:rsidR="0017173E">
        <w:t>s</w:t>
      </w:r>
      <w:r w:rsidR="00BD04DB">
        <w:t xml:space="preserve"> showed a decline </w:t>
      </w:r>
      <w:r>
        <w:t>from</w:t>
      </w:r>
      <w:r w:rsidR="00BD04DB">
        <w:t xml:space="preserve"> 73.2% in 2005 to 67.0% in 2009</w:t>
      </w:r>
      <w:r>
        <w:t>, before increasing again in 2010 to 68.3%</w:t>
      </w:r>
      <w:r w:rsidR="00AF788F">
        <w:rPr>
          <w:rStyle w:val="FootnoteReference"/>
        </w:rPr>
        <w:t>5</w:t>
      </w:r>
      <w:r>
        <w:t xml:space="preserve">. </w:t>
      </w:r>
    </w:p>
    <w:p w:rsidR="0000486A" w:rsidRDefault="0000486A" w:rsidP="0000486A">
      <w:pPr>
        <w:pStyle w:val="ListParagraph"/>
        <w:numPr>
          <w:ilvl w:val="0"/>
          <w:numId w:val="28"/>
        </w:numPr>
      </w:pPr>
      <w:r>
        <w:t xml:space="preserve">Fluctuating completion rates for students with </w:t>
      </w:r>
      <w:proofErr w:type="spellStart"/>
      <w:r>
        <w:t>ATAR’s</w:t>
      </w:r>
      <w:proofErr w:type="spellEnd"/>
      <w:r>
        <w:t xml:space="preserve"> between 30 and 49 and 50 and 59 occurred between </w:t>
      </w:r>
      <w:proofErr w:type="spellStart"/>
      <w:r>
        <w:t>cohorts</w:t>
      </w:r>
      <w:r>
        <w:rPr>
          <w:rStyle w:val="FootnoteReference"/>
        </w:rPr>
        <w:t>5</w:t>
      </w:r>
      <w:proofErr w:type="spellEnd"/>
      <w:r>
        <w:t xml:space="preserve">. For students with </w:t>
      </w:r>
      <w:proofErr w:type="spellStart"/>
      <w:r>
        <w:t>ATARs</w:t>
      </w:r>
      <w:proofErr w:type="spellEnd"/>
      <w:r>
        <w:t xml:space="preserve"> between 30 and 49, the proportion of students who had completed a course after four years was as low as 28.5% for the 2006 cohort, and as high as 35.9% for the 2007 cohort. The lowest completion rate for students with </w:t>
      </w:r>
      <w:proofErr w:type="spellStart"/>
      <w:r>
        <w:t>ATARs</w:t>
      </w:r>
      <w:proofErr w:type="spellEnd"/>
      <w:r>
        <w:t xml:space="preserve"> between 50 and 59 was 29.3% in 2010, while the highest completion rate was 34.5% in 2008.</w:t>
      </w:r>
    </w:p>
    <w:p w:rsidR="00745FBF" w:rsidRDefault="00A50A2F" w:rsidP="00285D98">
      <w:pPr>
        <w:pStyle w:val="ListParagraph"/>
        <w:numPr>
          <w:ilvl w:val="0"/>
          <w:numId w:val="28"/>
        </w:numPr>
      </w:pPr>
      <w:r>
        <w:rPr>
          <w:noProof/>
        </w:rPr>
        <w:t>Completion rate</w:t>
      </w:r>
      <w:r w:rsidR="0017173E">
        <w:rPr>
          <w:noProof/>
        </w:rPr>
        <w:t xml:space="preserve">s showed a decline across </w:t>
      </w:r>
      <w:r>
        <w:rPr>
          <w:noProof/>
        </w:rPr>
        <w:t>cohorts for those students who enrolled in an enabling course prior to their bachelor course. For this group, the 2005 cohort had a completion rate of 39.8%, compared to just 35.9% for the 2010 cohort. There was also a slight decrease for this group in the number of students who had either completed or were still enrolled (down from 75.5%</w:t>
      </w:r>
      <w:r w:rsidR="00BD04DB">
        <w:rPr>
          <w:noProof/>
        </w:rPr>
        <w:t xml:space="preserve"> for the 2006 cohort to 73.3% for</w:t>
      </w:r>
      <w:r>
        <w:rPr>
          <w:noProof/>
        </w:rPr>
        <w:t xml:space="preserve"> the 2010 cohort). </w:t>
      </w:r>
    </w:p>
    <w:p w:rsidR="00745FBF" w:rsidRDefault="00745FBF" w:rsidP="00745FBF">
      <w:pPr>
        <w:pStyle w:val="ListParagraph"/>
        <w:numPr>
          <w:ilvl w:val="0"/>
          <w:numId w:val="28"/>
        </w:numPr>
      </w:pPr>
      <w:r>
        <w:rPr>
          <w:noProof/>
        </w:rPr>
        <w:t>There was a trend for a decrease in the completion rate for those admitted on an ‘other basis for admission’. The completion rate for these students declined from 49.1% in 2005 to 45.4% in 2010. The p</w:t>
      </w:r>
      <w:r w:rsidR="00BD04DB">
        <w:rPr>
          <w:noProof/>
        </w:rPr>
        <w:t>ro</w:t>
      </w:r>
      <w:r>
        <w:rPr>
          <w:noProof/>
        </w:rPr>
        <w:t xml:space="preserve">portion of students who had either completed or were still enrolled, however, remained fairly consistent across the 2006 to 2010 cohorts (75.4% on average). </w:t>
      </w:r>
    </w:p>
    <w:p w:rsidR="00A50A2F" w:rsidRDefault="00A50A2F" w:rsidP="00A50A2F">
      <w:pPr>
        <w:pStyle w:val="ListParagraph"/>
        <w:numPr>
          <w:ilvl w:val="0"/>
          <w:numId w:val="27"/>
        </w:numPr>
        <w:rPr>
          <w:noProof/>
        </w:rPr>
      </w:pPr>
      <w:r>
        <w:rPr>
          <w:noProof/>
        </w:rPr>
        <w:t>For</w:t>
      </w:r>
      <w:r w:rsidR="001A57B2">
        <w:rPr>
          <w:noProof/>
        </w:rPr>
        <w:t xml:space="preserve"> students from a</w:t>
      </w:r>
      <w:r>
        <w:rPr>
          <w:noProof/>
        </w:rPr>
        <w:t xml:space="preserve"> low socio-</w:t>
      </w:r>
      <w:r w:rsidR="001A57B2">
        <w:rPr>
          <w:noProof/>
        </w:rPr>
        <w:t>economic background</w:t>
      </w:r>
      <w:r>
        <w:rPr>
          <w:noProof/>
        </w:rPr>
        <w:t>, completion rates decreased slightly between the 2008 and 2010 cohort</w:t>
      </w:r>
      <w:r w:rsidR="006032CA">
        <w:rPr>
          <w:noProof/>
        </w:rPr>
        <w:t>s</w:t>
      </w:r>
      <w:r>
        <w:rPr>
          <w:noProof/>
        </w:rPr>
        <w:t xml:space="preserve"> (from 43.5% to 41.8%), although the proportion of students who had either completed</w:t>
      </w:r>
      <w:r w:rsidR="001A57B2">
        <w:rPr>
          <w:noProof/>
        </w:rPr>
        <w:t xml:space="preserve"> or were still enrolled remained</w:t>
      </w:r>
      <w:r>
        <w:rPr>
          <w:noProof/>
        </w:rPr>
        <w:t xml:space="preserve"> stable (76.2% for the 2008 cohort compared to 76.1% for the 2010 cohort). </w:t>
      </w:r>
    </w:p>
    <w:p w:rsidR="00B52281" w:rsidRPr="00AF788F" w:rsidRDefault="007B1D43" w:rsidP="00B52281">
      <w:pPr>
        <w:pStyle w:val="ListParagraph"/>
        <w:numPr>
          <w:ilvl w:val="0"/>
          <w:numId w:val="27"/>
        </w:numPr>
        <w:rPr>
          <w:noProof/>
        </w:rPr>
      </w:pPr>
      <w:r w:rsidRPr="00AF788F">
        <w:rPr>
          <w:noProof/>
        </w:rPr>
        <w:t>The completion rate</w:t>
      </w:r>
      <w:r w:rsidR="006032CA">
        <w:rPr>
          <w:noProof/>
        </w:rPr>
        <w:t xml:space="preserve"> for fee-</w:t>
      </w:r>
      <w:r w:rsidR="00CC36B0" w:rsidRPr="00AF788F">
        <w:rPr>
          <w:noProof/>
        </w:rPr>
        <w:t xml:space="preserve">paying students </w:t>
      </w:r>
      <w:r w:rsidR="00A50A2F" w:rsidRPr="00AF788F">
        <w:rPr>
          <w:noProof/>
        </w:rPr>
        <w:t>fluctuated significantly across the 2005 to 2010 cohorts</w:t>
      </w:r>
      <w:r w:rsidRPr="00AF788F">
        <w:rPr>
          <w:noProof/>
        </w:rPr>
        <w:t>, from a low of 49.1% in 2007 to a high of 65.3% in 2010.</w:t>
      </w:r>
      <w:r w:rsidR="00D85EEB" w:rsidRPr="00AF788F">
        <w:rPr>
          <w:noProof/>
        </w:rPr>
        <w:t xml:space="preserve"> The fluctuation </w:t>
      </w:r>
      <w:r w:rsidR="00AF788F" w:rsidRPr="00AF788F">
        <w:rPr>
          <w:noProof/>
        </w:rPr>
        <w:t>was</w:t>
      </w:r>
      <w:r w:rsidR="00D85EEB" w:rsidRPr="00AF788F">
        <w:rPr>
          <w:noProof/>
        </w:rPr>
        <w:t xml:space="preserve"> influ</w:t>
      </w:r>
      <w:r w:rsidR="00CC36B0" w:rsidRPr="00AF788F">
        <w:rPr>
          <w:noProof/>
        </w:rPr>
        <w:t xml:space="preserve">enced </w:t>
      </w:r>
      <w:r w:rsidR="00D85EEB" w:rsidRPr="00AF788F">
        <w:rPr>
          <w:noProof/>
        </w:rPr>
        <w:t xml:space="preserve">by </w:t>
      </w:r>
      <w:r w:rsidR="00B52281" w:rsidRPr="00AF788F">
        <w:rPr>
          <w:noProof/>
        </w:rPr>
        <w:t xml:space="preserve">a change in policy, where from 1 January 2009, under </w:t>
      </w:r>
      <w:r w:rsidR="00CC36B0" w:rsidRPr="00AF788F">
        <w:rPr>
          <w:noProof/>
        </w:rPr>
        <w:t xml:space="preserve">HESA, </w:t>
      </w:r>
      <w:r w:rsidR="006032CA">
        <w:t>domestic fee-</w:t>
      </w:r>
      <w:r w:rsidR="00CC36B0" w:rsidRPr="00AF788F">
        <w:t>paying places</w:t>
      </w:r>
      <w:r w:rsidR="00CC36B0" w:rsidRPr="00AF788F">
        <w:rPr>
          <w:noProof/>
        </w:rPr>
        <w:t xml:space="preserve"> </w:t>
      </w:r>
      <w:r w:rsidR="00CC36B0" w:rsidRPr="00AF788F">
        <w:t>for commencing undergraduate</w:t>
      </w:r>
      <w:r w:rsidR="00AF788F" w:rsidRPr="00AF788F">
        <w:t xml:space="preserve"> students were</w:t>
      </w:r>
      <w:r w:rsidR="00CC36B0" w:rsidRPr="00AF788F">
        <w:t xml:space="preserve"> no longer </w:t>
      </w:r>
      <w:r w:rsidR="00AF788F" w:rsidRPr="00AF788F">
        <w:t>offered</w:t>
      </w:r>
      <w:r w:rsidR="00CC36B0" w:rsidRPr="00AF788F">
        <w:t xml:space="preserve">. </w:t>
      </w:r>
      <w:r w:rsidR="00AF788F" w:rsidRPr="00AF788F">
        <w:t>This change</w:t>
      </w:r>
      <w:r w:rsidR="00CC36B0" w:rsidRPr="00AF788F">
        <w:t xml:space="preserve"> </w:t>
      </w:r>
      <w:r w:rsidR="00CC36B0" w:rsidRPr="00AF788F">
        <w:lastRenderedPageBreak/>
        <w:t>resulted in a significant reduction in the number of fee</w:t>
      </w:r>
      <w:r w:rsidR="006032CA">
        <w:t>-</w:t>
      </w:r>
      <w:r w:rsidR="00CC36B0" w:rsidRPr="00AF788F">
        <w:t xml:space="preserve">paying domestic </w:t>
      </w:r>
      <w:r w:rsidR="00AF788F" w:rsidRPr="00AF788F">
        <w:t>undergraduate students and influenced attrition and completion information</w:t>
      </w:r>
      <w:r w:rsidR="00950F7B">
        <w:t xml:space="preserve"> for this group</w:t>
      </w:r>
      <w:r w:rsidR="00AF788F" w:rsidRPr="00AF788F">
        <w:t xml:space="preserve">. </w:t>
      </w:r>
    </w:p>
    <w:p w:rsidR="00A50A2F" w:rsidRDefault="00A50A2F" w:rsidP="00A50A2F">
      <w:pPr>
        <w:pStyle w:val="ListParagraph"/>
        <w:numPr>
          <w:ilvl w:val="0"/>
          <w:numId w:val="27"/>
        </w:numPr>
      </w:pPr>
      <w:r>
        <w:t xml:space="preserve">Overall, there </w:t>
      </w:r>
      <w:r w:rsidR="005E3F01">
        <w:t>were not</w:t>
      </w:r>
      <w:r>
        <w:t xml:space="preserve"> any major variations in completion rates across most broad fields of educ</w:t>
      </w:r>
      <w:r w:rsidR="0035130A">
        <w:t xml:space="preserve">ation for the </w:t>
      </w:r>
      <w:r w:rsidR="001A57B2">
        <w:t>cohorts analysed.</w:t>
      </w:r>
      <w:r>
        <w:t xml:space="preserve"> </w:t>
      </w:r>
      <w:r w:rsidR="005E3F01">
        <w:t>However, t</w:t>
      </w:r>
      <w:r>
        <w:t xml:space="preserve">here were a few fields of education, where </w:t>
      </w:r>
      <w:r w:rsidR="005E3F01">
        <w:t xml:space="preserve">some variations occurred: </w:t>
      </w:r>
    </w:p>
    <w:p w:rsidR="00A50A2F" w:rsidRPr="00452726" w:rsidRDefault="00A50A2F" w:rsidP="00A50A2F">
      <w:pPr>
        <w:pStyle w:val="ListParagraph"/>
        <w:numPr>
          <w:ilvl w:val="1"/>
          <w:numId w:val="27"/>
        </w:numPr>
      </w:pPr>
      <w:r w:rsidRPr="00452726">
        <w:t xml:space="preserve">The completion rate of education students </w:t>
      </w:r>
      <w:r w:rsidR="005E3F01">
        <w:t xml:space="preserve">declined in successive cohorts, </w:t>
      </w:r>
      <w:r w:rsidRPr="00452726">
        <w:t>from 55.5% for the 2005 coho</w:t>
      </w:r>
      <w:r w:rsidR="005E3F01">
        <w:t>rt to 42.9% for the 2010 cohort</w:t>
      </w:r>
      <w:r w:rsidRPr="00452726">
        <w:t>.</w:t>
      </w:r>
    </w:p>
    <w:p w:rsidR="0000486A" w:rsidRDefault="00A50A2F" w:rsidP="008917D9">
      <w:pPr>
        <w:pStyle w:val="ListParagraph"/>
        <w:numPr>
          <w:ilvl w:val="1"/>
          <w:numId w:val="27"/>
        </w:numPr>
      </w:pPr>
      <w:r w:rsidRPr="00452726">
        <w:t>To a lesser extent, the completion rate of health students also declined</w:t>
      </w:r>
      <w:r w:rsidR="005E3F01">
        <w:t>,</w:t>
      </w:r>
      <w:r w:rsidRPr="00452726">
        <w:t xml:space="preserve"> </w:t>
      </w:r>
      <w:r>
        <w:t>from 58.1%</w:t>
      </w:r>
      <w:r w:rsidR="005E3F01">
        <w:t xml:space="preserve"> for the 2006 cohort</w:t>
      </w:r>
      <w:r w:rsidRPr="00452726">
        <w:t xml:space="preserve"> to 54.4% in </w:t>
      </w:r>
      <w:r>
        <w:t xml:space="preserve">the </w:t>
      </w:r>
      <w:r w:rsidRPr="00452726">
        <w:t>2010</w:t>
      </w:r>
      <w:r>
        <w:t xml:space="preserve"> cohort</w:t>
      </w:r>
      <w:r w:rsidRPr="00452726">
        <w:t>.</w:t>
      </w:r>
    </w:p>
    <w:p w:rsidR="008917D9" w:rsidRDefault="00A50A2F" w:rsidP="008917D9">
      <w:pPr>
        <w:pStyle w:val="ListParagraph"/>
        <w:numPr>
          <w:ilvl w:val="1"/>
          <w:numId w:val="27"/>
        </w:numPr>
      </w:pPr>
      <w:r w:rsidRPr="00BE0FB2">
        <w:t>For students studying an Architecture and Building course, completion rates for the most recent three cohorts (2008,</w:t>
      </w:r>
      <w:r>
        <w:t xml:space="preserve"> </w:t>
      </w:r>
      <w:r w:rsidRPr="00BE0FB2">
        <w:t xml:space="preserve">2009 and 2010) </w:t>
      </w:r>
      <w:r>
        <w:t xml:space="preserve">were </w:t>
      </w:r>
      <w:r w:rsidRPr="00BE0FB2">
        <w:t>lower than for the previous three cohorts (2005, 2006 and 2007)</w:t>
      </w:r>
      <w:r w:rsidRPr="0000486A">
        <w:rPr>
          <w:rFonts w:ascii="Calibri" w:eastAsiaTheme="minorHAnsi" w:hAnsi="Calibri" w:cs="Calibri"/>
          <w:sz w:val="23"/>
          <w:szCs w:val="23"/>
        </w:rPr>
        <w:t xml:space="preserve"> – </w:t>
      </w:r>
      <w:r w:rsidRPr="00BE0FB2">
        <w:t xml:space="preserve">an average of 43.8% for </w:t>
      </w:r>
      <w:r w:rsidR="005E3F01">
        <w:t xml:space="preserve">the </w:t>
      </w:r>
      <w:r w:rsidRPr="00BE0FB2">
        <w:t xml:space="preserve">2008, 2009 and 2010 </w:t>
      </w:r>
      <w:r w:rsidR="005E3F01">
        <w:t xml:space="preserve">cohorts, </w:t>
      </w:r>
      <w:r w:rsidRPr="00BE0FB2">
        <w:t>compared to an average o</w:t>
      </w:r>
      <w:r w:rsidR="0000486A">
        <w:t>f 48.5% for 2005, 2006 and 2007</w:t>
      </w:r>
      <w:r w:rsidR="005E3F01">
        <w:t xml:space="preserve"> cohorts</w:t>
      </w:r>
      <w:r w:rsidR="0000486A">
        <w:t>.</w:t>
      </w:r>
    </w:p>
    <w:p w:rsidR="00366F12" w:rsidRDefault="00366F12" w:rsidP="00366F12">
      <w:bookmarkStart w:id="6" w:name="_Toc406751082"/>
    </w:p>
    <w:p w:rsidR="008917D9" w:rsidRPr="00D24769" w:rsidRDefault="008917D9" w:rsidP="008917D9">
      <w:pPr>
        <w:pStyle w:val="Heading1"/>
      </w:pPr>
      <w:r w:rsidRPr="00D24769">
        <w:t xml:space="preserve">Six year </w:t>
      </w:r>
      <w:r>
        <w:t>outcomes</w:t>
      </w:r>
      <w:bookmarkEnd w:id="6"/>
    </w:p>
    <w:p w:rsidR="008917D9" w:rsidRDefault="008917D9" w:rsidP="008917D9">
      <w:pPr>
        <w:rPr>
          <w:noProof/>
        </w:rPr>
      </w:pPr>
      <w:r>
        <w:rPr>
          <w:noProof/>
        </w:rPr>
        <w:t>Available six year outcome data includes students commencing a domestic bachelor course at a Table A university in 2005, 2006, 2007 and 2008. Across these four groups, the profile of attrition and completion information was very stable nationally and for most student characteristics (see Table 3 and Chart 5). There were some minor differences noted, however, which also appeared in the four year outcome data:</w:t>
      </w:r>
    </w:p>
    <w:p w:rsidR="008917D9" w:rsidRDefault="008917D9" w:rsidP="008917D9">
      <w:pPr>
        <w:pStyle w:val="ListParagraph"/>
        <w:numPr>
          <w:ilvl w:val="0"/>
          <w:numId w:val="23"/>
        </w:numPr>
      </w:pPr>
      <w:r>
        <w:t xml:space="preserve">Completion rates for </w:t>
      </w:r>
      <w:r w:rsidRPr="007C2ADE">
        <w:t xml:space="preserve">students undertaking </w:t>
      </w:r>
      <w:r>
        <w:t xml:space="preserve">a Bachelor’s </w:t>
      </w:r>
      <w:r w:rsidRPr="007C2ADE">
        <w:t>Honours</w:t>
      </w:r>
      <w:r>
        <w:t xml:space="preserve"> course fluctuated, ranging from 82.8% in 2007 to 86.2% in 2006. </w:t>
      </w:r>
    </w:p>
    <w:p w:rsidR="007772F4" w:rsidRDefault="008917D9" w:rsidP="007772F4">
      <w:pPr>
        <w:pStyle w:val="ListParagraph"/>
        <w:numPr>
          <w:ilvl w:val="0"/>
          <w:numId w:val="23"/>
        </w:numPr>
      </w:pPr>
      <w:r>
        <w:t xml:space="preserve">Completion rates for those secondary education students with </w:t>
      </w:r>
      <w:proofErr w:type="spellStart"/>
      <w:r>
        <w:t>ATARs</w:t>
      </w:r>
      <w:proofErr w:type="spellEnd"/>
      <w:r>
        <w:t xml:space="preserve"> between 30 and 49, and 50 and 59 fluctuated between cohorts. For students with </w:t>
      </w:r>
      <w:proofErr w:type="spellStart"/>
      <w:r>
        <w:t>ATARs</w:t>
      </w:r>
      <w:proofErr w:type="spellEnd"/>
      <w:r>
        <w:t xml:space="preserve"> between 30 and 49, the proportion of students who had completed a course after six years was as low as 41.3% for the 2008 cohort, and as high as 50.6% for the 2007 cohort. The lowest completion rate for students with </w:t>
      </w:r>
      <w:proofErr w:type="spellStart"/>
      <w:r>
        <w:t>ATARs</w:t>
      </w:r>
      <w:proofErr w:type="spellEnd"/>
      <w:r>
        <w:t xml:space="preserve"> between 50 and 59 was 46.3% in the 2006 cohort, while the highest completion rate was 51.9% in the 2008 cohort.</w:t>
      </w:r>
    </w:p>
    <w:p w:rsidR="008917D9" w:rsidRDefault="008917D9" w:rsidP="007772F4">
      <w:pPr>
        <w:rPr>
          <w:noProof/>
        </w:rPr>
      </w:pPr>
      <w:r>
        <w:rPr>
          <w:noProof/>
        </w:rPr>
        <w:t xml:space="preserve">These </w:t>
      </w:r>
      <w:r w:rsidRPr="00DB63E8">
        <w:rPr>
          <w:noProof/>
        </w:rPr>
        <w:t>va</w:t>
      </w:r>
      <w:r w:rsidR="005E3F01">
        <w:rPr>
          <w:noProof/>
        </w:rPr>
        <w:t>riations</w:t>
      </w:r>
      <w:r>
        <w:rPr>
          <w:noProof/>
        </w:rPr>
        <w:t xml:space="preserve"> were in part influenced by</w:t>
      </w:r>
      <w:r w:rsidRPr="00DB63E8">
        <w:rPr>
          <w:noProof/>
        </w:rPr>
        <w:t xml:space="preserve"> small number</w:t>
      </w:r>
      <w:r>
        <w:rPr>
          <w:noProof/>
        </w:rPr>
        <w:t>s</w:t>
      </w:r>
      <w:r w:rsidRPr="00DB63E8">
        <w:rPr>
          <w:noProof/>
        </w:rPr>
        <w:t xml:space="preserve"> of students </w:t>
      </w:r>
      <w:r>
        <w:rPr>
          <w:noProof/>
        </w:rPr>
        <w:t>within these groups</w:t>
      </w:r>
      <w:r w:rsidRPr="00DB63E8">
        <w:rPr>
          <w:noProof/>
        </w:rPr>
        <w:t>.</w:t>
      </w:r>
    </w:p>
    <w:p w:rsidR="00366F12" w:rsidRDefault="00366F12" w:rsidP="00366F12">
      <w:bookmarkStart w:id="7" w:name="_Toc406751083"/>
    </w:p>
    <w:p w:rsidR="007772F4" w:rsidRDefault="00E15E3B" w:rsidP="00950F7B">
      <w:pPr>
        <w:pStyle w:val="Heading1"/>
      </w:pPr>
      <w:r w:rsidRPr="00D24769">
        <w:t>Eight</w:t>
      </w:r>
      <w:r w:rsidR="000071C7" w:rsidRPr="00D24769">
        <w:t xml:space="preserve"> year </w:t>
      </w:r>
      <w:r w:rsidR="0035130A">
        <w:t>outcomes</w:t>
      </w:r>
      <w:bookmarkEnd w:id="7"/>
    </w:p>
    <w:p w:rsidR="00E15E3B" w:rsidRDefault="006711C3" w:rsidP="00A31242">
      <w:r>
        <w:rPr>
          <w:noProof/>
        </w:rPr>
        <w:t xml:space="preserve">The Department has now been able to obtain data for two cohorts of </w:t>
      </w:r>
      <w:r w:rsidR="00343437">
        <w:rPr>
          <w:noProof/>
        </w:rPr>
        <w:t xml:space="preserve">Table A </w:t>
      </w:r>
      <w:r w:rsidR="00765BA5">
        <w:t xml:space="preserve">commencing domestic bachelor </w:t>
      </w:r>
      <w:r>
        <w:rPr>
          <w:noProof/>
        </w:rPr>
        <w:t xml:space="preserve">students spanning eight years (2005 cohort and 2006 cohort). Table </w:t>
      </w:r>
      <w:r w:rsidR="008917D9">
        <w:rPr>
          <w:noProof/>
        </w:rPr>
        <w:t>4</w:t>
      </w:r>
      <w:r>
        <w:rPr>
          <w:noProof/>
        </w:rPr>
        <w:t xml:space="preserve"> and Chart </w:t>
      </w:r>
      <w:r w:rsidR="008917D9">
        <w:rPr>
          <w:noProof/>
        </w:rPr>
        <w:t>6</w:t>
      </w:r>
      <w:r>
        <w:rPr>
          <w:noProof/>
        </w:rPr>
        <w:t xml:space="preserve"> sh</w:t>
      </w:r>
      <w:r w:rsidR="00DA277F">
        <w:rPr>
          <w:noProof/>
        </w:rPr>
        <w:t xml:space="preserve">ow that the two cohorts have </w:t>
      </w:r>
      <w:r>
        <w:rPr>
          <w:noProof/>
        </w:rPr>
        <w:t xml:space="preserve">very </w:t>
      </w:r>
      <w:r>
        <w:t>similar pattern</w:t>
      </w:r>
      <w:r w:rsidR="00DA277F">
        <w:t>s</w:t>
      </w:r>
      <w:r>
        <w:t xml:space="preserve"> of attrition and completion information overall and by student characteristics. </w:t>
      </w:r>
      <w:r w:rsidR="00765BA5">
        <w:t>The eight year outcome similarity between the 2005 and 2006 cohort</w:t>
      </w:r>
      <w:r w:rsidR="00E43AF0">
        <w:t>s</w:t>
      </w:r>
      <w:r w:rsidR="00765BA5">
        <w:t xml:space="preserve"> is not surprising</w:t>
      </w:r>
      <w:r w:rsidR="00DA277F">
        <w:t>,</w:t>
      </w:r>
      <w:r w:rsidR="00765BA5">
        <w:t xml:space="preserve"> given that these two cohorts have similar </w:t>
      </w:r>
      <w:r w:rsidR="00F57828">
        <w:t>attrition</w:t>
      </w:r>
      <w:r w:rsidR="00765BA5">
        <w:t xml:space="preserve"> and completion </w:t>
      </w:r>
      <w:r w:rsidR="00F57828">
        <w:t xml:space="preserve">profiles six years after commencement (see </w:t>
      </w:r>
      <w:r w:rsidR="00DA277F">
        <w:t xml:space="preserve">Table </w:t>
      </w:r>
      <w:r w:rsidR="00E61D12">
        <w:t>4</w:t>
      </w:r>
      <w:r w:rsidR="00DA277F">
        <w:t xml:space="preserve"> and Chart </w:t>
      </w:r>
      <w:r w:rsidR="00E61D12">
        <w:t>6</w:t>
      </w:r>
      <w:r w:rsidR="00F57828">
        <w:t>).</w:t>
      </w:r>
    </w:p>
    <w:p w:rsidR="00366F12" w:rsidRDefault="00366F12" w:rsidP="00366F12">
      <w:bookmarkStart w:id="8" w:name="_Toc406751084"/>
    </w:p>
    <w:p w:rsidR="00A50A2F" w:rsidRPr="00D24769" w:rsidRDefault="00A50A2F" w:rsidP="00A50A2F">
      <w:pPr>
        <w:pStyle w:val="Heading1"/>
      </w:pPr>
      <w:r w:rsidRPr="00D24769">
        <w:lastRenderedPageBreak/>
        <w:t>Data notes</w:t>
      </w:r>
      <w:bookmarkEnd w:id="8"/>
    </w:p>
    <w:p w:rsidR="00A50A2F" w:rsidRDefault="00A50A2F" w:rsidP="00A50A2F">
      <w:pPr>
        <w:pStyle w:val="ListParagraph"/>
        <w:numPr>
          <w:ilvl w:val="0"/>
          <w:numId w:val="27"/>
        </w:numPr>
        <w:rPr>
          <w:noProof/>
        </w:rPr>
      </w:pPr>
      <w:r w:rsidRPr="006141B3">
        <w:rPr>
          <w:noProof/>
        </w:rPr>
        <w:t xml:space="preserve">This publication </w:t>
      </w:r>
      <w:r>
        <w:rPr>
          <w:noProof/>
        </w:rPr>
        <w:t>is based on</w:t>
      </w:r>
      <w:r w:rsidRPr="006141B3">
        <w:rPr>
          <w:noProof/>
        </w:rPr>
        <w:t xml:space="preserve"> data compiled from the Higher Education Student Collection maintained by the Department of Education.</w:t>
      </w:r>
    </w:p>
    <w:p w:rsidR="00536C0A" w:rsidRDefault="00A50A2F" w:rsidP="00536C0A">
      <w:pPr>
        <w:pStyle w:val="ListParagraph"/>
        <w:numPr>
          <w:ilvl w:val="0"/>
          <w:numId w:val="27"/>
        </w:numPr>
        <w:rPr>
          <w:noProof/>
        </w:rPr>
      </w:pPr>
      <w:r w:rsidRPr="0099275A">
        <w:rPr>
          <w:noProof/>
        </w:rPr>
        <w:t xml:space="preserve">A distinct cohort of international bachelor students </w:t>
      </w:r>
      <w:r>
        <w:rPr>
          <w:noProof/>
        </w:rPr>
        <w:t>has been constructed for comparison purposes (see Appendix for data). I</w:t>
      </w:r>
      <w:r w:rsidRPr="0099275A">
        <w:rPr>
          <w:noProof/>
        </w:rPr>
        <w:t>t is not possible</w:t>
      </w:r>
      <w:r>
        <w:rPr>
          <w:noProof/>
        </w:rPr>
        <w:t>, however,</w:t>
      </w:r>
      <w:r w:rsidRPr="0099275A">
        <w:rPr>
          <w:noProof/>
        </w:rPr>
        <w:t xml:space="preserve"> to determine what percentage</w:t>
      </w:r>
      <w:r>
        <w:rPr>
          <w:noProof/>
        </w:rPr>
        <w:t xml:space="preserve"> of</w:t>
      </w:r>
      <w:r w:rsidRPr="0099275A">
        <w:rPr>
          <w:noProof/>
        </w:rPr>
        <w:t xml:space="preserve"> international students </w:t>
      </w:r>
      <w:r>
        <w:rPr>
          <w:noProof/>
        </w:rPr>
        <w:t xml:space="preserve">may have completed their studies </w:t>
      </w:r>
      <w:r w:rsidRPr="0099275A">
        <w:rPr>
          <w:noProof/>
        </w:rPr>
        <w:t>at another institution because they do not have a CHESSN.</w:t>
      </w:r>
      <w:r>
        <w:rPr>
          <w:noProof/>
        </w:rPr>
        <w:t xml:space="preserve">  </w:t>
      </w:r>
    </w:p>
    <w:p w:rsidR="00536C0A" w:rsidRDefault="00536C0A" w:rsidP="00536C0A">
      <w:pPr>
        <w:pStyle w:val="ListParagraph"/>
        <w:numPr>
          <w:ilvl w:val="0"/>
          <w:numId w:val="27"/>
        </w:numPr>
        <w:rPr>
          <w:noProof/>
        </w:rPr>
      </w:pPr>
      <w:r>
        <w:rPr>
          <w:noProof/>
        </w:rPr>
        <w:t xml:space="preserve">Data presented in this report details </w:t>
      </w:r>
      <w:r>
        <w:t xml:space="preserve">the relationship between completion rates and a number of student characteristics. No allowance is made for inter-relationships between student characteristics. For example, older students may have lower completion rates as they are more likely to be part-time students, who also have lower completion rates.  </w:t>
      </w:r>
    </w:p>
    <w:p w:rsidR="00A50A2F" w:rsidRDefault="0035130A" w:rsidP="00A50A2F">
      <w:pPr>
        <w:pStyle w:val="ListParagraph"/>
        <w:numPr>
          <w:ilvl w:val="0"/>
          <w:numId w:val="27"/>
        </w:numPr>
        <w:rPr>
          <w:noProof/>
        </w:rPr>
      </w:pPr>
      <w:r>
        <w:rPr>
          <w:noProof/>
        </w:rPr>
        <w:t>A</w:t>
      </w:r>
      <w:r w:rsidR="00A50A2F">
        <w:rPr>
          <w:noProof/>
        </w:rPr>
        <w:t xml:space="preserve">ttrition and completion proportions for those students studying a course in Food, Hospitality and Personal Services are highly variable across years, due to very small numbers in each cohort. </w:t>
      </w:r>
    </w:p>
    <w:p w:rsidR="00A50A2F" w:rsidRDefault="00A50A2F" w:rsidP="00A50A2F"/>
    <w:p w:rsidR="00536C0A" w:rsidRPr="00A50A2F" w:rsidRDefault="00536C0A" w:rsidP="00A50A2F">
      <w:pPr>
        <w:sectPr w:rsidR="00536C0A" w:rsidRPr="00A50A2F" w:rsidSect="002F27BC">
          <w:pgSz w:w="11906" w:h="16838"/>
          <w:pgMar w:top="1248" w:right="1440" w:bottom="993" w:left="1440" w:header="708" w:footer="1011" w:gutter="0"/>
          <w:pgBorders w:offsetFrom="page">
            <w:top w:val="single" w:sz="18" w:space="24" w:color="593674" w:themeColor="accent2"/>
            <w:left w:val="single" w:sz="18" w:space="24" w:color="593674" w:themeColor="accent2"/>
            <w:bottom w:val="single" w:sz="18" w:space="24" w:color="593674" w:themeColor="accent2"/>
            <w:right w:val="single" w:sz="18" w:space="24" w:color="593674" w:themeColor="accent2"/>
          </w:pgBorders>
          <w:cols w:space="708"/>
          <w:docGrid w:linePitch="360"/>
        </w:sectPr>
      </w:pPr>
    </w:p>
    <w:p w:rsidR="00A42371" w:rsidRPr="005F5AA3" w:rsidRDefault="005F5AA3" w:rsidP="00F04CF3">
      <w:pPr>
        <w:pStyle w:val="Heading1"/>
      </w:pPr>
      <w:bookmarkStart w:id="9" w:name="_Toc406751085"/>
      <w:r>
        <w:lastRenderedPageBreak/>
        <w:t>Appendix</w:t>
      </w:r>
      <w:r w:rsidR="00B03C49">
        <w:t xml:space="preserve"> </w:t>
      </w:r>
      <w:r>
        <w:t xml:space="preserve">- </w:t>
      </w:r>
      <w:r w:rsidR="00800CB0">
        <w:t>d</w:t>
      </w:r>
      <w:r>
        <w:t xml:space="preserve">etailed </w:t>
      </w:r>
      <w:r w:rsidR="00C8462C">
        <w:t>t</w:t>
      </w:r>
      <w:r w:rsidR="00D91101">
        <w:t xml:space="preserve">ables and </w:t>
      </w:r>
      <w:r w:rsidR="00C8462C">
        <w:t>c</w:t>
      </w:r>
      <w:r w:rsidR="00B0569E">
        <w:t>harts</w:t>
      </w:r>
      <w:bookmarkEnd w:id="9"/>
    </w:p>
    <w:p w:rsidR="00D91101" w:rsidRDefault="00D91101" w:rsidP="00427532">
      <w:pPr>
        <w:pStyle w:val="Caption"/>
        <w:keepNext/>
      </w:pPr>
      <w:r w:rsidRPr="00A75355">
        <w:t xml:space="preserve">Table 1: Cohort Analysis for </w:t>
      </w:r>
      <w:r w:rsidR="00F04CF3">
        <w:t xml:space="preserve">Table A </w:t>
      </w:r>
      <w:r w:rsidRPr="00A75355">
        <w:t>commencing domes</w:t>
      </w:r>
      <w:r>
        <w:t xml:space="preserve">tic Bachelor students in 2005, </w:t>
      </w:r>
      <w:r w:rsidRPr="00A75355">
        <w:t>showing attrition and completion information by 2013</w:t>
      </w:r>
    </w:p>
    <w:tbl>
      <w:tblPr>
        <w:tblW w:w="5273" w:type="pct"/>
        <w:tblLook w:val="04A0" w:firstRow="1" w:lastRow="0" w:firstColumn="1" w:lastColumn="0" w:noHBand="0" w:noVBand="1"/>
      </w:tblPr>
      <w:tblGrid>
        <w:gridCol w:w="1949"/>
        <w:gridCol w:w="189"/>
        <w:gridCol w:w="2224"/>
        <w:gridCol w:w="1417"/>
        <w:gridCol w:w="1277"/>
        <w:gridCol w:w="1556"/>
        <w:gridCol w:w="1135"/>
      </w:tblGrid>
      <w:tr w:rsidR="00FB2404" w:rsidRPr="00FB2404" w:rsidTr="006B27E8">
        <w:trPr>
          <w:trHeight w:val="900"/>
          <w:tblHeader/>
        </w:trPr>
        <w:tc>
          <w:tcPr>
            <w:tcW w:w="1097" w:type="pct"/>
            <w:gridSpan w:val="2"/>
            <w:tcBorders>
              <w:top w:val="single" w:sz="4" w:space="0" w:color="auto"/>
              <w:left w:val="single" w:sz="4" w:space="0" w:color="auto"/>
              <w:bottom w:val="single" w:sz="4" w:space="0" w:color="auto"/>
              <w:right w:val="nil"/>
            </w:tcBorders>
            <w:shd w:val="clear" w:color="000000" w:fill="522761"/>
            <w:vAlign w:val="center"/>
            <w:hideMark/>
          </w:tcPr>
          <w:p w:rsidR="00FB2404" w:rsidRPr="00FB2404" w:rsidRDefault="00FB2404" w:rsidP="00FB2404">
            <w:pPr>
              <w:spacing w:after="0" w:line="240" w:lineRule="auto"/>
              <w:jc w:val="center"/>
              <w:rPr>
                <w:rFonts w:eastAsia="Times New Roman" w:cstheme="minorHAnsi"/>
                <w:b/>
                <w:bCs/>
                <w:color w:val="FFFFFF"/>
                <w:sz w:val="20"/>
                <w:szCs w:val="20"/>
                <w:lang w:eastAsia="en-AU"/>
              </w:rPr>
            </w:pPr>
            <w:r w:rsidRPr="00FB2404">
              <w:rPr>
                <w:rFonts w:eastAsia="Times New Roman" w:cstheme="minorHAnsi"/>
                <w:b/>
                <w:bCs/>
                <w:color w:val="FFFFFF"/>
                <w:sz w:val="20"/>
                <w:szCs w:val="20"/>
                <w:lang w:eastAsia="en-AU"/>
              </w:rPr>
              <w:t> </w:t>
            </w:r>
          </w:p>
        </w:tc>
        <w:tc>
          <w:tcPr>
            <w:tcW w:w="1141" w:type="pct"/>
            <w:tcBorders>
              <w:top w:val="single" w:sz="4" w:space="0" w:color="auto"/>
              <w:left w:val="nil"/>
              <w:bottom w:val="single" w:sz="4" w:space="0" w:color="auto"/>
              <w:right w:val="nil"/>
            </w:tcBorders>
            <w:shd w:val="clear" w:color="000000" w:fill="522761"/>
            <w:vAlign w:val="center"/>
            <w:hideMark/>
          </w:tcPr>
          <w:p w:rsidR="00FB2404" w:rsidRPr="00FB2404" w:rsidRDefault="00FB2404" w:rsidP="00FB2404">
            <w:pPr>
              <w:spacing w:after="0" w:line="240" w:lineRule="auto"/>
              <w:jc w:val="center"/>
              <w:rPr>
                <w:rFonts w:eastAsia="Times New Roman" w:cstheme="minorHAnsi"/>
                <w:b/>
                <w:bCs/>
                <w:color w:val="FFFFFF"/>
                <w:sz w:val="20"/>
                <w:szCs w:val="20"/>
                <w:lang w:eastAsia="en-AU"/>
              </w:rPr>
            </w:pPr>
            <w:r w:rsidRPr="00FB2404">
              <w:rPr>
                <w:rFonts w:eastAsia="Times New Roman" w:cstheme="minorHAnsi"/>
                <w:b/>
                <w:bCs/>
                <w:color w:val="FFFFFF"/>
                <w:sz w:val="20"/>
                <w:szCs w:val="20"/>
                <w:lang w:eastAsia="en-AU"/>
              </w:rPr>
              <w:t> </w:t>
            </w:r>
          </w:p>
        </w:tc>
        <w:tc>
          <w:tcPr>
            <w:tcW w:w="727" w:type="pct"/>
            <w:tcBorders>
              <w:top w:val="single" w:sz="4" w:space="0" w:color="auto"/>
              <w:left w:val="nil"/>
              <w:bottom w:val="single" w:sz="4" w:space="0" w:color="auto"/>
              <w:right w:val="nil"/>
            </w:tcBorders>
            <w:shd w:val="clear" w:color="000000" w:fill="522761"/>
            <w:hideMark/>
          </w:tcPr>
          <w:p w:rsidR="00FB2404" w:rsidRPr="00FB2404" w:rsidRDefault="00FB2404" w:rsidP="00FB2404">
            <w:pPr>
              <w:spacing w:after="0" w:line="240" w:lineRule="auto"/>
              <w:jc w:val="center"/>
              <w:rPr>
                <w:rFonts w:eastAsia="Times New Roman" w:cstheme="minorHAnsi"/>
                <w:b/>
                <w:bCs/>
                <w:color w:val="FFFFFF"/>
                <w:sz w:val="20"/>
                <w:szCs w:val="20"/>
                <w:lang w:eastAsia="en-AU"/>
              </w:rPr>
            </w:pPr>
            <w:r w:rsidRPr="00FB2404">
              <w:rPr>
                <w:rFonts w:eastAsia="Times New Roman" w:cstheme="minorHAnsi"/>
                <w:b/>
                <w:bCs/>
                <w:color w:val="FFFFFF"/>
                <w:sz w:val="20"/>
                <w:szCs w:val="20"/>
                <w:lang w:eastAsia="en-AU"/>
              </w:rPr>
              <w:t>Completed</w:t>
            </w:r>
            <w:r w:rsidRPr="00FB2404">
              <w:rPr>
                <w:rFonts w:eastAsia="Times New Roman" w:cstheme="minorHAnsi"/>
                <w:b/>
                <w:bCs/>
                <w:color w:val="FFFFFF"/>
                <w:sz w:val="20"/>
                <w:szCs w:val="20"/>
                <w:lang w:eastAsia="en-AU"/>
              </w:rPr>
              <w:br/>
              <w:t xml:space="preserve"> (in any year)</w:t>
            </w:r>
          </w:p>
        </w:tc>
        <w:tc>
          <w:tcPr>
            <w:tcW w:w="655" w:type="pct"/>
            <w:tcBorders>
              <w:top w:val="single" w:sz="4" w:space="0" w:color="auto"/>
              <w:left w:val="nil"/>
              <w:bottom w:val="single" w:sz="4" w:space="0" w:color="auto"/>
              <w:right w:val="nil"/>
            </w:tcBorders>
            <w:shd w:val="clear" w:color="000000" w:fill="522761"/>
            <w:hideMark/>
          </w:tcPr>
          <w:p w:rsidR="00FB2404" w:rsidRPr="00FB2404" w:rsidRDefault="00FB2404" w:rsidP="00FB2404">
            <w:pPr>
              <w:spacing w:after="0" w:line="240" w:lineRule="auto"/>
              <w:jc w:val="center"/>
              <w:rPr>
                <w:rFonts w:eastAsia="Times New Roman" w:cstheme="minorHAnsi"/>
                <w:b/>
                <w:bCs/>
                <w:color w:val="FFFFFF"/>
                <w:sz w:val="20"/>
                <w:szCs w:val="20"/>
                <w:lang w:eastAsia="en-AU"/>
              </w:rPr>
            </w:pPr>
            <w:r w:rsidRPr="00FB2404">
              <w:rPr>
                <w:rFonts w:eastAsia="Times New Roman" w:cstheme="minorHAnsi"/>
                <w:b/>
                <w:bCs/>
                <w:color w:val="FFFFFF"/>
                <w:sz w:val="20"/>
                <w:szCs w:val="20"/>
                <w:lang w:eastAsia="en-AU"/>
              </w:rPr>
              <w:t xml:space="preserve">Still Enrolled </w:t>
            </w:r>
            <w:r w:rsidRPr="00FB2404">
              <w:rPr>
                <w:rFonts w:eastAsia="Times New Roman" w:cstheme="minorHAnsi"/>
                <w:b/>
                <w:bCs/>
                <w:color w:val="FFFFFF"/>
                <w:sz w:val="20"/>
                <w:szCs w:val="20"/>
                <w:lang w:eastAsia="en-AU"/>
              </w:rPr>
              <w:br/>
              <w:t>in 2013</w:t>
            </w:r>
          </w:p>
        </w:tc>
        <w:tc>
          <w:tcPr>
            <w:tcW w:w="798" w:type="pct"/>
            <w:tcBorders>
              <w:top w:val="single" w:sz="4" w:space="0" w:color="auto"/>
              <w:left w:val="nil"/>
              <w:bottom w:val="single" w:sz="4" w:space="0" w:color="auto"/>
              <w:right w:val="nil"/>
            </w:tcBorders>
            <w:shd w:val="clear" w:color="000000" w:fill="522761"/>
            <w:hideMark/>
          </w:tcPr>
          <w:p w:rsidR="00FB2404" w:rsidRPr="00FB2404" w:rsidRDefault="00FB2404" w:rsidP="00FB2404">
            <w:pPr>
              <w:spacing w:after="0" w:line="240" w:lineRule="auto"/>
              <w:jc w:val="center"/>
              <w:rPr>
                <w:rFonts w:eastAsia="Times New Roman" w:cstheme="minorHAnsi"/>
                <w:b/>
                <w:bCs/>
                <w:color w:val="FFFFFF"/>
                <w:sz w:val="20"/>
                <w:szCs w:val="20"/>
                <w:lang w:eastAsia="en-AU"/>
              </w:rPr>
            </w:pPr>
            <w:r w:rsidRPr="00FB2404">
              <w:rPr>
                <w:rFonts w:eastAsia="Times New Roman" w:cstheme="minorHAnsi"/>
                <w:b/>
                <w:bCs/>
                <w:color w:val="FFFFFF"/>
                <w:sz w:val="20"/>
                <w:szCs w:val="20"/>
                <w:lang w:eastAsia="en-AU"/>
              </w:rPr>
              <w:t>Re-enrolled but dropped out before 2013</w:t>
            </w:r>
          </w:p>
        </w:tc>
        <w:tc>
          <w:tcPr>
            <w:tcW w:w="582" w:type="pct"/>
            <w:tcBorders>
              <w:top w:val="single" w:sz="4" w:space="0" w:color="auto"/>
              <w:left w:val="nil"/>
              <w:bottom w:val="single" w:sz="4" w:space="0" w:color="auto"/>
              <w:right w:val="single" w:sz="4" w:space="0" w:color="auto"/>
            </w:tcBorders>
            <w:shd w:val="clear" w:color="000000" w:fill="522761"/>
            <w:hideMark/>
          </w:tcPr>
          <w:p w:rsidR="00FB2404" w:rsidRPr="00FB2404" w:rsidRDefault="00FB2404" w:rsidP="00FB2404">
            <w:pPr>
              <w:spacing w:after="0" w:line="240" w:lineRule="auto"/>
              <w:jc w:val="center"/>
              <w:rPr>
                <w:rFonts w:eastAsia="Times New Roman" w:cstheme="minorHAnsi"/>
                <w:b/>
                <w:bCs/>
                <w:color w:val="FFFFFF"/>
                <w:sz w:val="20"/>
                <w:szCs w:val="20"/>
                <w:lang w:eastAsia="en-AU"/>
              </w:rPr>
            </w:pPr>
            <w:r w:rsidRPr="00FB2404">
              <w:rPr>
                <w:rFonts w:eastAsia="Times New Roman" w:cstheme="minorHAnsi"/>
                <w:b/>
                <w:bCs/>
                <w:color w:val="FFFFFF"/>
                <w:sz w:val="20"/>
                <w:szCs w:val="20"/>
                <w:lang w:eastAsia="en-AU"/>
              </w:rPr>
              <w:t>Never came back after 2005</w:t>
            </w:r>
          </w:p>
        </w:tc>
      </w:tr>
      <w:tr w:rsidR="00FB2404" w:rsidRPr="00FB2404" w:rsidTr="003528DC">
        <w:trPr>
          <w:trHeight w:val="300"/>
        </w:trPr>
        <w:tc>
          <w:tcPr>
            <w:tcW w:w="2238" w:type="pct"/>
            <w:gridSpan w:val="3"/>
            <w:tcBorders>
              <w:top w:val="single" w:sz="4" w:space="0" w:color="auto"/>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National Total (domestic bachelor students)</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73.6</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4.2</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14.0</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8.2</w:t>
            </w:r>
          </w:p>
        </w:tc>
      </w:tr>
      <w:tr w:rsidR="00FB2404" w:rsidRPr="00FB2404" w:rsidTr="003528DC">
        <w:trPr>
          <w:trHeight w:val="300"/>
        </w:trPr>
        <w:tc>
          <w:tcPr>
            <w:tcW w:w="2238" w:type="pct"/>
            <w:gridSpan w:val="3"/>
            <w:tcBorders>
              <w:top w:val="single" w:sz="4" w:space="0" w:color="auto"/>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Comparison figure for Overseas students</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74.2</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0.1</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15.1</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10.5</w:t>
            </w:r>
          </w:p>
        </w:tc>
      </w:tr>
      <w:tr w:rsidR="00FB2404" w:rsidRPr="00FB2404" w:rsidTr="003528DC">
        <w:trPr>
          <w:trHeight w:val="300"/>
        </w:trPr>
        <w:tc>
          <w:tcPr>
            <w:tcW w:w="1000" w:type="pct"/>
            <w:vMerge w:val="restart"/>
            <w:tcBorders>
              <w:top w:val="nil"/>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Course Level</w:t>
            </w: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Bachelor's Graduate Entry</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82.4</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1.9</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7.6</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8.0</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Bachelor's Honours</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86.1</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1.5</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5.1</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7.3</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Bachelor's Pass</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73.1</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4.3</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14.3</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8.2</w:t>
            </w:r>
          </w:p>
        </w:tc>
      </w:tr>
      <w:tr w:rsidR="00FB2404" w:rsidRPr="00FB2404" w:rsidTr="003528DC">
        <w:trPr>
          <w:trHeight w:val="300"/>
        </w:trPr>
        <w:tc>
          <w:tcPr>
            <w:tcW w:w="1000" w:type="pct"/>
            <w:vMerge w:val="restart"/>
            <w:tcBorders>
              <w:top w:val="nil"/>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Mode of Attendance</w:t>
            </w: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Internal</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76.6</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3.8</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12.7</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6.9</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External</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46.6</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8.1</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25.0</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20.4</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Multi-modal</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70.6</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4.3</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16.7</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8.4</w:t>
            </w:r>
          </w:p>
        </w:tc>
      </w:tr>
      <w:tr w:rsidR="00FB2404" w:rsidRPr="00FB2404" w:rsidTr="003528DC">
        <w:trPr>
          <w:trHeight w:val="300"/>
        </w:trPr>
        <w:tc>
          <w:tcPr>
            <w:tcW w:w="1000" w:type="pct"/>
            <w:vMerge w:val="restart"/>
            <w:tcBorders>
              <w:top w:val="nil"/>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Type of Attendance</w:t>
            </w: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Full-time</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78.8</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3.5</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11.9</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5.8</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Part-time</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49.2</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7.4</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23.9</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19.5</w:t>
            </w:r>
          </w:p>
        </w:tc>
      </w:tr>
      <w:tr w:rsidR="00FB2404" w:rsidRPr="00FB2404" w:rsidTr="003528DC">
        <w:trPr>
          <w:trHeight w:val="300"/>
        </w:trPr>
        <w:tc>
          <w:tcPr>
            <w:tcW w:w="1000" w:type="pct"/>
            <w:vMerge w:val="restart"/>
            <w:tcBorders>
              <w:top w:val="nil"/>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Gender</w:t>
            </w: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Males</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70.9</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4.4</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15.9</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8.8</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Females</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75.5</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4.0</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12.7</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7.8</w:t>
            </w:r>
          </w:p>
        </w:tc>
      </w:tr>
      <w:tr w:rsidR="00FB2404" w:rsidRPr="00FB2404" w:rsidTr="003528DC">
        <w:trPr>
          <w:trHeight w:val="300"/>
        </w:trPr>
        <w:tc>
          <w:tcPr>
            <w:tcW w:w="1000" w:type="pct"/>
            <w:vMerge w:val="restart"/>
            <w:tcBorders>
              <w:top w:val="nil"/>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Age</w:t>
            </w: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19 and under</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80.3</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3.7</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11.0</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4.9</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20-24</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70.4</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4.3</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15.9</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9.4</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25 and over</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58.5</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5.4</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20.1</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16.0</w:t>
            </w:r>
          </w:p>
        </w:tc>
      </w:tr>
      <w:tr w:rsidR="00FB2404" w:rsidRPr="00FB2404" w:rsidTr="003528DC">
        <w:trPr>
          <w:trHeight w:val="300"/>
        </w:trPr>
        <w:tc>
          <w:tcPr>
            <w:tcW w:w="1000" w:type="pct"/>
            <w:vMerge w:val="restart"/>
            <w:tcBorders>
              <w:top w:val="nil"/>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Basis for Admission</w:t>
            </w: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Other Basis for admission</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69.4</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4.4</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16.0</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10.2</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Secondary education</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78.7</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3.9</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11.6</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5.8</w:t>
            </w:r>
          </w:p>
        </w:tc>
      </w:tr>
      <w:tr w:rsidR="00FB2404" w:rsidRPr="00FB2404" w:rsidTr="003528DC">
        <w:trPr>
          <w:trHeight w:val="300"/>
        </w:trPr>
        <w:tc>
          <w:tcPr>
            <w:tcW w:w="1000" w:type="pct"/>
            <w:vMerge w:val="restart"/>
            <w:tcBorders>
              <w:top w:val="nil"/>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proofErr w:type="spellStart"/>
            <w:r w:rsidRPr="00FB2404">
              <w:rPr>
                <w:rFonts w:eastAsia="Times New Roman" w:cstheme="minorHAnsi"/>
                <w:color w:val="000000"/>
                <w:sz w:val="20"/>
                <w:szCs w:val="20"/>
                <w:lang w:eastAsia="en-AU"/>
              </w:rPr>
              <w:t>ATAR</w:t>
            </w:r>
            <w:proofErr w:type="spellEnd"/>
            <w:r w:rsidRPr="00FB2404">
              <w:rPr>
                <w:rFonts w:eastAsia="Times New Roman" w:cstheme="minorHAnsi"/>
                <w:color w:val="000000"/>
                <w:sz w:val="20"/>
                <w:szCs w:val="20"/>
                <w:lang w:eastAsia="en-AU"/>
              </w:rPr>
              <w:t xml:space="preserve"> band</w:t>
            </w:r>
            <w:r w:rsidRPr="00FB2404">
              <w:rPr>
                <w:rFonts w:eastAsia="Times New Roman" w:cstheme="minorHAnsi"/>
                <w:color w:val="000000"/>
                <w:sz w:val="20"/>
                <w:szCs w:val="20"/>
                <w:lang w:eastAsia="en-AU"/>
              </w:rPr>
              <w:br/>
              <w:t>(for school leavers)</w:t>
            </w: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30-49</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51.4</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5.0</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26.0</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17.6</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50-59</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56.1</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6.3</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21.8</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15.8</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60-69</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65.4</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5.5</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18.6</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10.5</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70-79</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73.5</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4.9</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14.7</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6.9</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80-89</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82.8</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3.7</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9.8</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3.7</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90-94</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89.8</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2.4</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5.9</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1.9</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95-100</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94.5</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1.6</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3.1</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0.8</w:t>
            </w:r>
          </w:p>
        </w:tc>
      </w:tr>
      <w:tr w:rsidR="00FB2404" w:rsidRPr="00FB2404" w:rsidTr="003528DC">
        <w:trPr>
          <w:trHeight w:val="6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proofErr w:type="spellStart"/>
            <w:r w:rsidRPr="00FB2404">
              <w:rPr>
                <w:rFonts w:eastAsia="Times New Roman" w:cstheme="minorHAnsi"/>
                <w:color w:val="000000"/>
                <w:sz w:val="20"/>
                <w:szCs w:val="20"/>
                <w:lang w:eastAsia="en-AU"/>
              </w:rPr>
              <w:t>ATAR</w:t>
            </w:r>
            <w:proofErr w:type="spellEnd"/>
            <w:r w:rsidRPr="00FB2404">
              <w:rPr>
                <w:rFonts w:eastAsia="Times New Roman" w:cstheme="minorHAnsi"/>
                <w:color w:val="000000"/>
                <w:sz w:val="20"/>
                <w:szCs w:val="20"/>
                <w:lang w:eastAsia="en-AU"/>
              </w:rPr>
              <w:t xml:space="preserve"> not provided or not required</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69.3</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4.5</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16.0</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10.2</w:t>
            </w:r>
          </w:p>
        </w:tc>
      </w:tr>
      <w:tr w:rsidR="00FB2404" w:rsidRPr="00FB2404" w:rsidTr="003528DC">
        <w:trPr>
          <w:trHeight w:val="300"/>
        </w:trPr>
        <w:tc>
          <w:tcPr>
            <w:tcW w:w="1000" w:type="pct"/>
            <w:vMerge w:val="restart"/>
            <w:tcBorders>
              <w:top w:val="nil"/>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Enabling Indicator</w:t>
            </w: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Prior enabling course</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64.1</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6.1</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19.3</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10.6</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No prior enabling course</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73.9</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4.1</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13.8</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8.1</w:t>
            </w:r>
          </w:p>
        </w:tc>
      </w:tr>
      <w:tr w:rsidR="00FB2404" w:rsidRPr="00FB2404" w:rsidTr="003528DC">
        <w:trPr>
          <w:trHeight w:val="300"/>
        </w:trPr>
        <w:tc>
          <w:tcPr>
            <w:tcW w:w="1000" w:type="pct"/>
            <w:vMerge w:val="restart"/>
            <w:tcBorders>
              <w:top w:val="nil"/>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Indigenous Indicator</w:t>
            </w: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Indigenous</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46.7</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8.0</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25.0</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20.4</w:t>
            </w:r>
          </w:p>
        </w:tc>
      </w:tr>
      <w:tr w:rsidR="00FB2404" w:rsidRPr="00FB2404" w:rsidTr="003528DC">
        <w:trPr>
          <w:trHeight w:val="3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eastAsia="Times New Roman" w:cstheme="minorHAns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Not Indigenous</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73.9</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4.2</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13.9</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8.1</w:t>
            </w:r>
          </w:p>
        </w:tc>
      </w:tr>
      <w:tr w:rsidR="00FB2404" w:rsidRPr="00FB2404" w:rsidTr="003528DC">
        <w:trPr>
          <w:trHeight w:val="600"/>
        </w:trPr>
        <w:tc>
          <w:tcPr>
            <w:tcW w:w="1000" w:type="pct"/>
            <w:vMerge w:val="restart"/>
            <w:tcBorders>
              <w:top w:val="nil"/>
              <w:left w:val="single" w:sz="4" w:space="0" w:color="auto"/>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proofErr w:type="spellStart"/>
            <w:r w:rsidRPr="00FB2404">
              <w:rPr>
                <w:rFonts w:eastAsia="Times New Roman" w:cstheme="minorHAnsi"/>
                <w:color w:val="000000"/>
                <w:sz w:val="20"/>
                <w:szCs w:val="20"/>
                <w:lang w:eastAsia="en-AU"/>
              </w:rPr>
              <w:t>NESB</w:t>
            </w:r>
            <w:proofErr w:type="spellEnd"/>
            <w:r w:rsidRPr="00FB2404">
              <w:rPr>
                <w:rFonts w:eastAsia="Times New Roman" w:cstheme="minorHAnsi"/>
                <w:color w:val="000000"/>
                <w:sz w:val="20"/>
                <w:szCs w:val="20"/>
                <w:lang w:eastAsia="en-AU"/>
              </w:rPr>
              <w:t xml:space="preserve"> Indicator</w:t>
            </w: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eastAsia="Times New Roman" w:cstheme="minorHAnsi"/>
                <w:color w:val="000000"/>
                <w:sz w:val="20"/>
                <w:szCs w:val="20"/>
                <w:lang w:eastAsia="en-AU"/>
              </w:rPr>
            </w:pPr>
            <w:r w:rsidRPr="00FB2404">
              <w:rPr>
                <w:rFonts w:eastAsia="Times New Roman" w:cstheme="minorHAnsi"/>
                <w:color w:val="000000"/>
                <w:sz w:val="20"/>
                <w:szCs w:val="20"/>
                <w:lang w:eastAsia="en-AU"/>
              </w:rPr>
              <w:t>Person from non-English speaking background</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78.7</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3.6</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11.6</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eastAsia="Times New Roman" w:cstheme="minorHAnsi"/>
                <w:color w:val="000000"/>
                <w:sz w:val="20"/>
                <w:szCs w:val="20"/>
                <w:lang w:eastAsia="en-AU"/>
              </w:rPr>
            </w:pPr>
            <w:r w:rsidRPr="00FB2404">
              <w:rPr>
                <w:rFonts w:eastAsia="Times New Roman" w:cstheme="minorHAnsi"/>
                <w:color w:val="000000"/>
                <w:sz w:val="20"/>
                <w:szCs w:val="20"/>
                <w:lang w:eastAsia="en-AU"/>
              </w:rPr>
              <w:t>6.1</w:t>
            </w:r>
          </w:p>
        </w:tc>
      </w:tr>
      <w:tr w:rsidR="00FB2404" w:rsidRPr="00FB2404" w:rsidTr="003528DC">
        <w:trPr>
          <w:trHeight w:val="600"/>
        </w:trPr>
        <w:tc>
          <w:tcPr>
            <w:tcW w:w="1000" w:type="pct"/>
            <w:vMerge/>
            <w:tcBorders>
              <w:top w:val="nil"/>
              <w:left w:val="single" w:sz="4" w:space="0" w:color="auto"/>
              <w:bottom w:val="single" w:sz="4" w:space="0" w:color="auto"/>
              <w:right w:val="single" w:sz="4" w:space="0" w:color="auto"/>
            </w:tcBorders>
            <w:vAlign w:val="center"/>
            <w:hideMark/>
          </w:tcPr>
          <w:p w:rsidR="00FB2404" w:rsidRPr="00FB2404" w:rsidRDefault="00FB2404" w:rsidP="00FB2404">
            <w:pPr>
              <w:spacing w:after="0" w:line="240" w:lineRule="auto"/>
              <w:rPr>
                <w:rFonts w:ascii="Calibri" w:eastAsia="Times New Roman" w:hAnsi="Calibri" w:cs="Calibri"/>
                <w:color w:val="000000"/>
                <w:sz w:val="20"/>
                <w:szCs w:val="20"/>
                <w:lang w:eastAsia="en-AU"/>
              </w:rPr>
            </w:pPr>
          </w:p>
        </w:tc>
        <w:tc>
          <w:tcPr>
            <w:tcW w:w="1238" w:type="pct"/>
            <w:gridSpan w:val="2"/>
            <w:tcBorders>
              <w:top w:val="nil"/>
              <w:left w:val="nil"/>
              <w:bottom w:val="single" w:sz="4" w:space="0" w:color="auto"/>
              <w:right w:val="single" w:sz="4" w:space="0" w:color="auto"/>
            </w:tcBorders>
            <w:shd w:val="clear" w:color="000000" w:fill="E4DFEC"/>
            <w:hideMark/>
          </w:tcPr>
          <w:p w:rsidR="00FB2404" w:rsidRPr="00FB2404" w:rsidRDefault="00FB2404" w:rsidP="00FB2404">
            <w:pPr>
              <w:spacing w:after="0" w:line="240" w:lineRule="auto"/>
              <w:rPr>
                <w:rFonts w:ascii="Calibri" w:eastAsia="Times New Roman" w:hAnsi="Calibri" w:cs="Calibri"/>
                <w:color w:val="000000"/>
                <w:sz w:val="20"/>
                <w:szCs w:val="20"/>
                <w:lang w:eastAsia="en-AU"/>
              </w:rPr>
            </w:pPr>
            <w:r w:rsidRPr="00FB2404">
              <w:rPr>
                <w:rFonts w:ascii="Calibri" w:eastAsia="Times New Roman" w:hAnsi="Calibri" w:cs="Calibri"/>
                <w:color w:val="000000"/>
                <w:sz w:val="20"/>
                <w:szCs w:val="20"/>
                <w:lang w:eastAsia="en-AU"/>
              </w:rPr>
              <w:t>Not from non-English speaking background</w:t>
            </w:r>
          </w:p>
        </w:tc>
        <w:tc>
          <w:tcPr>
            <w:tcW w:w="727"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ascii="Calibri" w:eastAsia="Times New Roman" w:hAnsi="Calibri" w:cs="Calibri"/>
                <w:color w:val="000000"/>
                <w:sz w:val="20"/>
                <w:szCs w:val="20"/>
                <w:lang w:eastAsia="en-AU"/>
              </w:rPr>
            </w:pPr>
            <w:r w:rsidRPr="00FB2404">
              <w:rPr>
                <w:rFonts w:ascii="Calibri" w:eastAsia="Times New Roman" w:hAnsi="Calibri" w:cs="Calibri"/>
                <w:color w:val="000000"/>
                <w:sz w:val="20"/>
                <w:szCs w:val="20"/>
                <w:lang w:eastAsia="en-AU"/>
              </w:rPr>
              <w:t>73.4</w:t>
            </w:r>
          </w:p>
        </w:tc>
        <w:tc>
          <w:tcPr>
            <w:tcW w:w="655"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ascii="Calibri" w:eastAsia="Times New Roman" w:hAnsi="Calibri" w:cs="Calibri"/>
                <w:color w:val="000000"/>
                <w:sz w:val="20"/>
                <w:szCs w:val="20"/>
                <w:lang w:eastAsia="en-AU"/>
              </w:rPr>
            </w:pPr>
            <w:r w:rsidRPr="00FB2404">
              <w:rPr>
                <w:rFonts w:ascii="Calibri" w:eastAsia="Times New Roman" w:hAnsi="Calibri" w:cs="Calibri"/>
                <w:color w:val="000000"/>
                <w:sz w:val="20"/>
                <w:szCs w:val="20"/>
                <w:lang w:eastAsia="en-AU"/>
              </w:rPr>
              <w:t>4.2</w:t>
            </w:r>
          </w:p>
        </w:tc>
        <w:tc>
          <w:tcPr>
            <w:tcW w:w="798"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ascii="Calibri" w:eastAsia="Times New Roman" w:hAnsi="Calibri" w:cs="Calibri"/>
                <w:color w:val="000000"/>
                <w:sz w:val="20"/>
                <w:szCs w:val="20"/>
                <w:lang w:eastAsia="en-AU"/>
              </w:rPr>
            </w:pPr>
            <w:r w:rsidRPr="00FB2404">
              <w:rPr>
                <w:rFonts w:ascii="Calibri" w:eastAsia="Times New Roman" w:hAnsi="Calibri" w:cs="Calibri"/>
                <w:color w:val="000000"/>
                <w:sz w:val="20"/>
                <w:szCs w:val="20"/>
                <w:lang w:eastAsia="en-AU"/>
              </w:rPr>
              <w:t>14.1</w:t>
            </w:r>
          </w:p>
        </w:tc>
        <w:tc>
          <w:tcPr>
            <w:tcW w:w="582" w:type="pct"/>
            <w:tcBorders>
              <w:top w:val="nil"/>
              <w:left w:val="nil"/>
              <w:bottom w:val="single" w:sz="4" w:space="0" w:color="auto"/>
              <w:right w:val="single" w:sz="4" w:space="0" w:color="auto"/>
            </w:tcBorders>
            <w:shd w:val="clear" w:color="auto" w:fill="auto"/>
            <w:noWrap/>
            <w:vAlign w:val="bottom"/>
            <w:hideMark/>
          </w:tcPr>
          <w:p w:rsidR="00FB2404" w:rsidRPr="00FB2404" w:rsidRDefault="00FB2404" w:rsidP="00FB2404">
            <w:pPr>
              <w:spacing w:after="0" w:line="240" w:lineRule="auto"/>
              <w:jc w:val="center"/>
              <w:rPr>
                <w:rFonts w:ascii="Calibri" w:eastAsia="Times New Roman" w:hAnsi="Calibri" w:cs="Calibri"/>
                <w:color w:val="000000"/>
                <w:sz w:val="20"/>
                <w:szCs w:val="20"/>
                <w:lang w:eastAsia="en-AU"/>
              </w:rPr>
            </w:pPr>
            <w:r w:rsidRPr="00FB2404">
              <w:rPr>
                <w:rFonts w:ascii="Calibri" w:eastAsia="Times New Roman" w:hAnsi="Calibri" w:cs="Calibri"/>
                <w:color w:val="000000"/>
                <w:sz w:val="20"/>
                <w:szCs w:val="20"/>
                <w:lang w:eastAsia="en-AU"/>
              </w:rPr>
              <w:t>8.3</w:t>
            </w:r>
          </w:p>
        </w:tc>
      </w:tr>
    </w:tbl>
    <w:p w:rsidR="003511B6" w:rsidRDefault="003511B6" w:rsidP="003511B6"/>
    <w:p w:rsidR="003528DC" w:rsidRDefault="003528DC" w:rsidP="003511B6"/>
    <w:p w:rsidR="003528DC" w:rsidRDefault="003528DC" w:rsidP="003511B6"/>
    <w:tbl>
      <w:tblPr>
        <w:tblW w:w="5273" w:type="pct"/>
        <w:tblLayout w:type="fixed"/>
        <w:tblLook w:val="04A0" w:firstRow="1" w:lastRow="0" w:firstColumn="1" w:lastColumn="0" w:noHBand="0" w:noVBand="1"/>
      </w:tblPr>
      <w:tblGrid>
        <w:gridCol w:w="1668"/>
        <w:gridCol w:w="2694"/>
        <w:gridCol w:w="1417"/>
        <w:gridCol w:w="1277"/>
        <w:gridCol w:w="1558"/>
        <w:gridCol w:w="1133"/>
      </w:tblGrid>
      <w:tr w:rsidR="003528DC" w:rsidRPr="003528DC" w:rsidTr="009E3A04">
        <w:trPr>
          <w:trHeight w:val="900"/>
          <w:tblHeader/>
        </w:trPr>
        <w:tc>
          <w:tcPr>
            <w:tcW w:w="856" w:type="pct"/>
            <w:tcBorders>
              <w:top w:val="single" w:sz="4" w:space="0" w:color="auto"/>
              <w:left w:val="single" w:sz="4" w:space="0" w:color="auto"/>
              <w:bottom w:val="single" w:sz="4" w:space="0" w:color="auto"/>
              <w:right w:val="nil"/>
            </w:tcBorders>
            <w:shd w:val="clear" w:color="000000" w:fill="522761"/>
            <w:vAlign w:val="center"/>
            <w:hideMark/>
          </w:tcPr>
          <w:p w:rsidR="003528DC" w:rsidRPr="003528DC" w:rsidRDefault="003528DC" w:rsidP="003528DC">
            <w:pPr>
              <w:spacing w:after="0" w:line="240" w:lineRule="auto"/>
              <w:jc w:val="center"/>
              <w:rPr>
                <w:rFonts w:eastAsia="Times New Roman" w:cstheme="minorHAnsi"/>
                <w:b/>
                <w:bCs/>
                <w:color w:val="FFFFFF"/>
                <w:sz w:val="20"/>
                <w:szCs w:val="20"/>
                <w:lang w:eastAsia="en-AU"/>
              </w:rPr>
            </w:pPr>
            <w:r w:rsidRPr="003528DC">
              <w:rPr>
                <w:rFonts w:eastAsia="Times New Roman" w:cstheme="minorHAnsi"/>
                <w:b/>
                <w:bCs/>
                <w:color w:val="FFFFFF"/>
                <w:sz w:val="20"/>
                <w:szCs w:val="20"/>
                <w:lang w:eastAsia="en-AU"/>
              </w:rPr>
              <w:lastRenderedPageBreak/>
              <w:t> </w:t>
            </w:r>
          </w:p>
        </w:tc>
        <w:tc>
          <w:tcPr>
            <w:tcW w:w="1382" w:type="pct"/>
            <w:tcBorders>
              <w:top w:val="single" w:sz="4" w:space="0" w:color="auto"/>
              <w:left w:val="nil"/>
              <w:bottom w:val="single" w:sz="4" w:space="0" w:color="auto"/>
              <w:right w:val="nil"/>
            </w:tcBorders>
            <w:shd w:val="clear" w:color="000000" w:fill="522761"/>
            <w:vAlign w:val="center"/>
            <w:hideMark/>
          </w:tcPr>
          <w:p w:rsidR="003528DC" w:rsidRPr="003528DC" w:rsidRDefault="003528DC" w:rsidP="003528DC">
            <w:pPr>
              <w:spacing w:after="0" w:line="240" w:lineRule="auto"/>
              <w:jc w:val="center"/>
              <w:rPr>
                <w:rFonts w:eastAsia="Times New Roman" w:cstheme="minorHAnsi"/>
                <w:b/>
                <w:bCs/>
                <w:color w:val="FFFFFF"/>
                <w:sz w:val="20"/>
                <w:szCs w:val="20"/>
                <w:lang w:eastAsia="en-AU"/>
              </w:rPr>
            </w:pPr>
            <w:r w:rsidRPr="003528DC">
              <w:rPr>
                <w:rFonts w:eastAsia="Times New Roman" w:cstheme="minorHAnsi"/>
                <w:b/>
                <w:bCs/>
                <w:color w:val="FFFFFF"/>
                <w:sz w:val="20"/>
                <w:szCs w:val="20"/>
                <w:lang w:eastAsia="en-AU"/>
              </w:rPr>
              <w:t> </w:t>
            </w:r>
          </w:p>
        </w:tc>
        <w:tc>
          <w:tcPr>
            <w:tcW w:w="727" w:type="pct"/>
            <w:tcBorders>
              <w:top w:val="single" w:sz="4" w:space="0" w:color="auto"/>
              <w:left w:val="nil"/>
              <w:bottom w:val="single" w:sz="4" w:space="0" w:color="auto"/>
              <w:right w:val="nil"/>
            </w:tcBorders>
            <w:shd w:val="clear" w:color="000000" w:fill="522761"/>
            <w:hideMark/>
          </w:tcPr>
          <w:p w:rsidR="003528DC" w:rsidRPr="003528DC" w:rsidRDefault="003528DC" w:rsidP="003528DC">
            <w:pPr>
              <w:spacing w:after="0" w:line="240" w:lineRule="auto"/>
              <w:jc w:val="center"/>
              <w:rPr>
                <w:rFonts w:eastAsia="Times New Roman" w:cstheme="minorHAnsi"/>
                <w:b/>
                <w:bCs/>
                <w:color w:val="FFFFFF"/>
                <w:sz w:val="20"/>
                <w:szCs w:val="20"/>
                <w:lang w:eastAsia="en-AU"/>
              </w:rPr>
            </w:pPr>
            <w:r w:rsidRPr="003528DC">
              <w:rPr>
                <w:rFonts w:eastAsia="Times New Roman" w:cstheme="minorHAnsi"/>
                <w:b/>
                <w:bCs/>
                <w:color w:val="FFFFFF"/>
                <w:sz w:val="20"/>
                <w:szCs w:val="20"/>
                <w:lang w:eastAsia="en-AU"/>
              </w:rPr>
              <w:t>Completed</w:t>
            </w:r>
            <w:r w:rsidRPr="003528DC">
              <w:rPr>
                <w:rFonts w:eastAsia="Times New Roman" w:cstheme="minorHAnsi"/>
                <w:b/>
                <w:bCs/>
                <w:color w:val="FFFFFF"/>
                <w:sz w:val="20"/>
                <w:szCs w:val="20"/>
                <w:lang w:eastAsia="en-AU"/>
              </w:rPr>
              <w:br/>
              <w:t xml:space="preserve"> (in any year)</w:t>
            </w:r>
          </w:p>
        </w:tc>
        <w:tc>
          <w:tcPr>
            <w:tcW w:w="655" w:type="pct"/>
            <w:tcBorders>
              <w:top w:val="single" w:sz="4" w:space="0" w:color="auto"/>
              <w:left w:val="nil"/>
              <w:bottom w:val="single" w:sz="4" w:space="0" w:color="auto"/>
              <w:right w:val="nil"/>
            </w:tcBorders>
            <w:shd w:val="clear" w:color="000000" w:fill="522761"/>
            <w:hideMark/>
          </w:tcPr>
          <w:p w:rsidR="003528DC" w:rsidRPr="003528DC" w:rsidRDefault="003528DC" w:rsidP="003528DC">
            <w:pPr>
              <w:spacing w:after="0" w:line="240" w:lineRule="auto"/>
              <w:jc w:val="center"/>
              <w:rPr>
                <w:rFonts w:eastAsia="Times New Roman" w:cstheme="minorHAnsi"/>
                <w:b/>
                <w:bCs/>
                <w:color w:val="FFFFFF"/>
                <w:sz w:val="20"/>
                <w:szCs w:val="20"/>
                <w:lang w:eastAsia="en-AU"/>
              </w:rPr>
            </w:pPr>
            <w:r w:rsidRPr="003528DC">
              <w:rPr>
                <w:rFonts w:eastAsia="Times New Roman" w:cstheme="minorHAnsi"/>
                <w:b/>
                <w:bCs/>
                <w:color w:val="FFFFFF"/>
                <w:sz w:val="20"/>
                <w:szCs w:val="20"/>
                <w:lang w:eastAsia="en-AU"/>
              </w:rPr>
              <w:t xml:space="preserve">Still Enrolled </w:t>
            </w:r>
            <w:r w:rsidRPr="003528DC">
              <w:rPr>
                <w:rFonts w:eastAsia="Times New Roman" w:cstheme="minorHAnsi"/>
                <w:b/>
                <w:bCs/>
                <w:color w:val="FFFFFF"/>
                <w:sz w:val="20"/>
                <w:szCs w:val="20"/>
                <w:lang w:eastAsia="en-AU"/>
              </w:rPr>
              <w:br/>
              <w:t>in 2013</w:t>
            </w:r>
          </w:p>
        </w:tc>
        <w:tc>
          <w:tcPr>
            <w:tcW w:w="799" w:type="pct"/>
            <w:tcBorders>
              <w:top w:val="single" w:sz="4" w:space="0" w:color="auto"/>
              <w:left w:val="nil"/>
              <w:bottom w:val="single" w:sz="4" w:space="0" w:color="auto"/>
              <w:right w:val="nil"/>
            </w:tcBorders>
            <w:shd w:val="clear" w:color="000000" w:fill="522761"/>
            <w:hideMark/>
          </w:tcPr>
          <w:p w:rsidR="003528DC" w:rsidRPr="003528DC" w:rsidRDefault="003528DC" w:rsidP="003528DC">
            <w:pPr>
              <w:spacing w:after="0" w:line="240" w:lineRule="auto"/>
              <w:jc w:val="center"/>
              <w:rPr>
                <w:rFonts w:eastAsia="Times New Roman" w:cstheme="minorHAnsi"/>
                <w:b/>
                <w:bCs/>
                <w:color w:val="FFFFFF"/>
                <w:sz w:val="20"/>
                <w:szCs w:val="20"/>
                <w:lang w:eastAsia="en-AU"/>
              </w:rPr>
            </w:pPr>
            <w:r w:rsidRPr="003528DC">
              <w:rPr>
                <w:rFonts w:eastAsia="Times New Roman" w:cstheme="minorHAnsi"/>
                <w:b/>
                <w:bCs/>
                <w:color w:val="FFFFFF"/>
                <w:sz w:val="20"/>
                <w:szCs w:val="20"/>
                <w:lang w:eastAsia="en-AU"/>
              </w:rPr>
              <w:t>Re-enrolled but dropped out before 2013</w:t>
            </w:r>
          </w:p>
        </w:tc>
        <w:tc>
          <w:tcPr>
            <w:tcW w:w="581" w:type="pct"/>
            <w:tcBorders>
              <w:top w:val="single" w:sz="4" w:space="0" w:color="auto"/>
              <w:left w:val="nil"/>
              <w:bottom w:val="single" w:sz="4" w:space="0" w:color="auto"/>
              <w:right w:val="single" w:sz="4" w:space="0" w:color="auto"/>
            </w:tcBorders>
            <w:shd w:val="clear" w:color="000000" w:fill="522761"/>
            <w:hideMark/>
          </w:tcPr>
          <w:p w:rsidR="003528DC" w:rsidRPr="003528DC" w:rsidRDefault="003528DC" w:rsidP="003528DC">
            <w:pPr>
              <w:spacing w:after="0" w:line="240" w:lineRule="auto"/>
              <w:jc w:val="center"/>
              <w:rPr>
                <w:rFonts w:eastAsia="Times New Roman" w:cstheme="minorHAnsi"/>
                <w:b/>
                <w:bCs/>
                <w:color w:val="FFFFFF"/>
                <w:sz w:val="20"/>
                <w:szCs w:val="20"/>
                <w:lang w:eastAsia="en-AU"/>
              </w:rPr>
            </w:pPr>
            <w:r w:rsidRPr="003528DC">
              <w:rPr>
                <w:rFonts w:eastAsia="Times New Roman" w:cstheme="minorHAnsi"/>
                <w:b/>
                <w:bCs/>
                <w:color w:val="FFFFFF"/>
                <w:sz w:val="20"/>
                <w:szCs w:val="20"/>
                <w:lang w:eastAsia="en-AU"/>
              </w:rPr>
              <w:t>Never came back after 2005</w:t>
            </w:r>
          </w:p>
        </w:tc>
      </w:tr>
      <w:tr w:rsidR="003528DC" w:rsidRPr="003528DC" w:rsidTr="003528DC">
        <w:trPr>
          <w:trHeight w:val="300"/>
        </w:trPr>
        <w:tc>
          <w:tcPr>
            <w:tcW w:w="856" w:type="pct"/>
            <w:vMerge w:val="restart"/>
            <w:tcBorders>
              <w:top w:val="nil"/>
              <w:left w:val="single" w:sz="4" w:space="0" w:color="auto"/>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Socio-Economic Status</w:t>
            </w: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Low SES</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68.9</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4.8</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16.3</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10.0</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Medium SES</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72.6</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4.3</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14.4</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8.6</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High SES</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77.7</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3.7</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12.1</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6.5</w:t>
            </w:r>
          </w:p>
        </w:tc>
      </w:tr>
      <w:tr w:rsidR="003528DC" w:rsidRPr="003528DC" w:rsidTr="003528DC">
        <w:trPr>
          <w:trHeight w:val="300"/>
        </w:trPr>
        <w:tc>
          <w:tcPr>
            <w:tcW w:w="856" w:type="pct"/>
            <w:vMerge w:val="restart"/>
            <w:tcBorders>
              <w:top w:val="nil"/>
              <w:left w:val="single" w:sz="4" w:space="0" w:color="auto"/>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Regional Classification (</w:t>
            </w:r>
            <w:proofErr w:type="spellStart"/>
            <w:r w:rsidRPr="003528DC">
              <w:rPr>
                <w:rFonts w:eastAsia="Times New Roman" w:cstheme="minorHAnsi"/>
                <w:color w:val="000000"/>
                <w:sz w:val="20"/>
                <w:szCs w:val="20"/>
                <w:lang w:eastAsia="en-AU"/>
              </w:rPr>
              <w:t>MCEETYA</w:t>
            </w:r>
            <w:proofErr w:type="spellEnd"/>
            <w:r w:rsidRPr="003528DC">
              <w:rPr>
                <w:rFonts w:eastAsia="Times New Roman" w:cstheme="minorHAnsi"/>
                <w:color w:val="000000"/>
                <w:sz w:val="20"/>
                <w:szCs w:val="20"/>
                <w:lang w:eastAsia="en-AU"/>
              </w:rPr>
              <w:t>)*</w:t>
            </w: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Metro</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75.0</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4.1</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13.5</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7.5</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Regional</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69.8</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4.6</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15.6</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10.1</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Remote</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59.5</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5.7</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19.9</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14.8</w:t>
            </w:r>
          </w:p>
        </w:tc>
      </w:tr>
      <w:tr w:rsidR="003528DC" w:rsidRPr="003528DC" w:rsidTr="003528DC">
        <w:trPr>
          <w:trHeight w:val="600"/>
        </w:trPr>
        <w:tc>
          <w:tcPr>
            <w:tcW w:w="856" w:type="pct"/>
            <w:vMerge w:val="restart"/>
            <w:tcBorders>
              <w:top w:val="nil"/>
              <w:left w:val="single" w:sz="4" w:space="0" w:color="auto"/>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Liability Category</w:t>
            </w: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Commonwealth Supported students</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73.6</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4.2</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14.0</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8.1</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Fee-Paying students</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72.9</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2.2</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13.6</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11.3</w:t>
            </w:r>
          </w:p>
        </w:tc>
      </w:tr>
      <w:tr w:rsidR="003528DC" w:rsidRPr="003528DC" w:rsidTr="003528DC">
        <w:trPr>
          <w:trHeight w:val="600"/>
        </w:trPr>
        <w:tc>
          <w:tcPr>
            <w:tcW w:w="856" w:type="pct"/>
            <w:vMerge w:val="restart"/>
            <w:tcBorders>
              <w:top w:val="nil"/>
              <w:left w:val="single" w:sz="4" w:space="0" w:color="auto"/>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Broad Field of Education</w:t>
            </w: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Natural and Physical Sciences</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77.5</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4.6</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12.3</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5.6</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Information Technology</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63.3</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4.9</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20.7</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11.1</w:t>
            </w:r>
          </w:p>
        </w:tc>
      </w:tr>
      <w:tr w:rsidR="003528DC" w:rsidRPr="003528DC" w:rsidTr="003528DC">
        <w:trPr>
          <w:trHeight w:val="6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Engineering and Related Technologies</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74.7</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5.4</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14.2</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5.7</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Architecture and Building</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79.1</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3.0</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12.3</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5.6</w:t>
            </w:r>
          </w:p>
        </w:tc>
      </w:tr>
      <w:tr w:rsidR="003528DC" w:rsidRPr="003528DC" w:rsidTr="003528DC">
        <w:trPr>
          <w:trHeight w:val="6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Agriculture, Environmental and Related Studies</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66.9</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4.8</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17.3</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11.0</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Health</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81.6</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2.6</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9.5</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6.3</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Education</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74.7</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3.3</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12.8</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9.1</w:t>
            </w:r>
          </w:p>
        </w:tc>
      </w:tr>
      <w:tr w:rsidR="003528DC" w:rsidRPr="003528DC" w:rsidTr="003528DC">
        <w:trPr>
          <w:trHeight w:val="323"/>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Management and Commerce</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72.3</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4.1</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14.8</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8.7</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Society and Culture</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71.8</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5.1</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14.7</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8.4</w:t>
            </w:r>
          </w:p>
        </w:tc>
      </w:tr>
      <w:tr w:rsidR="003528DC" w:rsidRPr="003528DC" w:rsidTr="003528DC">
        <w:trPr>
          <w:trHeight w:val="3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Creative Arts</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75.6</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3.5</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13.7</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7.3</w:t>
            </w:r>
          </w:p>
        </w:tc>
      </w:tr>
      <w:tr w:rsidR="003528DC" w:rsidRPr="003528DC" w:rsidTr="003528DC">
        <w:trPr>
          <w:trHeight w:val="600"/>
        </w:trPr>
        <w:tc>
          <w:tcPr>
            <w:tcW w:w="856" w:type="pct"/>
            <w:vMerge/>
            <w:tcBorders>
              <w:top w:val="nil"/>
              <w:left w:val="single" w:sz="4" w:space="0" w:color="auto"/>
              <w:bottom w:val="single" w:sz="4" w:space="0" w:color="auto"/>
              <w:right w:val="single" w:sz="4" w:space="0" w:color="auto"/>
            </w:tcBorders>
            <w:vAlign w:val="center"/>
            <w:hideMark/>
          </w:tcPr>
          <w:p w:rsidR="003528DC" w:rsidRPr="003528DC" w:rsidRDefault="003528DC" w:rsidP="003528DC">
            <w:pPr>
              <w:spacing w:after="0" w:line="240" w:lineRule="auto"/>
              <w:rPr>
                <w:rFonts w:eastAsia="Times New Roman" w:cstheme="minorHAnsi"/>
                <w:color w:val="000000"/>
                <w:sz w:val="20"/>
                <w:szCs w:val="20"/>
                <w:lang w:eastAsia="en-AU"/>
              </w:rPr>
            </w:pPr>
          </w:p>
        </w:tc>
        <w:tc>
          <w:tcPr>
            <w:tcW w:w="1382" w:type="pct"/>
            <w:tcBorders>
              <w:top w:val="nil"/>
              <w:left w:val="nil"/>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Food, Hospitality and Personal Services</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88.0</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4.0</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4.0</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4.0</w:t>
            </w:r>
          </w:p>
        </w:tc>
      </w:tr>
      <w:tr w:rsidR="003528DC" w:rsidRPr="003528DC" w:rsidTr="003528DC">
        <w:trPr>
          <w:trHeight w:val="300"/>
        </w:trPr>
        <w:tc>
          <w:tcPr>
            <w:tcW w:w="2238" w:type="pct"/>
            <w:gridSpan w:val="2"/>
            <w:tcBorders>
              <w:top w:val="single" w:sz="4" w:space="0" w:color="auto"/>
              <w:left w:val="single" w:sz="4" w:space="0" w:color="auto"/>
              <w:bottom w:val="single" w:sz="4" w:space="0" w:color="auto"/>
              <w:right w:val="single" w:sz="4" w:space="0" w:color="auto"/>
            </w:tcBorders>
            <w:shd w:val="clear" w:color="000000" w:fill="E4DFEC"/>
            <w:hideMark/>
          </w:tcPr>
          <w:p w:rsidR="003528DC" w:rsidRPr="003528DC" w:rsidRDefault="003528DC" w:rsidP="003528DC">
            <w:pPr>
              <w:spacing w:after="0" w:line="240" w:lineRule="auto"/>
              <w:rPr>
                <w:rFonts w:eastAsia="Times New Roman" w:cstheme="minorHAnsi"/>
                <w:color w:val="000000"/>
                <w:sz w:val="20"/>
                <w:szCs w:val="20"/>
                <w:lang w:eastAsia="en-AU"/>
              </w:rPr>
            </w:pPr>
            <w:r w:rsidRPr="003528DC">
              <w:rPr>
                <w:rFonts w:eastAsia="Times New Roman" w:cstheme="minorHAnsi"/>
                <w:color w:val="000000"/>
                <w:sz w:val="20"/>
                <w:szCs w:val="20"/>
                <w:lang w:eastAsia="en-AU"/>
              </w:rPr>
              <w:t>TOTAL</w:t>
            </w:r>
          </w:p>
        </w:tc>
        <w:tc>
          <w:tcPr>
            <w:tcW w:w="727"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73.6</w:t>
            </w:r>
          </w:p>
        </w:tc>
        <w:tc>
          <w:tcPr>
            <w:tcW w:w="655"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4.2</w:t>
            </w:r>
          </w:p>
        </w:tc>
        <w:tc>
          <w:tcPr>
            <w:tcW w:w="799"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14.0</w:t>
            </w:r>
          </w:p>
        </w:tc>
        <w:tc>
          <w:tcPr>
            <w:tcW w:w="581" w:type="pct"/>
            <w:tcBorders>
              <w:top w:val="nil"/>
              <w:left w:val="nil"/>
              <w:bottom w:val="single" w:sz="4" w:space="0" w:color="auto"/>
              <w:right w:val="single" w:sz="4" w:space="0" w:color="auto"/>
            </w:tcBorders>
            <w:shd w:val="clear" w:color="auto" w:fill="auto"/>
            <w:noWrap/>
            <w:vAlign w:val="bottom"/>
            <w:hideMark/>
          </w:tcPr>
          <w:p w:rsidR="003528DC" w:rsidRPr="003528DC" w:rsidRDefault="003528DC" w:rsidP="003528DC">
            <w:pPr>
              <w:spacing w:after="0" w:line="240" w:lineRule="auto"/>
              <w:jc w:val="center"/>
              <w:rPr>
                <w:rFonts w:eastAsia="Times New Roman" w:cstheme="minorHAnsi"/>
                <w:color w:val="000000"/>
                <w:sz w:val="20"/>
                <w:szCs w:val="20"/>
                <w:lang w:eastAsia="en-AU"/>
              </w:rPr>
            </w:pPr>
            <w:r w:rsidRPr="003528DC">
              <w:rPr>
                <w:rFonts w:eastAsia="Times New Roman" w:cstheme="minorHAnsi"/>
                <w:color w:val="000000"/>
                <w:sz w:val="20"/>
                <w:szCs w:val="20"/>
                <w:lang w:eastAsia="en-AU"/>
              </w:rPr>
              <w:t>8.2</w:t>
            </w:r>
          </w:p>
        </w:tc>
      </w:tr>
    </w:tbl>
    <w:p w:rsidR="005E3F01" w:rsidRPr="005E3F01" w:rsidRDefault="005E3F01" w:rsidP="00A415AC">
      <w:pPr>
        <w:ind w:right="-330"/>
        <w:sectPr w:rsidR="005E3F01" w:rsidRPr="005E3F01" w:rsidSect="00C8462C">
          <w:pgSz w:w="11906" w:h="16838"/>
          <w:pgMar w:top="1248" w:right="1440" w:bottom="993" w:left="1440" w:header="708" w:footer="1011" w:gutter="0"/>
          <w:cols w:space="708"/>
          <w:docGrid w:linePitch="360"/>
        </w:sectPr>
      </w:pPr>
      <w:r w:rsidRPr="005E3F01">
        <w:rPr>
          <w:sz w:val="18"/>
          <w:szCs w:val="18"/>
        </w:rPr>
        <w:t>*based on the Ministerial Council on Employment, Education, Train</w:t>
      </w:r>
      <w:r w:rsidR="00A415AC">
        <w:rPr>
          <w:sz w:val="18"/>
          <w:szCs w:val="18"/>
        </w:rPr>
        <w:t>ing and Youth Affairs (</w:t>
      </w:r>
      <w:proofErr w:type="spellStart"/>
      <w:r w:rsidR="00A415AC">
        <w:rPr>
          <w:sz w:val="18"/>
          <w:szCs w:val="18"/>
        </w:rPr>
        <w:t>MCEETYA</w:t>
      </w:r>
      <w:proofErr w:type="spellEnd"/>
      <w:r w:rsidR="00A415AC">
        <w:rPr>
          <w:sz w:val="18"/>
          <w:szCs w:val="18"/>
        </w:rPr>
        <w:t xml:space="preserve">) classification of </w:t>
      </w:r>
      <w:r w:rsidRPr="005E3F01">
        <w:rPr>
          <w:sz w:val="18"/>
          <w:szCs w:val="18"/>
        </w:rPr>
        <w:t>regions.</w:t>
      </w:r>
    </w:p>
    <w:p w:rsidR="00B0569E" w:rsidRDefault="00A87644" w:rsidP="00A75355">
      <w:pPr>
        <w:sectPr w:rsidR="00B0569E" w:rsidSect="00B0569E">
          <w:pgSz w:w="16839" w:h="23814" w:code="8"/>
          <w:pgMar w:top="1248" w:right="1440" w:bottom="993" w:left="1440" w:header="708" w:footer="1011" w:gutter="0"/>
          <w:cols w:space="708"/>
          <w:docGrid w:linePitch="360"/>
        </w:sectPr>
      </w:pPr>
      <w:r>
        <w:rPr>
          <w:noProof/>
          <w:lang w:eastAsia="en-AU"/>
        </w:rPr>
        <w:lastRenderedPageBreak/>
        <w:drawing>
          <wp:inline distT="0" distB="0" distL="0" distR="0" wp14:anchorId="7D886BF3">
            <wp:extent cx="8712679" cy="13461435"/>
            <wp:effectExtent l="0" t="0" r="0" b="6985"/>
            <wp:docPr id="26" name="Picture 26" descr="Chart 3. Graphical representation of data in 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21768" cy="13475478"/>
                    </a:xfrm>
                    <a:prstGeom prst="rect">
                      <a:avLst/>
                    </a:prstGeom>
                    <a:noFill/>
                  </pic:spPr>
                </pic:pic>
              </a:graphicData>
            </a:graphic>
          </wp:inline>
        </w:drawing>
      </w:r>
    </w:p>
    <w:p w:rsidR="00852276" w:rsidRDefault="00852276" w:rsidP="00852276">
      <w:pPr>
        <w:pStyle w:val="Caption"/>
        <w:keepNext/>
        <w:spacing w:before="0"/>
      </w:pPr>
      <w:r w:rsidRPr="00DD0F78">
        <w:lastRenderedPageBreak/>
        <w:t xml:space="preserve">Table </w:t>
      </w:r>
      <w:r>
        <w:t>2</w:t>
      </w:r>
      <w:r w:rsidRPr="00DD0F78">
        <w:t>: Cohort Analysis for</w:t>
      </w:r>
      <w:r>
        <w:t xml:space="preserve"> Table A</w:t>
      </w:r>
      <w:r w:rsidRPr="00DD0F78">
        <w:t xml:space="preserve"> commencing domestic Bachelor students over a </w:t>
      </w:r>
      <w:r>
        <w:t>four</w:t>
      </w:r>
      <w:r w:rsidRPr="00DD0F78">
        <w:t xml:space="preserve"> year period, 2005-20</w:t>
      </w:r>
      <w:r>
        <w:t>08</w:t>
      </w:r>
      <w:r w:rsidRPr="00DD0F78">
        <w:t>, 2006-20</w:t>
      </w:r>
      <w:r>
        <w:t>09</w:t>
      </w:r>
      <w:r w:rsidRPr="00DD0F78">
        <w:t>, 2007-</w:t>
      </w:r>
      <w:r>
        <w:t>2010, 2008-2011, 2009-2012</w:t>
      </w:r>
      <w:r w:rsidRPr="00DD0F78">
        <w:t xml:space="preserve"> and 20</w:t>
      </w:r>
      <w:r>
        <w:t>10</w:t>
      </w:r>
      <w:r w:rsidRPr="00DD0F78">
        <w:t>-</w:t>
      </w:r>
      <w:r>
        <w:t>20</w:t>
      </w:r>
      <w:r w:rsidRPr="00DD0F78">
        <w:t>13</w:t>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355CAC" w:rsidTr="00A35B56">
        <w:trPr>
          <w:trHeight w:val="1200"/>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355CAC" w:rsidRDefault="00852276" w:rsidP="00A35B56">
            <w:pPr>
              <w:spacing w:after="0" w:line="240" w:lineRule="auto"/>
              <w:jc w:val="center"/>
              <w:rPr>
                <w:rFonts w:ascii="Calibri" w:eastAsia="Times New Roman" w:hAnsi="Calibri" w:cs="Calibri"/>
                <w:b/>
                <w:bCs/>
                <w:color w:val="FFFFFF"/>
                <w:sz w:val="20"/>
                <w:szCs w:val="20"/>
                <w:lang w:eastAsia="en-AU"/>
              </w:rPr>
            </w:pPr>
            <w:r w:rsidRPr="00355CAC">
              <w:rPr>
                <w:rFonts w:ascii="Calibri" w:eastAsia="Times New Roman" w:hAnsi="Calibri" w:cs="Calibri"/>
                <w:b/>
                <w:bCs/>
                <w:color w:val="FFFFFF"/>
                <w:sz w:val="20"/>
                <w:szCs w:val="20"/>
                <w:lang w:eastAsia="en-AU"/>
              </w:rPr>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355CAC" w:rsidRDefault="00852276" w:rsidP="00A35B56">
            <w:pPr>
              <w:spacing w:after="0" w:line="240" w:lineRule="auto"/>
              <w:jc w:val="center"/>
              <w:rPr>
                <w:rFonts w:ascii="Calibri" w:eastAsia="Times New Roman" w:hAnsi="Calibri" w:cs="Calibri"/>
                <w:b/>
                <w:bCs/>
                <w:color w:val="FFFFFF"/>
                <w:sz w:val="20"/>
                <w:szCs w:val="20"/>
                <w:lang w:eastAsia="en-AU"/>
              </w:rPr>
            </w:pPr>
            <w:r w:rsidRPr="00355CAC">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355CAC" w:rsidRDefault="00852276" w:rsidP="00A35B56">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 xml:space="preserve">Completed </w:t>
            </w:r>
            <w:r w:rsidRPr="00355CAC">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355CAC" w:rsidRDefault="00852276" w:rsidP="00A35B56">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Still Enrolled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355CAC" w:rsidRDefault="00852276" w:rsidP="00A35B56">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355CAC" w:rsidRDefault="00852276" w:rsidP="00A35B56">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Never came back after the first year</w:t>
            </w:r>
          </w:p>
        </w:tc>
      </w:tr>
      <w:tr w:rsidR="00852276" w:rsidRPr="00355CAC" w:rsidTr="00A35B56">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National Total (Domestic students)</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47.3%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11.0%</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10.0%</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45.9%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33.8%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9.9%</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33.5%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8.9%</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8.5%</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45.1%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9.0%</w:t>
            </w:r>
          </w:p>
        </w:tc>
      </w:tr>
      <w:tr w:rsidR="00852276" w:rsidRPr="00355CAC" w:rsidTr="00A35B56">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Comparison figure for Overseas students</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64.9%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10.7%</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67.5%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10.2%</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68.4%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9.0%</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70.0%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8.4%</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7.7%</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7.7%</w:t>
            </w:r>
          </w:p>
        </w:tc>
      </w:tr>
      <w:tr w:rsidR="00852276" w:rsidRPr="00355CAC"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Course Level </w:t>
            </w:r>
          </w:p>
        </w:tc>
      </w:tr>
      <w:tr w:rsidR="00852276" w:rsidRPr="00355CAC"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Bachelor's Graduate Entry</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73.2%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10.3%</w:t>
            </w:r>
          </w:p>
        </w:tc>
      </w:tr>
      <w:tr w:rsidR="00852276" w:rsidRPr="00355CAC"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72.4%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9.3%</w:t>
            </w:r>
          </w:p>
        </w:tc>
      </w:tr>
      <w:tr w:rsidR="00852276" w:rsidRPr="00355CAC"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10.2%</w:t>
            </w:r>
          </w:p>
        </w:tc>
      </w:tr>
      <w:tr w:rsidR="00852276" w:rsidRPr="00355CAC"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9.7%</w:t>
            </w:r>
          </w:p>
        </w:tc>
      </w:tr>
      <w:tr w:rsidR="00852276" w:rsidRPr="00355CAC"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67.0%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16.5%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8.6%</w:t>
            </w:r>
          </w:p>
        </w:tc>
      </w:tr>
      <w:tr w:rsidR="00852276" w:rsidRPr="00355CAC"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68.3%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15.3%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9.0%</w:t>
            </w:r>
          </w:p>
        </w:tc>
      </w:tr>
      <w:tr w:rsidR="00852276" w:rsidRPr="00355CAC" w:rsidTr="00A35B56">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Bachelor's Honours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9.9%</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7.3%</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77.8%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8.1%</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77.8%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7.9%</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81.4%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6.3%</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14.4%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6.4%</w:t>
            </w:r>
          </w:p>
        </w:tc>
      </w:tr>
      <w:tr w:rsidR="00852276" w:rsidRPr="00355CAC" w:rsidTr="00A35B56">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Bachelor's Pass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11.0%</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33.7%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10.1%</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44.7%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9.9%</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45.6%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8.9%</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44.9%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35.2%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8.5%</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43.9%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35.6%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9.1%</w:t>
            </w:r>
          </w:p>
        </w:tc>
      </w:tr>
      <w:tr w:rsidR="00852276" w:rsidRPr="00355CAC"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Mode of Attendance </w:t>
            </w:r>
          </w:p>
        </w:tc>
      </w:tr>
      <w:tr w:rsidR="00852276" w:rsidRPr="00355CAC" w:rsidTr="00A35B56">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Internal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9.4%</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48.7%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33.1%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8.6%</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47.8%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8.5%</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48.7%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33.9%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7.6%</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48.0%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7.2%</w:t>
            </w:r>
          </w:p>
        </w:tc>
      </w:tr>
      <w:tr w:rsidR="00852276" w:rsidRPr="00355CAC"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47.0%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35.2%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355CAC" w:rsidRDefault="00852276"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7.7%</w:t>
            </w:r>
          </w:p>
        </w:tc>
      </w:tr>
    </w:tbl>
    <w:p w:rsidR="00852276" w:rsidRDefault="00852276" w:rsidP="00852276"/>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DC013A" w:rsidTr="009E3A04">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Still Enrolled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852276" w:rsidRPr="00DC013A"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Mode of Attendance continued…..</w:t>
            </w:r>
          </w:p>
        </w:tc>
      </w:tr>
      <w:tr w:rsidR="00852276" w:rsidRPr="00DC013A" w:rsidTr="00A35B56">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External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26.2%</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24.9%</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23.3%</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22.5%</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21.4%</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25.9%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22.0%</w:t>
            </w:r>
          </w:p>
        </w:tc>
      </w:tr>
      <w:tr w:rsidR="00852276" w:rsidRPr="00DC013A" w:rsidTr="00A35B56">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Multi-modal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11.2%</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10.1%</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9.4%</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8.4%</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7.9%</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7.4%</w:t>
            </w:r>
          </w:p>
        </w:tc>
      </w:tr>
      <w:tr w:rsidR="00852276" w:rsidRPr="00DC013A"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Type of Attendance </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Full-time</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52.2%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8.1%</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7.4%</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7.3%</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6.5%</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6.1%</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34.3%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6.6%</w:t>
            </w:r>
          </w:p>
        </w:tc>
      </w:tr>
      <w:tr w:rsidR="00852276" w:rsidRPr="00DC013A" w:rsidTr="00A35B56">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Part-time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24.9%</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23.2%</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22.6%</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21.5%</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21.0%</w:t>
            </w:r>
          </w:p>
        </w:tc>
      </w:tr>
      <w:tr w:rsidR="00852276" w:rsidRPr="00DC013A" w:rsidTr="00A35B56">
        <w:trPr>
          <w:trHeight w:val="300"/>
        </w:trPr>
        <w:tc>
          <w:tcPr>
            <w:tcW w:w="2300" w:type="dxa"/>
            <w:vMerge/>
            <w:tcBorders>
              <w:top w:val="nil"/>
              <w:left w:val="single" w:sz="4" w:space="0" w:color="auto"/>
              <w:bottom w:val="single" w:sz="4" w:space="0" w:color="000000"/>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21.8%</w:t>
            </w:r>
          </w:p>
        </w:tc>
      </w:tr>
      <w:tr w:rsidR="00852276" w:rsidRPr="00DC013A"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Gender </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Males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42.4%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11.5%</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42.1%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10.4%</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10.3%</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42.3%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9.1%</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8.6%</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9.2%</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Females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10.6%</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9.7%</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9.6%</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8.8%</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8.4%</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8.9%</w:t>
            </w:r>
          </w:p>
        </w:tc>
      </w:tr>
    </w:tbl>
    <w:p w:rsidR="009E3A04" w:rsidRDefault="009E3A04" w:rsidP="0085227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DC013A" w:rsidTr="009E3A04">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Still Enrolled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852276" w:rsidRPr="00DC013A"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Age </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19 and under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7.2%</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6.5%</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6.5%</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5.6%</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5.4%</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5.8%</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20-24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12.8%</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11.9%</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25.0%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11.5%</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10.8%</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26.0%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9.8%</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26.4%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10.3%</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25 and over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25.2%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15.6%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19.7%</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15.1%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18.4%</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15.3%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18.6%</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17.5%</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16.7%</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17.3%</w:t>
            </w:r>
          </w:p>
        </w:tc>
      </w:tr>
      <w:tr w:rsidR="00852276" w:rsidRPr="00DC013A"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Basis for Admission </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Other basis for admission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13.3%</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12.5%</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12.4%</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11.7%</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11.0%</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11.7%</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Secondary education</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8.2%</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7.3%</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44.9%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7.4%</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6.2%</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5.9%</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44.9%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6.3%</w:t>
            </w:r>
          </w:p>
        </w:tc>
      </w:tr>
      <w:tr w:rsidR="00852276" w:rsidRPr="00DC013A"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roofErr w:type="spellStart"/>
            <w:r w:rsidRPr="00DC013A">
              <w:rPr>
                <w:rFonts w:ascii="Calibri" w:eastAsia="Times New Roman" w:hAnsi="Calibri" w:cs="Calibri"/>
                <w:b/>
                <w:bCs/>
                <w:color w:val="000000"/>
                <w:sz w:val="20"/>
                <w:szCs w:val="20"/>
                <w:lang w:eastAsia="en-AU"/>
              </w:rPr>
              <w:t>ATAR</w:t>
            </w:r>
            <w:proofErr w:type="spellEnd"/>
            <w:r w:rsidRPr="00DC013A">
              <w:rPr>
                <w:rFonts w:ascii="Calibri" w:eastAsia="Times New Roman" w:hAnsi="Calibri" w:cs="Calibri"/>
                <w:b/>
                <w:bCs/>
                <w:color w:val="000000"/>
                <w:sz w:val="20"/>
                <w:szCs w:val="20"/>
                <w:lang w:eastAsia="en-AU"/>
              </w:rPr>
              <w:t xml:space="preserve"> </w:t>
            </w:r>
            <w:r>
              <w:rPr>
                <w:rFonts w:ascii="Calibri" w:eastAsia="Times New Roman" w:hAnsi="Calibri" w:cs="Calibri"/>
                <w:b/>
                <w:bCs/>
                <w:color w:val="000000"/>
                <w:sz w:val="20"/>
                <w:szCs w:val="20"/>
                <w:lang w:eastAsia="en-AU"/>
              </w:rPr>
              <w:t>(for school leavers)</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30-49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21.5%</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19.9%</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26.3%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17.8%</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17.8%</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34.2%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14.1%</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20.8%</w:t>
            </w:r>
          </w:p>
        </w:tc>
      </w:tr>
    </w:tbl>
    <w:p w:rsidR="009E3A04" w:rsidRDefault="009E3A04" w:rsidP="0085227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DC013A" w:rsidTr="009E3A04">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Still Enrolled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852276" w:rsidRPr="00DC013A"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roofErr w:type="spellStart"/>
            <w:r w:rsidRPr="00DC013A">
              <w:rPr>
                <w:rFonts w:ascii="Calibri" w:eastAsia="Times New Roman" w:hAnsi="Calibri" w:cs="Calibri"/>
                <w:b/>
                <w:bCs/>
                <w:color w:val="000000"/>
                <w:sz w:val="20"/>
                <w:szCs w:val="20"/>
                <w:lang w:eastAsia="en-AU"/>
              </w:rPr>
              <w:t>ATAR</w:t>
            </w:r>
            <w:proofErr w:type="spellEnd"/>
            <w:r w:rsidRPr="00DC013A">
              <w:rPr>
                <w:rFonts w:ascii="Calibri" w:eastAsia="Times New Roman" w:hAnsi="Calibri" w:cs="Calibri"/>
                <w:b/>
                <w:bCs/>
                <w:color w:val="000000"/>
                <w:sz w:val="20"/>
                <w:szCs w:val="20"/>
                <w:lang w:eastAsia="en-AU"/>
              </w:rPr>
              <w:t xml:space="preserve"> continued…..</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50-59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30.3%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20.6%</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19.6%</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15.2%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19.2%</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15.7%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16.5%</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13.7%</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14.4%</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60-69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14.2%</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13.0%</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13.8%</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11.8%</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11.5%</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11.5%</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70-79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43.2%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10.1%</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8.2%</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43.5%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8.4%</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7.0%</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43.7%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6.3%</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7.6%</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80-89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5.6%</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90-94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3.0%</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42.2%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54.0%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52.0%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52.0%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w:t>
            </w:r>
          </w:p>
        </w:tc>
      </w:tr>
      <w:tr w:rsidR="00852276" w:rsidRPr="00DC013A"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95-100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0.8%</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w:t>
            </w:r>
          </w:p>
        </w:tc>
      </w:tr>
      <w:tr w:rsidR="00852276" w:rsidRPr="00DC013A"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DC013A" w:rsidRDefault="00852276"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w:t>
            </w:r>
          </w:p>
        </w:tc>
      </w:tr>
    </w:tbl>
    <w:p w:rsidR="009E3A04" w:rsidRDefault="009E3A04" w:rsidP="0085227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614E35" w:rsidTr="009E3A04">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Still Enrolled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roofErr w:type="spellStart"/>
            <w:r w:rsidRPr="00614E35">
              <w:rPr>
                <w:rFonts w:ascii="Calibri" w:eastAsia="Times New Roman" w:hAnsi="Calibri" w:cs="Calibri"/>
                <w:b/>
                <w:bCs/>
                <w:color w:val="000000"/>
                <w:sz w:val="20"/>
                <w:szCs w:val="20"/>
                <w:lang w:eastAsia="en-AU"/>
              </w:rPr>
              <w:t>ATAR</w:t>
            </w:r>
            <w:proofErr w:type="spellEnd"/>
            <w:r w:rsidRPr="00614E35">
              <w:rPr>
                <w:rFonts w:ascii="Calibri" w:eastAsia="Times New Roman" w:hAnsi="Calibri" w:cs="Calibri"/>
                <w:b/>
                <w:bCs/>
                <w:color w:val="000000"/>
                <w:sz w:val="20"/>
                <w:szCs w:val="20"/>
                <w:lang w:eastAsia="en-AU"/>
              </w:rPr>
              <w:t xml:space="preserve"> continued…..</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roofErr w:type="spellStart"/>
            <w:r w:rsidRPr="00614E35">
              <w:rPr>
                <w:rFonts w:ascii="Calibri" w:eastAsia="Times New Roman" w:hAnsi="Calibri" w:cs="Calibri"/>
                <w:b/>
                <w:bCs/>
                <w:color w:val="000000"/>
                <w:sz w:val="20"/>
                <w:szCs w:val="20"/>
                <w:lang w:eastAsia="en-AU"/>
              </w:rPr>
              <w:t>ATAR</w:t>
            </w:r>
            <w:proofErr w:type="spellEnd"/>
            <w:r w:rsidRPr="00614E35">
              <w:rPr>
                <w:rFonts w:ascii="Calibri" w:eastAsia="Times New Roman" w:hAnsi="Calibri" w:cs="Calibri"/>
                <w:b/>
                <w:bCs/>
                <w:color w:val="000000"/>
                <w:sz w:val="20"/>
                <w:szCs w:val="20"/>
                <w:lang w:eastAsia="en-AU"/>
              </w:rPr>
              <w:t xml:space="preserve"> not provided or not required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10.7%</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Enabling Indicator </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Prior enabling course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12.0%</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No prior enabling course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Indigenous Indicator </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Indigenous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18.3%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25.7%</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19.6%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21.7%</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26.9%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18.4%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22.9%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19.9%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20.8%</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Not Indigenous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9.7%</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9.7%</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8.7%</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8.8%</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roofErr w:type="spellStart"/>
            <w:r w:rsidRPr="00614E35">
              <w:rPr>
                <w:rFonts w:ascii="Calibri" w:eastAsia="Times New Roman" w:hAnsi="Calibri" w:cs="Calibri"/>
                <w:b/>
                <w:bCs/>
                <w:color w:val="000000"/>
                <w:sz w:val="20"/>
                <w:szCs w:val="20"/>
                <w:lang w:eastAsia="en-AU"/>
              </w:rPr>
              <w:t>NESB</w:t>
            </w:r>
            <w:proofErr w:type="spellEnd"/>
            <w:r w:rsidRPr="00614E35">
              <w:rPr>
                <w:rFonts w:ascii="Calibri" w:eastAsia="Times New Roman" w:hAnsi="Calibri" w:cs="Calibri"/>
                <w:b/>
                <w:bCs/>
                <w:color w:val="000000"/>
                <w:sz w:val="20"/>
                <w:szCs w:val="20"/>
                <w:lang w:eastAsia="en-AU"/>
              </w:rPr>
              <w:t xml:space="preserve"> Indicator </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Person from non-English speaking background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49.2%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5.7%</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6.8%</w:t>
            </w:r>
          </w:p>
        </w:tc>
      </w:tr>
    </w:tbl>
    <w:p w:rsidR="009E3A04" w:rsidRDefault="009E3A04" w:rsidP="0085227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614E35" w:rsidTr="009E4598">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Still Enrolled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roofErr w:type="spellStart"/>
            <w:r w:rsidRPr="00614E35">
              <w:rPr>
                <w:rFonts w:ascii="Calibri" w:eastAsia="Times New Roman" w:hAnsi="Calibri" w:cs="Calibri"/>
                <w:b/>
                <w:bCs/>
                <w:color w:val="000000"/>
                <w:sz w:val="20"/>
                <w:szCs w:val="20"/>
                <w:lang w:eastAsia="en-AU"/>
              </w:rPr>
              <w:t>NESB</w:t>
            </w:r>
            <w:proofErr w:type="spellEnd"/>
            <w:r w:rsidRPr="00614E35">
              <w:rPr>
                <w:rFonts w:ascii="Calibri" w:eastAsia="Times New Roman" w:hAnsi="Calibri" w:cs="Calibri"/>
                <w:b/>
                <w:bCs/>
                <w:color w:val="000000"/>
                <w:sz w:val="20"/>
                <w:szCs w:val="20"/>
                <w:lang w:eastAsia="en-AU"/>
              </w:rPr>
              <w:t xml:space="preserve"> Indicator continued……</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Not from non-English speaking background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Socio-Economic Status </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Low SES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42.8%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10.4%</w:t>
            </w:r>
          </w:p>
        </w:tc>
      </w:tr>
      <w:tr w:rsidR="00852276" w:rsidRPr="00614E35" w:rsidTr="00A35B56">
        <w:trPr>
          <w:trHeight w:val="345"/>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41.8%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Medium SES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11.5%</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High SES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9.0%</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7.1%</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5E3F01">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Regional Classification (</w:t>
            </w:r>
            <w:proofErr w:type="spellStart"/>
            <w:r w:rsidRPr="00614E35">
              <w:rPr>
                <w:rFonts w:ascii="Calibri" w:eastAsia="Times New Roman" w:hAnsi="Calibri" w:cs="Calibri"/>
                <w:b/>
                <w:bCs/>
                <w:color w:val="000000"/>
                <w:sz w:val="20"/>
                <w:szCs w:val="20"/>
                <w:lang w:eastAsia="en-AU"/>
              </w:rPr>
              <w:t>M</w:t>
            </w:r>
            <w:r w:rsidR="005E3F01">
              <w:rPr>
                <w:rFonts w:ascii="Calibri" w:eastAsia="Times New Roman" w:hAnsi="Calibri" w:cs="Calibri"/>
                <w:b/>
                <w:bCs/>
                <w:color w:val="000000"/>
                <w:sz w:val="20"/>
                <w:szCs w:val="20"/>
                <w:lang w:eastAsia="en-AU"/>
              </w:rPr>
              <w:t>C</w:t>
            </w:r>
            <w:r w:rsidRPr="00614E35">
              <w:rPr>
                <w:rFonts w:ascii="Calibri" w:eastAsia="Times New Roman" w:hAnsi="Calibri" w:cs="Calibri"/>
                <w:b/>
                <w:bCs/>
                <w:color w:val="000000"/>
                <w:sz w:val="20"/>
                <w:szCs w:val="20"/>
                <w:lang w:eastAsia="en-AU"/>
              </w:rPr>
              <w:t>EETYA</w:t>
            </w:r>
            <w:proofErr w:type="spellEnd"/>
            <w:r w:rsidRPr="00614E35">
              <w:rPr>
                <w:rFonts w:ascii="Calibri" w:eastAsia="Times New Roman" w:hAnsi="Calibri" w:cs="Calibri"/>
                <w:b/>
                <w:bCs/>
                <w:color w:val="000000"/>
                <w:sz w:val="20"/>
                <w:szCs w:val="20"/>
                <w:lang w:eastAsia="en-AU"/>
              </w:rPr>
              <w:t xml:space="preserve">) </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Metro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8.5%</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Regional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r>
    </w:tbl>
    <w:p w:rsidR="009E4598" w:rsidRDefault="009E4598" w:rsidP="00852276">
      <w:r>
        <w:br w:type="page"/>
      </w:r>
    </w:p>
    <w:tbl>
      <w:tblPr>
        <w:tblW w:w="5000" w:type="pct"/>
        <w:tblLook w:val="04A0" w:firstRow="1" w:lastRow="0" w:firstColumn="1" w:lastColumn="0" w:noHBand="0" w:noVBand="1"/>
      </w:tblPr>
      <w:tblGrid>
        <w:gridCol w:w="2299"/>
        <w:gridCol w:w="957"/>
        <w:gridCol w:w="1497"/>
        <w:gridCol w:w="1497"/>
        <w:gridCol w:w="1497"/>
        <w:gridCol w:w="1495"/>
      </w:tblGrid>
      <w:tr w:rsidR="00852276" w:rsidRPr="00614E35" w:rsidTr="009E4598">
        <w:trPr>
          <w:trHeight w:val="1200"/>
          <w:tblHeader/>
        </w:trPr>
        <w:tc>
          <w:tcPr>
            <w:tcW w:w="1243" w:type="pct"/>
            <w:tcBorders>
              <w:top w:val="single" w:sz="4" w:space="0" w:color="auto"/>
              <w:left w:val="single" w:sz="4" w:space="0" w:color="auto"/>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518" w:type="pct"/>
            <w:tcBorders>
              <w:top w:val="single" w:sz="4" w:space="0" w:color="auto"/>
              <w:left w:val="nil"/>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810" w:type="pct"/>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810" w:type="pct"/>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Still Enrolled at the end of the 4 year cohort period</w:t>
            </w:r>
          </w:p>
        </w:tc>
        <w:tc>
          <w:tcPr>
            <w:tcW w:w="810" w:type="pct"/>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 but dropped out</w:t>
            </w:r>
          </w:p>
        </w:tc>
        <w:tc>
          <w:tcPr>
            <w:tcW w:w="810" w:type="pct"/>
            <w:tcBorders>
              <w:top w:val="single" w:sz="4" w:space="0" w:color="auto"/>
              <w:left w:val="nil"/>
              <w:bottom w:val="single" w:sz="4" w:space="0" w:color="auto"/>
              <w:right w:val="single" w:sz="4" w:space="0" w:color="auto"/>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852276" w:rsidRPr="00614E35" w:rsidTr="00376D20">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E43AF0" w:rsidP="00A35B56">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Regional Classification (</w:t>
            </w:r>
            <w:proofErr w:type="spellStart"/>
            <w:r>
              <w:rPr>
                <w:rFonts w:ascii="Calibri" w:eastAsia="Times New Roman" w:hAnsi="Calibri" w:cs="Calibri"/>
                <w:b/>
                <w:bCs/>
                <w:color w:val="000000"/>
                <w:sz w:val="20"/>
                <w:szCs w:val="20"/>
                <w:lang w:eastAsia="en-AU"/>
              </w:rPr>
              <w:t>MC</w:t>
            </w:r>
            <w:r w:rsidR="00852276" w:rsidRPr="00614E35">
              <w:rPr>
                <w:rFonts w:ascii="Calibri" w:eastAsia="Times New Roman" w:hAnsi="Calibri" w:cs="Calibri"/>
                <w:b/>
                <w:bCs/>
                <w:color w:val="000000"/>
                <w:sz w:val="20"/>
                <w:szCs w:val="20"/>
                <w:lang w:eastAsia="en-AU"/>
              </w:rPr>
              <w:t>EETYA</w:t>
            </w:r>
            <w:proofErr w:type="spellEnd"/>
            <w:r w:rsidR="00852276" w:rsidRPr="00614E35">
              <w:rPr>
                <w:rFonts w:ascii="Calibri" w:eastAsia="Times New Roman" w:hAnsi="Calibri" w:cs="Calibri"/>
                <w:b/>
                <w:bCs/>
                <w:color w:val="000000"/>
                <w:sz w:val="20"/>
                <w:szCs w:val="20"/>
                <w:lang w:eastAsia="en-AU"/>
              </w:rPr>
              <w:t>) continued…..</w:t>
            </w:r>
          </w:p>
        </w:tc>
      </w:tr>
      <w:tr w:rsidR="00852276" w:rsidRPr="00614E35" w:rsidTr="009E4598">
        <w:trPr>
          <w:trHeight w:val="300"/>
        </w:trPr>
        <w:tc>
          <w:tcPr>
            <w:tcW w:w="1243" w:type="pct"/>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Remote </w:t>
            </w: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19.0%</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36.4%</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18.2%</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16.2%</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34.3%</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17.8%</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15.4%</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15.1%</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35.2%</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16.1%</w:t>
            </w:r>
          </w:p>
        </w:tc>
      </w:tr>
      <w:tr w:rsidR="00852276" w:rsidRPr="00614E35" w:rsidTr="00376D20">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Liability Category </w:t>
            </w:r>
          </w:p>
        </w:tc>
      </w:tr>
      <w:tr w:rsidR="00852276" w:rsidRPr="00614E35" w:rsidTr="009E4598">
        <w:trPr>
          <w:trHeight w:val="300"/>
        </w:trPr>
        <w:tc>
          <w:tcPr>
            <w:tcW w:w="1243" w:type="pct"/>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Commonwealth Supported students </w:t>
            </w: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47.2%</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30.3%</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10.4%</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9.9%</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34.4%</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8.5%</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9.0%</w:t>
            </w:r>
          </w:p>
        </w:tc>
      </w:tr>
      <w:tr w:rsidR="00852276" w:rsidRPr="00614E35" w:rsidTr="009E4598">
        <w:trPr>
          <w:trHeight w:val="300"/>
        </w:trPr>
        <w:tc>
          <w:tcPr>
            <w:tcW w:w="1243" w:type="pct"/>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Fee-Paying students </w:t>
            </w: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51.3%</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24.4%</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11.6%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12.7%</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52.9%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28.9%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10.0%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8.3%</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49.1%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31.2%</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10.9%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2558E3" w:rsidRDefault="00852276" w:rsidP="00A35B56">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8.7%</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49.5%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9.0%</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60.8%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18.5%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9.0%</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65.3%</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13.2%</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10.7%</w:t>
            </w:r>
          </w:p>
        </w:tc>
      </w:tr>
      <w:tr w:rsidR="00852276" w:rsidRPr="00614E35" w:rsidTr="00376D20">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Broad Field of Education </w:t>
            </w:r>
          </w:p>
        </w:tc>
      </w:tr>
      <w:tr w:rsidR="00852276" w:rsidRPr="00614E35" w:rsidTr="009E4598">
        <w:trPr>
          <w:trHeight w:val="300"/>
        </w:trPr>
        <w:tc>
          <w:tcPr>
            <w:tcW w:w="1243" w:type="pct"/>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Natural and Physical Sciences </w:t>
            </w: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47.3%</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8.1%</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6.8%</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7.0%</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47.4%</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9.4%</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6.1%</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36.2%</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9.3%</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5.7%</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37.4%</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5.9%</w:t>
            </w:r>
          </w:p>
        </w:tc>
      </w:tr>
      <w:tr w:rsidR="00852276" w:rsidRPr="00614E35" w:rsidTr="009E4598">
        <w:trPr>
          <w:trHeight w:val="300"/>
        </w:trPr>
        <w:tc>
          <w:tcPr>
            <w:tcW w:w="1243" w:type="pct"/>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Information Technology </w:t>
            </w: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14.1%</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15.3%</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13.9%</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14.2%</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13.1%</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12.5%</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15.1%</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14.4%</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r>
      <w:tr w:rsidR="00852276" w:rsidRPr="00614E35" w:rsidTr="009E4598">
        <w:trPr>
          <w:trHeight w:val="300"/>
        </w:trPr>
        <w:tc>
          <w:tcPr>
            <w:tcW w:w="1243" w:type="pct"/>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Engineering and Related Technologies </w:t>
            </w: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26.2%</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55.3%</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7.7%</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58.8%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9.4%</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6.3%</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24.9%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59.8%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9.3%</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6.0%</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25.7%</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58.6%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10.2%</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59.2%</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5.4%</w:t>
            </w:r>
          </w:p>
        </w:tc>
      </w:tr>
      <w:tr w:rsidR="00852276" w:rsidRPr="00614E35" w:rsidTr="009E4598">
        <w:trPr>
          <w:trHeight w:val="300"/>
        </w:trPr>
        <w:tc>
          <w:tcPr>
            <w:tcW w:w="1243" w:type="pct"/>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25.0%</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59.6%</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9.8%</w:t>
            </w:r>
          </w:p>
        </w:tc>
        <w:tc>
          <w:tcPr>
            <w:tcW w:w="810" w:type="pct"/>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5.6%</w:t>
            </w:r>
          </w:p>
        </w:tc>
      </w:tr>
    </w:tbl>
    <w:p w:rsidR="009E4598" w:rsidRDefault="009E4598" w:rsidP="0085227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614E35" w:rsidTr="009E4598">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Still Enrolled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Broad Field of Education continued…….</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Architecture and Building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50.0%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8.1%</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Agriculture, Environmental &amp; Related Studies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42.8%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14.5%</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42.0%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Health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59.0%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24.2%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58.1%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26.2%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7.7%</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54.8%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7.4%</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Education</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21.8%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53.1%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24.8%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51.4%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49.0%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11.5%</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42.9%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Management and Commerce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10.1%</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8.0%</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8.5%</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Society and Culture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40.1%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9.7%</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9.7%</w:t>
            </w:r>
          </w:p>
        </w:tc>
      </w:tr>
    </w:tbl>
    <w:p w:rsidR="009E4598" w:rsidRDefault="009E4598" w:rsidP="0085227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614E35" w:rsidTr="009E4598">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Still Enrolled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Broad Field of Education continued…….</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Creative Arts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53.6%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24.2%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53.5%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53.3%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53.2%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52.0%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8.8%</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Food, Hospitality and Personal Services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80.0%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8.0%</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58.8%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0.0%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0.0%</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61.9%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14.3%</w:t>
            </w:r>
          </w:p>
        </w:tc>
      </w:tr>
      <w:tr w:rsidR="00852276" w:rsidRPr="00614E35" w:rsidTr="004274B9">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16.7%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22.2%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5.6%</w:t>
            </w:r>
          </w:p>
        </w:tc>
      </w:tr>
      <w:tr w:rsidR="00852276" w:rsidRPr="00614E35" w:rsidTr="004274B9">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4274B9" w:rsidRDefault="00852276" w:rsidP="00A35B56">
            <w:pPr>
              <w:spacing w:after="0" w:line="240" w:lineRule="auto"/>
              <w:jc w:val="center"/>
              <w:rPr>
                <w:rFonts w:ascii="Calibri" w:eastAsia="Times New Roman" w:hAnsi="Calibri" w:cs="Calibri"/>
                <w:color w:val="000000"/>
                <w:sz w:val="20"/>
                <w:szCs w:val="20"/>
                <w:lang w:eastAsia="en-AU"/>
              </w:rPr>
            </w:pPr>
            <w:r w:rsidRPr="004274B9">
              <w:rPr>
                <w:rFonts w:ascii="Calibri" w:eastAsia="Times New Roman" w:hAnsi="Calibri" w:cs="Calibri"/>
                <w:color w:val="000000"/>
                <w:sz w:val="20"/>
                <w:szCs w:val="20"/>
                <w:lang w:eastAsia="en-AU"/>
              </w:rPr>
              <w:t>2010</w:t>
            </w:r>
            <w:r w:rsidR="004274B9">
              <w:rPr>
                <w:rFonts w:ascii="Calibri" w:eastAsia="Times New Roman" w:hAnsi="Calibri" w:cs="Calibri"/>
                <w:color w:val="000000"/>
                <w:sz w:val="20"/>
                <w:szCs w:val="20"/>
                <w:lang w:eastAsia="en-AU"/>
              </w:rPr>
              <w:t>*</w:t>
            </w:r>
          </w:p>
        </w:tc>
        <w:tc>
          <w:tcPr>
            <w:tcW w:w="1500" w:type="dxa"/>
            <w:tcBorders>
              <w:top w:val="single" w:sz="4" w:space="0" w:color="auto"/>
              <w:left w:val="nil"/>
              <w:bottom w:val="single" w:sz="4" w:space="0" w:color="auto"/>
              <w:right w:val="single" w:sz="4" w:space="0" w:color="auto"/>
            </w:tcBorders>
            <w:shd w:val="clear" w:color="000000" w:fill="auto"/>
            <w:noWrap/>
            <w:vAlign w:val="center"/>
            <w:hideMark/>
          </w:tcPr>
          <w:p w:rsidR="00852276" w:rsidRPr="004274B9" w:rsidRDefault="00852276" w:rsidP="00A35B56">
            <w:pPr>
              <w:spacing w:after="0" w:line="240" w:lineRule="auto"/>
              <w:jc w:val="center"/>
              <w:rPr>
                <w:rFonts w:ascii="Calibri" w:eastAsia="Times New Roman" w:hAnsi="Calibri" w:cs="Calibri"/>
                <w:color w:val="000000"/>
                <w:sz w:val="20"/>
                <w:szCs w:val="20"/>
                <w:lang w:eastAsia="en-AU"/>
              </w:rPr>
            </w:pPr>
            <w:r w:rsidRPr="004274B9">
              <w:rPr>
                <w:rFonts w:ascii="Calibri" w:eastAsia="Times New Roman" w:hAnsi="Calibri" w:cs="Calibri"/>
                <w:color w:val="000000"/>
                <w:sz w:val="20"/>
                <w:szCs w:val="20"/>
                <w:lang w:eastAsia="en-AU"/>
              </w:rPr>
              <w:t> </w:t>
            </w:r>
            <w:r w:rsidR="004274B9" w:rsidRPr="004274B9">
              <w:rPr>
                <w:rFonts w:ascii="Calibri" w:eastAsia="Times New Roman" w:hAnsi="Calibri" w:cs="Calibri"/>
                <w:color w:val="000000"/>
                <w:sz w:val="20"/>
                <w:szCs w:val="20"/>
                <w:lang w:eastAsia="en-AU"/>
              </w:rPr>
              <w:t>-</w:t>
            </w:r>
          </w:p>
        </w:tc>
        <w:tc>
          <w:tcPr>
            <w:tcW w:w="1500" w:type="dxa"/>
            <w:tcBorders>
              <w:top w:val="single" w:sz="4" w:space="0" w:color="auto"/>
              <w:left w:val="nil"/>
              <w:bottom w:val="single" w:sz="4" w:space="0" w:color="auto"/>
              <w:right w:val="single" w:sz="4" w:space="0" w:color="auto"/>
            </w:tcBorders>
            <w:shd w:val="clear" w:color="000000" w:fill="auto"/>
            <w:noWrap/>
            <w:vAlign w:val="center"/>
            <w:hideMark/>
          </w:tcPr>
          <w:p w:rsidR="00852276" w:rsidRPr="004274B9" w:rsidRDefault="004274B9" w:rsidP="00A35B56">
            <w:pPr>
              <w:spacing w:after="0" w:line="240" w:lineRule="auto"/>
              <w:jc w:val="center"/>
              <w:rPr>
                <w:rFonts w:ascii="Calibri" w:eastAsia="Times New Roman" w:hAnsi="Calibri" w:cs="Calibri"/>
                <w:color w:val="000000"/>
                <w:sz w:val="20"/>
                <w:szCs w:val="20"/>
                <w:lang w:eastAsia="en-AU"/>
              </w:rPr>
            </w:pPr>
            <w:r w:rsidRPr="004274B9">
              <w:rPr>
                <w:rFonts w:ascii="Calibri" w:eastAsia="Times New Roman" w:hAnsi="Calibri" w:cs="Calibri"/>
                <w:color w:val="000000"/>
                <w:sz w:val="20"/>
                <w:szCs w:val="20"/>
                <w:lang w:eastAsia="en-AU"/>
              </w:rPr>
              <w:t>-</w:t>
            </w:r>
            <w:r w:rsidR="00852276" w:rsidRPr="004274B9">
              <w:rPr>
                <w:rFonts w:ascii="Calibri" w:eastAsia="Times New Roman" w:hAnsi="Calibri" w:cs="Calibri"/>
                <w:color w:val="000000"/>
                <w:sz w:val="20"/>
                <w:szCs w:val="20"/>
                <w:lang w:eastAsia="en-AU"/>
              </w:rPr>
              <w:t> </w:t>
            </w:r>
          </w:p>
        </w:tc>
        <w:tc>
          <w:tcPr>
            <w:tcW w:w="1500" w:type="dxa"/>
            <w:tcBorders>
              <w:top w:val="single" w:sz="4" w:space="0" w:color="auto"/>
              <w:left w:val="nil"/>
              <w:bottom w:val="single" w:sz="4" w:space="0" w:color="auto"/>
              <w:right w:val="single" w:sz="4" w:space="0" w:color="auto"/>
            </w:tcBorders>
            <w:shd w:val="clear" w:color="000000" w:fill="auto"/>
            <w:noWrap/>
            <w:vAlign w:val="center"/>
            <w:hideMark/>
          </w:tcPr>
          <w:p w:rsidR="00852276" w:rsidRPr="004274B9" w:rsidRDefault="004274B9" w:rsidP="00A35B56">
            <w:pPr>
              <w:spacing w:after="0" w:line="240" w:lineRule="auto"/>
              <w:jc w:val="center"/>
              <w:rPr>
                <w:rFonts w:ascii="Calibri" w:eastAsia="Times New Roman" w:hAnsi="Calibri" w:cs="Calibri"/>
                <w:color w:val="000000"/>
                <w:sz w:val="20"/>
                <w:szCs w:val="20"/>
                <w:lang w:eastAsia="en-AU"/>
              </w:rPr>
            </w:pPr>
            <w:r w:rsidRPr="004274B9">
              <w:rPr>
                <w:rFonts w:ascii="Calibri" w:eastAsia="Times New Roman" w:hAnsi="Calibri" w:cs="Calibri"/>
                <w:color w:val="000000"/>
                <w:sz w:val="20"/>
                <w:szCs w:val="20"/>
                <w:lang w:eastAsia="en-AU"/>
              </w:rPr>
              <w:t>-</w:t>
            </w:r>
            <w:r w:rsidR="00852276" w:rsidRPr="004274B9">
              <w:rPr>
                <w:rFonts w:ascii="Calibri" w:eastAsia="Times New Roman" w:hAnsi="Calibri" w:cs="Calibri"/>
                <w:color w:val="000000"/>
                <w:sz w:val="20"/>
                <w:szCs w:val="20"/>
                <w:lang w:eastAsia="en-AU"/>
              </w:rPr>
              <w:t> </w:t>
            </w:r>
          </w:p>
        </w:tc>
        <w:tc>
          <w:tcPr>
            <w:tcW w:w="1500" w:type="dxa"/>
            <w:tcBorders>
              <w:top w:val="single" w:sz="4" w:space="0" w:color="auto"/>
              <w:left w:val="nil"/>
              <w:bottom w:val="single" w:sz="4" w:space="0" w:color="auto"/>
              <w:right w:val="single" w:sz="4" w:space="0" w:color="auto"/>
            </w:tcBorders>
            <w:shd w:val="clear" w:color="000000" w:fill="auto"/>
            <w:noWrap/>
            <w:vAlign w:val="center"/>
            <w:hideMark/>
          </w:tcPr>
          <w:p w:rsidR="00852276" w:rsidRPr="004274B9" w:rsidRDefault="004274B9" w:rsidP="00A35B56">
            <w:pPr>
              <w:spacing w:after="0" w:line="240" w:lineRule="auto"/>
              <w:jc w:val="center"/>
              <w:rPr>
                <w:rFonts w:ascii="Calibri" w:eastAsia="Times New Roman" w:hAnsi="Calibri" w:cs="Calibri"/>
                <w:color w:val="000000"/>
                <w:sz w:val="20"/>
                <w:szCs w:val="20"/>
                <w:lang w:eastAsia="en-AU"/>
              </w:rPr>
            </w:pPr>
            <w:r w:rsidRPr="004274B9">
              <w:rPr>
                <w:rFonts w:ascii="Calibri" w:eastAsia="Times New Roman" w:hAnsi="Calibri" w:cs="Calibri"/>
                <w:color w:val="000000"/>
                <w:sz w:val="20"/>
                <w:szCs w:val="20"/>
                <w:lang w:eastAsia="en-AU"/>
              </w:rPr>
              <w:t>-</w:t>
            </w:r>
            <w:r w:rsidR="00852276" w:rsidRPr="004274B9">
              <w:rPr>
                <w:rFonts w:ascii="Calibri" w:eastAsia="Times New Roman" w:hAnsi="Calibri" w:cs="Calibri"/>
                <w:color w:val="000000"/>
                <w:sz w:val="20"/>
                <w:szCs w:val="20"/>
                <w:lang w:eastAsia="en-AU"/>
              </w:rPr>
              <w:t> </w:t>
            </w:r>
          </w:p>
        </w:tc>
      </w:tr>
    </w:tbl>
    <w:p w:rsidR="00852276" w:rsidRPr="004274B9" w:rsidRDefault="004274B9" w:rsidP="004274B9">
      <w:pPr>
        <w:rPr>
          <w:sz w:val="20"/>
          <w:szCs w:val="20"/>
        </w:rPr>
        <w:sectPr w:rsidR="00852276" w:rsidRPr="004274B9" w:rsidSect="00B0569E">
          <w:pgSz w:w="11906" w:h="16838"/>
          <w:pgMar w:top="1248" w:right="1440" w:bottom="993" w:left="1440" w:header="708" w:footer="1011" w:gutter="0"/>
          <w:cols w:space="708"/>
          <w:docGrid w:linePitch="360"/>
        </w:sectPr>
      </w:pPr>
      <w:r w:rsidRPr="004274B9">
        <w:rPr>
          <w:sz w:val="20"/>
          <w:szCs w:val="20"/>
        </w:rPr>
        <w:t xml:space="preserve">* </w:t>
      </w:r>
      <w:r w:rsidR="00BE219F" w:rsidRPr="004274B9">
        <w:rPr>
          <w:sz w:val="20"/>
          <w:szCs w:val="20"/>
        </w:rPr>
        <w:t>There were no</w:t>
      </w:r>
      <w:r w:rsidR="00BE219F">
        <w:rPr>
          <w:sz w:val="20"/>
          <w:szCs w:val="20"/>
        </w:rPr>
        <w:t xml:space="preserve"> students studying </w:t>
      </w:r>
      <w:r w:rsidR="00BE219F" w:rsidRPr="004274B9">
        <w:rPr>
          <w:sz w:val="20"/>
          <w:szCs w:val="20"/>
        </w:rPr>
        <w:t>Food, Hospitality and Personal Services</w:t>
      </w:r>
      <w:r w:rsidR="00BE219F">
        <w:rPr>
          <w:sz w:val="20"/>
          <w:szCs w:val="20"/>
        </w:rPr>
        <w:t xml:space="preserve"> at Table </w:t>
      </w:r>
      <w:proofErr w:type="gramStart"/>
      <w:r w:rsidR="00BE219F">
        <w:rPr>
          <w:sz w:val="20"/>
          <w:szCs w:val="20"/>
        </w:rPr>
        <w:t>A</w:t>
      </w:r>
      <w:proofErr w:type="gramEnd"/>
      <w:r w:rsidR="00BE219F">
        <w:rPr>
          <w:sz w:val="20"/>
          <w:szCs w:val="20"/>
        </w:rPr>
        <w:t xml:space="preserve"> universities in 2010</w:t>
      </w:r>
      <w:r w:rsidR="00BE219F">
        <w:t>.</w:t>
      </w:r>
    </w:p>
    <w:p w:rsidR="00852276" w:rsidRDefault="00852276" w:rsidP="00852276"/>
    <w:p w:rsidR="00852276" w:rsidRDefault="00852276" w:rsidP="00852276">
      <w:r>
        <w:rPr>
          <w:noProof/>
          <w:lang w:eastAsia="en-AU"/>
        </w:rPr>
        <w:drawing>
          <wp:inline distT="0" distB="0" distL="0" distR="0" wp14:anchorId="7998147C">
            <wp:extent cx="8761863" cy="13037562"/>
            <wp:effectExtent l="0" t="0" r="1270" b="0"/>
            <wp:docPr id="8" name="Picture 8" descr="Chart 4. Graphical representation of data in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77672" cy="13061085"/>
                    </a:xfrm>
                    <a:prstGeom prst="rect">
                      <a:avLst/>
                    </a:prstGeom>
                    <a:noFill/>
                  </pic:spPr>
                </pic:pic>
              </a:graphicData>
            </a:graphic>
          </wp:inline>
        </w:drawing>
      </w:r>
    </w:p>
    <w:p w:rsidR="00852276" w:rsidRDefault="00852276" w:rsidP="00852276">
      <w:r>
        <w:rPr>
          <w:noProof/>
          <w:lang w:eastAsia="en-AU"/>
        </w:rPr>
        <w:lastRenderedPageBreak/>
        <w:drawing>
          <wp:inline distT="0" distB="0" distL="0" distR="0" wp14:anchorId="2D114814">
            <wp:extent cx="8830101" cy="13358304"/>
            <wp:effectExtent l="0" t="0" r="9525" b="0"/>
            <wp:docPr id="11" name="Picture 11" descr="Chart 4 continued- Graphical representation of data in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55439" cy="13396636"/>
                    </a:xfrm>
                    <a:prstGeom prst="rect">
                      <a:avLst/>
                    </a:prstGeom>
                    <a:noFill/>
                  </pic:spPr>
                </pic:pic>
              </a:graphicData>
            </a:graphic>
          </wp:inline>
        </w:drawing>
      </w:r>
    </w:p>
    <w:p w:rsidR="00852276" w:rsidRDefault="00852276" w:rsidP="00852276"/>
    <w:p w:rsidR="00852276" w:rsidRDefault="00A87644" w:rsidP="00852276">
      <w:r>
        <w:rPr>
          <w:noProof/>
          <w:lang w:eastAsia="en-AU"/>
        </w:rPr>
        <w:drawing>
          <wp:inline distT="0" distB="0" distL="0" distR="0" wp14:anchorId="052B5B52">
            <wp:extent cx="8781691" cy="13168757"/>
            <wp:effectExtent l="0" t="0" r="635" b="0"/>
            <wp:docPr id="27" name="Picture 27" descr="Chart 4 continued- Graphical representation of data in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95180" cy="13188984"/>
                    </a:xfrm>
                    <a:prstGeom prst="rect">
                      <a:avLst/>
                    </a:prstGeom>
                    <a:noFill/>
                  </pic:spPr>
                </pic:pic>
              </a:graphicData>
            </a:graphic>
          </wp:inline>
        </w:drawing>
      </w:r>
    </w:p>
    <w:p w:rsidR="006F4527" w:rsidRDefault="00852276" w:rsidP="00852276">
      <w:r>
        <w:rPr>
          <w:noProof/>
          <w:lang w:eastAsia="en-AU"/>
        </w:rPr>
        <w:lastRenderedPageBreak/>
        <w:drawing>
          <wp:inline distT="0" distB="0" distL="0" distR="0" wp14:anchorId="062092A5">
            <wp:extent cx="8569549" cy="12887864"/>
            <wp:effectExtent l="0" t="0" r="3175" b="9525"/>
            <wp:docPr id="18" name="Picture 18" descr="Chart 4 continued- Graphical representation of data in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75057" cy="12896148"/>
                    </a:xfrm>
                    <a:prstGeom prst="rect">
                      <a:avLst/>
                    </a:prstGeom>
                    <a:noFill/>
                  </pic:spPr>
                </pic:pic>
              </a:graphicData>
            </a:graphic>
          </wp:inline>
        </w:drawing>
      </w:r>
    </w:p>
    <w:p w:rsidR="004274B9" w:rsidRDefault="004274B9" w:rsidP="00852276">
      <w:pPr>
        <w:sectPr w:rsidR="004274B9" w:rsidSect="00852276">
          <w:pgSz w:w="16839" w:h="23814" w:code="8"/>
          <w:pgMar w:top="1248" w:right="1440" w:bottom="993" w:left="1440" w:header="708" w:footer="1011" w:gutter="0"/>
          <w:cols w:space="708"/>
          <w:docGrid w:linePitch="360"/>
        </w:sectPr>
      </w:pPr>
      <w:r>
        <w:t xml:space="preserve">Note: </w:t>
      </w:r>
      <w:r w:rsidRPr="004274B9">
        <w:rPr>
          <w:sz w:val="20"/>
          <w:szCs w:val="20"/>
        </w:rPr>
        <w:t>There were no</w:t>
      </w:r>
      <w:r>
        <w:rPr>
          <w:sz w:val="20"/>
          <w:szCs w:val="20"/>
        </w:rPr>
        <w:t xml:space="preserve"> students studying </w:t>
      </w:r>
      <w:r w:rsidRPr="004274B9">
        <w:rPr>
          <w:sz w:val="20"/>
          <w:szCs w:val="20"/>
        </w:rPr>
        <w:t>Food, Hospitality and Personal Services</w:t>
      </w:r>
      <w:r>
        <w:rPr>
          <w:sz w:val="20"/>
          <w:szCs w:val="20"/>
        </w:rPr>
        <w:t xml:space="preserve"> at Table A universities in 2010</w:t>
      </w:r>
      <w:r>
        <w:t>.</w:t>
      </w:r>
    </w:p>
    <w:p w:rsidR="00285D6B" w:rsidRDefault="00285D6B" w:rsidP="00285D6B">
      <w:pPr>
        <w:pStyle w:val="Caption"/>
        <w:keepNext/>
        <w:spacing w:before="0"/>
      </w:pPr>
      <w:r w:rsidRPr="00DD0F78">
        <w:lastRenderedPageBreak/>
        <w:t xml:space="preserve">Table </w:t>
      </w:r>
      <w:r>
        <w:t>3</w:t>
      </w:r>
      <w:r w:rsidRPr="00DD0F78">
        <w:t xml:space="preserve">: Cohort Analysis for </w:t>
      </w:r>
      <w:r>
        <w:t xml:space="preserve">Table A </w:t>
      </w:r>
      <w:r w:rsidRPr="00DD0F78">
        <w:t>commencing domestic Bachelor students over a six year period, 2005-2010, 2006-2011, 2007-</w:t>
      </w:r>
      <w:r>
        <w:t>20</w:t>
      </w:r>
      <w:r w:rsidRPr="00DD0F78">
        <w:t>12 and 2008-</w:t>
      </w:r>
      <w:r>
        <w:t>20</w:t>
      </w:r>
      <w:r w:rsidRPr="00DD0F78">
        <w:t>13</w:t>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285D6B" w:rsidRPr="00E27B61" w:rsidTr="009E4598">
        <w:trPr>
          <w:trHeight w:val="1228"/>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285D6B" w:rsidRPr="00E27B61" w:rsidRDefault="00285D6B" w:rsidP="003F4ED4">
            <w:pPr>
              <w:spacing w:after="0" w:line="240" w:lineRule="auto"/>
              <w:jc w:val="center"/>
              <w:rPr>
                <w:rFonts w:ascii="Calibri" w:eastAsia="Times New Roman" w:hAnsi="Calibri" w:cs="Calibri"/>
                <w:b/>
                <w:bCs/>
                <w:color w:val="FFFFFF"/>
                <w:sz w:val="20"/>
                <w:szCs w:val="20"/>
                <w:lang w:eastAsia="en-AU"/>
              </w:rPr>
            </w:pPr>
            <w:r w:rsidRPr="00E27B61">
              <w:rPr>
                <w:rFonts w:ascii="Calibri" w:eastAsia="Times New Roman" w:hAnsi="Calibri" w:cs="Calibri"/>
                <w:b/>
                <w:bCs/>
                <w:color w:val="FFFFFF"/>
                <w:sz w:val="20"/>
                <w:szCs w:val="20"/>
                <w:lang w:eastAsia="en-AU"/>
              </w:rPr>
              <w:t> </w:t>
            </w:r>
          </w:p>
        </w:tc>
        <w:tc>
          <w:tcPr>
            <w:tcW w:w="960" w:type="dxa"/>
            <w:tcBorders>
              <w:top w:val="single" w:sz="4" w:space="0" w:color="auto"/>
              <w:left w:val="nil"/>
              <w:bottom w:val="single" w:sz="4" w:space="0" w:color="auto"/>
              <w:right w:val="nil"/>
            </w:tcBorders>
            <w:shd w:val="clear" w:color="000000" w:fill="522761"/>
            <w:vAlign w:val="center"/>
            <w:hideMark/>
          </w:tcPr>
          <w:p w:rsidR="00285D6B" w:rsidRPr="00E27B61" w:rsidRDefault="00285D6B" w:rsidP="003F4ED4">
            <w:pPr>
              <w:spacing w:after="0" w:line="240" w:lineRule="auto"/>
              <w:jc w:val="center"/>
              <w:rPr>
                <w:rFonts w:ascii="Calibri" w:eastAsia="Times New Roman" w:hAnsi="Calibri" w:cs="Calibri"/>
                <w:b/>
                <w:bCs/>
                <w:color w:val="FFFFFF"/>
                <w:sz w:val="20"/>
                <w:szCs w:val="20"/>
                <w:lang w:eastAsia="en-AU"/>
              </w:rPr>
            </w:pPr>
            <w:r w:rsidRPr="00E27B61">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 xml:space="preserve">Completed </w:t>
            </w:r>
            <w:r w:rsidRPr="00E27B61">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 xml:space="preserve">Still Enrolled at the end of the </w:t>
            </w:r>
            <w:r>
              <w:rPr>
                <w:rFonts w:ascii="Calibri" w:eastAsia="Times New Roman" w:hAnsi="Calibri" w:cs="Calibri"/>
                <w:b/>
                <w:bCs/>
                <w:color w:val="FFFFFF"/>
                <w:lang w:eastAsia="en-AU"/>
              </w:rPr>
              <w:t>6</w:t>
            </w:r>
            <w:r w:rsidRPr="00E27B61">
              <w:rPr>
                <w:rFonts w:ascii="Calibri" w:eastAsia="Times New Roman" w:hAnsi="Calibri" w:cs="Calibri"/>
                <w:b/>
                <w:bCs/>
                <w:color w:val="FFFFFF"/>
                <w:lang w:eastAsia="en-AU"/>
              </w:rPr>
              <w:t xml:space="preserve"> year cohort period</w:t>
            </w:r>
          </w:p>
        </w:tc>
        <w:tc>
          <w:tcPr>
            <w:tcW w:w="1500" w:type="dxa"/>
            <w:tcBorders>
              <w:top w:val="single" w:sz="4" w:space="0" w:color="auto"/>
              <w:left w:val="nil"/>
              <w:bottom w:val="single" w:sz="4" w:space="0" w:color="auto"/>
              <w:right w:val="nil"/>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Never came back after the first year</w:t>
            </w:r>
          </w:p>
        </w:tc>
      </w:tr>
      <w:tr w:rsidR="00285D6B" w:rsidRPr="00E27B61" w:rsidTr="003F4ED4">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National Total (Domestic students)</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67.0%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9.1%</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8.8%</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8.6%</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67.1%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7.9%</w:t>
            </w:r>
          </w:p>
        </w:tc>
      </w:tr>
      <w:tr w:rsidR="00285D6B" w:rsidRPr="00E27B61" w:rsidTr="003F4ED4">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Comparison figure for Overseas students</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10.6%</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76.0%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10.1%</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77.5%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8.9%</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78.2%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8.3%</w:t>
            </w:r>
          </w:p>
        </w:tc>
      </w:tr>
      <w:tr w:rsidR="00285D6B" w:rsidRPr="00E27B61" w:rsidTr="003F4ED4">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Course Level </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Bachelor's Graduate Entry</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79.3%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8.8%</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8.2%</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78.1%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9.2%</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78.2%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8.8%</w:t>
            </w:r>
          </w:p>
        </w:tc>
      </w:tr>
      <w:tr w:rsidR="00285D6B" w:rsidRPr="00E27B61" w:rsidTr="003F4ED4">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Bachelor's Honours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84.2%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8.1%</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86.2%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6.9%</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7.1%</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7.1%</w:t>
            </w:r>
          </w:p>
        </w:tc>
      </w:tr>
      <w:tr w:rsidR="00285D6B" w:rsidRPr="00E27B61" w:rsidTr="003F4ED4">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Bachelor's Pass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9.2%</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8.8%</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8.6%</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7.9%</w:t>
            </w:r>
          </w:p>
        </w:tc>
      </w:tr>
      <w:tr w:rsidR="00285D6B" w:rsidRPr="00E27B61" w:rsidTr="003F4ED4">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Mode of Attendance </w:t>
            </w:r>
          </w:p>
        </w:tc>
      </w:tr>
      <w:tr w:rsidR="00285D6B" w:rsidRPr="00E27B61" w:rsidTr="003F4ED4">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Internal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70.2%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7.7%</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69.8%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7.5%</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69.6%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7.4%</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70.1%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w:t>
            </w:r>
          </w:p>
        </w:tc>
      </w:tr>
      <w:tr w:rsidR="00285D6B" w:rsidRPr="00E27B61" w:rsidTr="003F4ED4">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External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37.4%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22.9%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22.5%</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37.3%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23.8%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22.3%</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37.4%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24.4%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21.0%</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38.1%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24.4%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20.4%</w:t>
            </w:r>
          </w:p>
        </w:tc>
      </w:tr>
      <w:tr w:rsidR="00285D6B" w:rsidRPr="00E27B61" w:rsidTr="003F4ED4">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Multi-modal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65.2%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9.3%</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64.2%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8.9%</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65.1%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8.1%</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7.5%</w:t>
            </w:r>
          </w:p>
        </w:tc>
      </w:tr>
    </w:tbl>
    <w:p w:rsidR="009E4598" w:rsidRDefault="009E4598" w:rsidP="00285D6B">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285D6B" w:rsidRPr="00E27B61" w:rsidTr="009E4598">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285D6B" w:rsidRPr="00E27B61" w:rsidRDefault="00285D6B" w:rsidP="003F4ED4">
            <w:pPr>
              <w:spacing w:after="0" w:line="240" w:lineRule="auto"/>
              <w:jc w:val="center"/>
              <w:rPr>
                <w:rFonts w:ascii="Calibri" w:eastAsia="Times New Roman" w:hAnsi="Calibri" w:cs="Calibri"/>
                <w:b/>
                <w:bCs/>
                <w:color w:val="FFFFFF"/>
                <w:sz w:val="20"/>
                <w:szCs w:val="20"/>
                <w:lang w:eastAsia="en-AU"/>
              </w:rPr>
            </w:pPr>
            <w:r w:rsidRPr="00E27B61">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285D6B" w:rsidRPr="00E27B61" w:rsidRDefault="00285D6B" w:rsidP="003F4ED4">
            <w:pPr>
              <w:spacing w:after="0" w:line="240" w:lineRule="auto"/>
              <w:jc w:val="center"/>
              <w:rPr>
                <w:rFonts w:ascii="Calibri" w:eastAsia="Times New Roman" w:hAnsi="Calibri" w:cs="Calibri"/>
                <w:b/>
                <w:bCs/>
                <w:color w:val="FFFFFF"/>
                <w:sz w:val="20"/>
                <w:szCs w:val="20"/>
                <w:lang w:eastAsia="en-AU"/>
              </w:rPr>
            </w:pPr>
            <w:r w:rsidRPr="00E27B61">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 xml:space="preserve">Completed </w:t>
            </w:r>
            <w:r w:rsidRPr="00E27B61">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Still Enrolled at the end of the 6 year cohort period</w:t>
            </w:r>
          </w:p>
        </w:tc>
        <w:tc>
          <w:tcPr>
            <w:tcW w:w="1500" w:type="dxa"/>
            <w:tcBorders>
              <w:top w:val="single" w:sz="4" w:space="0" w:color="auto"/>
              <w:left w:val="nil"/>
              <w:bottom w:val="single" w:sz="4" w:space="0" w:color="auto"/>
              <w:right w:val="nil"/>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Never came back after the first year</w:t>
            </w:r>
          </w:p>
        </w:tc>
      </w:tr>
      <w:tr w:rsidR="00285D6B" w:rsidRPr="00E27B61" w:rsidTr="003F4ED4">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Type of Attendance </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Full-time</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6.5%</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72.2%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6.4%</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72.0%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6.4%</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72.5%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5.7%</w:t>
            </w:r>
          </w:p>
        </w:tc>
      </w:tr>
      <w:tr w:rsidR="00285D6B" w:rsidRPr="00E27B61" w:rsidTr="003F4ED4">
        <w:trPr>
          <w:trHeight w:val="300"/>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Part-time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39.5%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21.7%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21.4%</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39.6%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20.8%</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39.2%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20.2%</w:t>
            </w:r>
          </w:p>
        </w:tc>
      </w:tr>
      <w:tr w:rsidR="00285D6B" w:rsidRPr="00E27B61" w:rsidTr="003F4ED4">
        <w:trPr>
          <w:trHeight w:val="300"/>
        </w:trPr>
        <w:tc>
          <w:tcPr>
            <w:tcW w:w="2300" w:type="dxa"/>
            <w:vMerge/>
            <w:tcBorders>
              <w:top w:val="nil"/>
              <w:left w:val="single" w:sz="4" w:space="0" w:color="auto"/>
              <w:bottom w:val="single" w:sz="4" w:space="0" w:color="000000"/>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39.0%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18.1%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19.4%</w:t>
            </w:r>
          </w:p>
        </w:tc>
      </w:tr>
      <w:tr w:rsidR="00285D6B" w:rsidRPr="00E27B61" w:rsidTr="003F4ED4">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Gender </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Males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9.8%</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9.2%</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9.1%</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64.3%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8.1%</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Females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69.4%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8.7%</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69.1%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8.5%</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68.7%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8.3%</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69.0%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7.8%</w:t>
            </w:r>
          </w:p>
        </w:tc>
      </w:tr>
      <w:tr w:rsidR="00285D6B" w:rsidRPr="00E27B61" w:rsidTr="003F4ED4">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Age </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19 and under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5.6%</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72.7%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5.6%</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72.4%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5.5%</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4.8%</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20-24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65.1%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10.5%</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64.3%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10.5%</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64.5%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10.1%</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64.5%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9.6%</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25 and over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51.7%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18.4%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17.4%</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51.7%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19.5%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16.7%</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50.4%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16.8%</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50.0%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16.1%</w:t>
            </w:r>
          </w:p>
        </w:tc>
      </w:tr>
      <w:tr w:rsidR="00285D6B" w:rsidRPr="00E27B61" w:rsidTr="003F4ED4">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Basis for Admission </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Other </w:t>
            </w:r>
            <w:r>
              <w:rPr>
                <w:rFonts w:ascii="Calibri" w:eastAsia="Times New Roman" w:hAnsi="Calibri" w:cs="Calibri"/>
                <w:b/>
                <w:bCs/>
                <w:color w:val="000000"/>
                <w:sz w:val="20"/>
                <w:szCs w:val="20"/>
                <w:lang w:eastAsia="en-AU"/>
              </w:rPr>
              <w:t>b</w:t>
            </w:r>
            <w:r w:rsidRPr="00E27B61">
              <w:rPr>
                <w:rFonts w:ascii="Calibri" w:eastAsia="Times New Roman" w:hAnsi="Calibri" w:cs="Calibri"/>
                <w:b/>
                <w:bCs/>
                <w:color w:val="000000"/>
                <w:sz w:val="20"/>
                <w:szCs w:val="20"/>
                <w:lang w:eastAsia="en-AU"/>
              </w:rPr>
              <w:t xml:space="preserve">asis for Admission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11.3%</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62.9%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11.1%</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62.1%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11.0%</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61.8%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10.6%</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Secondary </w:t>
            </w:r>
            <w:r>
              <w:rPr>
                <w:rFonts w:ascii="Calibri" w:eastAsia="Times New Roman" w:hAnsi="Calibri" w:cs="Calibri"/>
                <w:b/>
                <w:bCs/>
                <w:color w:val="000000"/>
                <w:sz w:val="20"/>
                <w:szCs w:val="20"/>
                <w:lang w:eastAsia="en-AU"/>
              </w:rPr>
              <w:t>education</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6.2%</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6.3%</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72.3%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5.2%</w:t>
            </w:r>
          </w:p>
        </w:tc>
      </w:tr>
    </w:tbl>
    <w:p w:rsidR="009E4598" w:rsidRDefault="009E4598">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285D6B" w:rsidRPr="00E27B61" w:rsidTr="009E4598">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285D6B" w:rsidRPr="00E27B61" w:rsidRDefault="00285D6B" w:rsidP="003F4ED4">
            <w:pPr>
              <w:spacing w:after="0" w:line="240" w:lineRule="auto"/>
              <w:jc w:val="center"/>
              <w:rPr>
                <w:rFonts w:ascii="Calibri" w:eastAsia="Times New Roman" w:hAnsi="Calibri" w:cs="Calibri"/>
                <w:b/>
                <w:bCs/>
                <w:color w:val="FFFFFF"/>
                <w:sz w:val="20"/>
                <w:szCs w:val="20"/>
                <w:lang w:eastAsia="en-AU"/>
              </w:rPr>
            </w:pPr>
            <w:r w:rsidRPr="00E27B61">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285D6B" w:rsidRPr="00E27B61" w:rsidRDefault="00285D6B" w:rsidP="003F4ED4">
            <w:pPr>
              <w:spacing w:after="0" w:line="240" w:lineRule="auto"/>
              <w:jc w:val="center"/>
              <w:rPr>
                <w:rFonts w:ascii="Calibri" w:eastAsia="Times New Roman" w:hAnsi="Calibri" w:cs="Calibri"/>
                <w:b/>
                <w:bCs/>
                <w:color w:val="FFFFFF"/>
                <w:sz w:val="20"/>
                <w:szCs w:val="20"/>
                <w:lang w:eastAsia="en-AU"/>
              </w:rPr>
            </w:pPr>
            <w:r w:rsidRPr="00E27B61">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 xml:space="preserve">Completed </w:t>
            </w:r>
            <w:r w:rsidRPr="00E27B61">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Still Enrolled at the end of the 6 year cohort period</w:t>
            </w:r>
          </w:p>
        </w:tc>
        <w:tc>
          <w:tcPr>
            <w:tcW w:w="1500" w:type="dxa"/>
            <w:tcBorders>
              <w:top w:val="single" w:sz="4" w:space="0" w:color="auto"/>
              <w:left w:val="nil"/>
              <w:bottom w:val="single" w:sz="4" w:space="0" w:color="auto"/>
              <w:right w:val="nil"/>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285D6B" w:rsidRPr="00E27B61" w:rsidRDefault="00285D6B" w:rsidP="003F4ED4">
            <w:pPr>
              <w:spacing w:after="0" w:line="240" w:lineRule="auto"/>
              <w:jc w:val="center"/>
              <w:rPr>
                <w:rFonts w:ascii="Calibri" w:eastAsia="Times New Roman" w:hAnsi="Calibri" w:cs="Calibri"/>
                <w:b/>
                <w:bCs/>
                <w:color w:val="FFFFFF"/>
                <w:lang w:eastAsia="en-AU"/>
              </w:rPr>
            </w:pPr>
            <w:r w:rsidRPr="00E27B61">
              <w:rPr>
                <w:rFonts w:ascii="Calibri" w:eastAsia="Times New Roman" w:hAnsi="Calibri" w:cs="Calibri"/>
                <w:b/>
                <w:bCs/>
                <w:color w:val="FFFFFF"/>
                <w:lang w:eastAsia="en-AU"/>
              </w:rPr>
              <w:t>Never came back after the first year</w:t>
            </w:r>
          </w:p>
        </w:tc>
      </w:tr>
      <w:tr w:rsidR="00285D6B" w:rsidRPr="00E27B61" w:rsidTr="003F4ED4">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roofErr w:type="spellStart"/>
            <w:r w:rsidRPr="00E27B61">
              <w:rPr>
                <w:rFonts w:ascii="Calibri" w:eastAsia="Times New Roman" w:hAnsi="Calibri" w:cs="Calibri"/>
                <w:b/>
                <w:bCs/>
                <w:color w:val="000000"/>
                <w:sz w:val="20"/>
                <w:szCs w:val="20"/>
                <w:lang w:eastAsia="en-AU"/>
              </w:rPr>
              <w:t>ATAR</w:t>
            </w:r>
            <w:proofErr w:type="spellEnd"/>
            <w:r w:rsidRPr="00E27B61">
              <w:rPr>
                <w:rFonts w:ascii="Calibri" w:eastAsia="Times New Roman" w:hAnsi="Calibri" w:cs="Calibri"/>
                <w:b/>
                <w:bCs/>
                <w:color w:val="000000"/>
                <w:sz w:val="20"/>
                <w:szCs w:val="20"/>
                <w:lang w:eastAsia="en-AU"/>
              </w:rPr>
              <w:t xml:space="preserve"> </w:t>
            </w:r>
            <w:r>
              <w:rPr>
                <w:rFonts w:ascii="Calibri" w:eastAsia="Times New Roman" w:hAnsi="Calibri" w:cs="Calibri"/>
                <w:b/>
                <w:bCs/>
                <w:color w:val="000000"/>
                <w:sz w:val="20"/>
                <w:szCs w:val="20"/>
                <w:lang w:eastAsia="en-AU"/>
              </w:rPr>
              <w:t>(for school leavers)</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30-49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48.6%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24.1%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19.2%</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44.4%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26.2%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18.0%</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15.9%</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27.5%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16.3%</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50-59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49.3%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19.6%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17.2%</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46.3%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16.9%</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48.2%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16.7%</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51.9%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19.6%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14.4%</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60-69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57.5%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12.0%</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57.2%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11.3%</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56.6%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12.1%</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58.3%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9.9%</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70-79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65.1%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7.9%</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67.4%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6.9%</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7.0%</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67.5%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5.8%</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80-89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75.2%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4.3%</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75.1%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3.8%</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75.7%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3.8%</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76.7%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3.0%</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90-94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82.4%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2.2%</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1.8%</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82.7%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1.8%</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84.4%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95-100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87.3%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0.9%</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87.0%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0.8%</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86.9%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87.8%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0.6%</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roofErr w:type="spellStart"/>
            <w:r w:rsidRPr="00E27B61">
              <w:rPr>
                <w:rFonts w:ascii="Calibri" w:eastAsia="Times New Roman" w:hAnsi="Calibri" w:cs="Calibri"/>
                <w:b/>
                <w:bCs/>
                <w:color w:val="000000"/>
                <w:sz w:val="20"/>
                <w:szCs w:val="20"/>
                <w:lang w:eastAsia="en-AU"/>
              </w:rPr>
              <w:t>ATAR</w:t>
            </w:r>
            <w:proofErr w:type="spellEnd"/>
            <w:r w:rsidRPr="00E27B61">
              <w:rPr>
                <w:rFonts w:ascii="Calibri" w:eastAsia="Times New Roman" w:hAnsi="Calibri" w:cs="Calibri"/>
                <w:b/>
                <w:bCs/>
                <w:color w:val="000000"/>
                <w:sz w:val="20"/>
                <w:szCs w:val="20"/>
                <w:lang w:eastAsia="en-AU"/>
              </w:rPr>
              <w:t xml:space="preserve"> not provided or not required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11.3%</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63.1%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10.9%</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62.3%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15.7%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10.8%</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62.7%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10.1%</w:t>
            </w:r>
          </w:p>
        </w:tc>
      </w:tr>
      <w:tr w:rsidR="00285D6B" w:rsidRPr="00E27B61" w:rsidTr="003F4ED4">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Enabling Indicator </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Prior </w:t>
            </w:r>
            <w:r>
              <w:rPr>
                <w:rFonts w:ascii="Calibri" w:eastAsia="Times New Roman" w:hAnsi="Calibri" w:cs="Calibri"/>
                <w:b/>
                <w:bCs/>
                <w:color w:val="000000"/>
                <w:sz w:val="20"/>
                <w:szCs w:val="20"/>
                <w:lang w:eastAsia="en-AU"/>
              </w:rPr>
              <w:t>e</w:t>
            </w:r>
            <w:r w:rsidRPr="00E27B61">
              <w:rPr>
                <w:rFonts w:ascii="Calibri" w:eastAsia="Times New Roman" w:hAnsi="Calibri" w:cs="Calibri"/>
                <w:b/>
                <w:bCs/>
                <w:color w:val="000000"/>
                <w:sz w:val="20"/>
                <w:szCs w:val="20"/>
                <w:lang w:eastAsia="en-AU"/>
              </w:rPr>
              <w:t xml:space="preserve">nabling course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56.5%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11.5%</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58.0%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16.8%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10.3%</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58.2%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17.4%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10.9%</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58.3%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14.1%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18.4%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9.1%</w:t>
            </w:r>
          </w:p>
        </w:tc>
      </w:tr>
      <w:tr w:rsidR="00285D6B" w:rsidRPr="00E27B61"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r w:rsidRPr="00E27B61">
              <w:rPr>
                <w:rFonts w:ascii="Calibri" w:eastAsia="Times New Roman" w:hAnsi="Calibri" w:cs="Calibri"/>
                <w:b/>
                <w:bCs/>
                <w:color w:val="000000"/>
                <w:sz w:val="20"/>
                <w:szCs w:val="20"/>
                <w:lang w:eastAsia="en-AU"/>
              </w:rPr>
              <w:t xml:space="preserve">No prior enabling course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67.3%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9.1%</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67.1%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8.7%</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66.9%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8.6%</w:t>
            </w:r>
          </w:p>
        </w:tc>
      </w:tr>
      <w:tr w:rsidR="00285D6B" w:rsidRPr="00E27B61"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27B61"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67.4%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27B61" w:rsidRDefault="00285D6B" w:rsidP="003F4ED4">
            <w:pPr>
              <w:spacing w:after="0" w:line="240" w:lineRule="auto"/>
              <w:jc w:val="center"/>
              <w:rPr>
                <w:rFonts w:ascii="Calibri" w:eastAsia="Times New Roman" w:hAnsi="Calibri" w:cs="Calibri"/>
                <w:color w:val="000000"/>
                <w:sz w:val="20"/>
                <w:szCs w:val="20"/>
                <w:lang w:eastAsia="en-AU"/>
              </w:rPr>
            </w:pPr>
            <w:r w:rsidRPr="00E27B61">
              <w:rPr>
                <w:rFonts w:ascii="Calibri" w:eastAsia="Times New Roman" w:hAnsi="Calibri" w:cs="Calibri"/>
                <w:color w:val="000000"/>
                <w:sz w:val="20"/>
                <w:szCs w:val="20"/>
                <w:lang w:eastAsia="en-AU"/>
              </w:rPr>
              <w:t>7.9%</w:t>
            </w:r>
          </w:p>
        </w:tc>
      </w:tr>
      <w:tr w:rsidR="00285D6B" w:rsidRPr="00EC07F7" w:rsidTr="003F4ED4">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lastRenderedPageBreak/>
              <w:t xml:space="preserve">Indigenous Indicator </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Indigenous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41.0%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22.7%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22.5%</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41.1%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25.9%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19.6%</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40.0%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15.1%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24.7%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20.1%</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41.2%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26.4%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18.2%</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Not Indigenous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67.2%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9.0%</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67.2%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8.5%</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66.9%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8.5%</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67.5%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7.7%</w:t>
            </w:r>
          </w:p>
        </w:tc>
      </w:tr>
      <w:tr w:rsidR="00285D6B" w:rsidRPr="00EC07F7" w:rsidTr="003F4ED4">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roofErr w:type="spellStart"/>
            <w:r w:rsidRPr="00EC07F7">
              <w:rPr>
                <w:rFonts w:ascii="Calibri" w:eastAsia="Times New Roman" w:hAnsi="Calibri" w:cs="Calibri"/>
                <w:b/>
                <w:bCs/>
                <w:color w:val="000000"/>
                <w:sz w:val="20"/>
                <w:szCs w:val="20"/>
                <w:lang w:eastAsia="en-AU"/>
              </w:rPr>
              <w:t>NESB</w:t>
            </w:r>
            <w:proofErr w:type="spellEnd"/>
            <w:r w:rsidRPr="00EC07F7">
              <w:rPr>
                <w:rFonts w:ascii="Calibri" w:eastAsia="Times New Roman" w:hAnsi="Calibri" w:cs="Calibri"/>
                <w:b/>
                <w:bCs/>
                <w:color w:val="000000"/>
                <w:sz w:val="20"/>
                <w:szCs w:val="20"/>
                <w:lang w:eastAsia="en-AU"/>
              </w:rPr>
              <w:t xml:space="preserve"> Indicator </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Person from </w:t>
            </w:r>
            <w:r>
              <w:rPr>
                <w:rFonts w:ascii="Calibri" w:eastAsia="Times New Roman" w:hAnsi="Calibri" w:cs="Calibri"/>
                <w:b/>
                <w:bCs/>
                <w:color w:val="000000"/>
                <w:sz w:val="20"/>
                <w:szCs w:val="20"/>
                <w:lang w:eastAsia="en-AU"/>
              </w:rPr>
              <w:t>n</w:t>
            </w:r>
            <w:r w:rsidRPr="00EC07F7">
              <w:rPr>
                <w:rFonts w:ascii="Calibri" w:eastAsia="Times New Roman" w:hAnsi="Calibri" w:cs="Calibri"/>
                <w:b/>
                <w:bCs/>
                <w:color w:val="000000"/>
                <w:sz w:val="20"/>
                <w:szCs w:val="20"/>
                <w:lang w:eastAsia="en-AU"/>
              </w:rPr>
              <w:t xml:space="preserve">on-English speaking background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72.5%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6.6%</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72.1%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5.7%</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5.8%</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5.6%</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Not from </w:t>
            </w:r>
            <w:r>
              <w:rPr>
                <w:rFonts w:ascii="Calibri" w:eastAsia="Times New Roman" w:hAnsi="Calibri" w:cs="Calibri"/>
                <w:b/>
                <w:bCs/>
                <w:color w:val="000000"/>
                <w:sz w:val="20"/>
                <w:szCs w:val="20"/>
                <w:lang w:eastAsia="en-AU"/>
              </w:rPr>
              <w:t>n</w:t>
            </w:r>
            <w:r w:rsidRPr="00EC07F7">
              <w:rPr>
                <w:rFonts w:ascii="Calibri" w:eastAsia="Times New Roman" w:hAnsi="Calibri" w:cs="Calibri"/>
                <w:b/>
                <w:bCs/>
                <w:color w:val="000000"/>
                <w:sz w:val="20"/>
                <w:szCs w:val="20"/>
                <w:lang w:eastAsia="en-AU"/>
              </w:rPr>
              <w:t xml:space="preserve">on-English speaking background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66.8%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9.2%</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66.6%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8.9%</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66.4%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8.8%</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66.9%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8.0%</w:t>
            </w:r>
          </w:p>
        </w:tc>
      </w:tr>
      <w:tr w:rsidR="00285D6B" w:rsidRPr="00EC07F7" w:rsidTr="003F4ED4">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Socio-Economic Status </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Low SES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62.9%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15.0%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61.8%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16.0%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61.7%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15.5%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10.6%</w:t>
            </w:r>
          </w:p>
        </w:tc>
      </w:tr>
      <w:tr w:rsidR="00285D6B" w:rsidRPr="00EC07F7" w:rsidTr="003F4ED4">
        <w:trPr>
          <w:trHeight w:val="345"/>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61.8%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16.2%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10.0%</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Medium SES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65.9%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9.6%</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65.8%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9.3%</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65.3%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9.2%</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66.1%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8.3%</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High SES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7.3%</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6.8%</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6.8%</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71.1%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6.2%</w:t>
            </w:r>
          </w:p>
        </w:tc>
      </w:tr>
    </w:tbl>
    <w:p w:rsidR="009E4598" w:rsidRDefault="009E4598" w:rsidP="00285D6B">
      <w:r>
        <w:br w:type="page"/>
      </w:r>
    </w:p>
    <w:tbl>
      <w:tblPr>
        <w:tblW w:w="9260" w:type="dxa"/>
        <w:tblInd w:w="93" w:type="dxa"/>
        <w:tblLook w:val="04A0" w:firstRow="1" w:lastRow="0" w:firstColumn="1" w:lastColumn="0" w:noHBand="0" w:noVBand="1"/>
      </w:tblPr>
      <w:tblGrid>
        <w:gridCol w:w="2297"/>
        <w:gridCol w:w="960"/>
        <w:gridCol w:w="1503"/>
        <w:gridCol w:w="1500"/>
        <w:gridCol w:w="1500"/>
        <w:gridCol w:w="1500"/>
      </w:tblGrid>
      <w:tr w:rsidR="00285D6B" w:rsidRPr="00EC07F7" w:rsidTr="009E4598">
        <w:trPr>
          <w:trHeight w:val="1200"/>
          <w:tblHeader/>
        </w:trPr>
        <w:tc>
          <w:tcPr>
            <w:tcW w:w="2297" w:type="dxa"/>
            <w:tcBorders>
              <w:top w:val="single" w:sz="4" w:space="0" w:color="auto"/>
              <w:left w:val="single" w:sz="4" w:space="0" w:color="auto"/>
              <w:bottom w:val="single" w:sz="4" w:space="0" w:color="auto"/>
              <w:right w:val="nil"/>
            </w:tcBorders>
            <w:shd w:val="clear" w:color="000000" w:fill="522761"/>
            <w:vAlign w:val="center"/>
            <w:hideMark/>
          </w:tcPr>
          <w:p w:rsidR="00285D6B" w:rsidRPr="00EC07F7" w:rsidRDefault="00285D6B" w:rsidP="003F4ED4">
            <w:pPr>
              <w:spacing w:after="0" w:line="240" w:lineRule="auto"/>
              <w:jc w:val="center"/>
              <w:rPr>
                <w:rFonts w:ascii="Calibri" w:eastAsia="Times New Roman" w:hAnsi="Calibri" w:cs="Calibri"/>
                <w:b/>
                <w:bCs/>
                <w:color w:val="FFFFFF"/>
                <w:sz w:val="20"/>
                <w:szCs w:val="20"/>
                <w:lang w:eastAsia="en-AU"/>
              </w:rPr>
            </w:pPr>
            <w:r w:rsidRPr="00EC07F7">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285D6B" w:rsidRPr="00EC07F7" w:rsidRDefault="00285D6B" w:rsidP="003F4ED4">
            <w:pPr>
              <w:spacing w:after="0" w:line="240" w:lineRule="auto"/>
              <w:jc w:val="center"/>
              <w:rPr>
                <w:rFonts w:ascii="Calibri" w:eastAsia="Times New Roman" w:hAnsi="Calibri" w:cs="Calibri"/>
                <w:b/>
                <w:bCs/>
                <w:color w:val="FFFFFF"/>
                <w:sz w:val="20"/>
                <w:szCs w:val="20"/>
                <w:lang w:eastAsia="en-AU"/>
              </w:rPr>
            </w:pPr>
            <w:r w:rsidRPr="00EC07F7">
              <w:rPr>
                <w:rFonts w:ascii="Calibri" w:eastAsia="Times New Roman" w:hAnsi="Calibri" w:cs="Calibri"/>
                <w:b/>
                <w:bCs/>
                <w:color w:val="FFFFFF"/>
                <w:sz w:val="20"/>
                <w:szCs w:val="20"/>
                <w:lang w:eastAsia="en-AU"/>
              </w:rPr>
              <w:t> </w:t>
            </w:r>
          </w:p>
        </w:tc>
        <w:tc>
          <w:tcPr>
            <w:tcW w:w="1503" w:type="dxa"/>
            <w:tcBorders>
              <w:top w:val="single" w:sz="4" w:space="0" w:color="auto"/>
              <w:left w:val="nil"/>
              <w:bottom w:val="single" w:sz="4" w:space="0" w:color="auto"/>
              <w:right w:val="nil"/>
            </w:tcBorders>
            <w:shd w:val="clear" w:color="000000" w:fill="522761"/>
            <w:hideMark/>
          </w:tcPr>
          <w:p w:rsidR="00285D6B" w:rsidRPr="00EC07F7" w:rsidRDefault="00285D6B" w:rsidP="003F4ED4">
            <w:pPr>
              <w:spacing w:after="0" w:line="240" w:lineRule="auto"/>
              <w:jc w:val="center"/>
              <w:rPr>
                <w:rFonts w:ascii="Calibri" w:eastAsia="Times New Roman" w:hAnsi="Calibri" w:cs="Calibri"/>
                <w:b/>
                <w:bCs/>
                <w:color w:val="FFFFFF"/>
                <w:lang w:eastAsia="en-AU"/>
              </w:rPr>
            </w:pPr>
            <w:r w:rsidRPr="00EC07F7">
              <w:rPr>
                <w:rFonts w:ascii="Calibri" w:eastAsia="Times New Roman" w:hAnsi="Calibri" w:cs="Calibri"/>
                <w:b/>
                <w:bCs/>
                <w:color w:val="FFFFFF"/>
                <w:lang w:eastAsia="en-AU"/>
              </w:rPr>
              <w:t xml:space="preserve">Completed </w:t>
            </w:r>
            <w:r w:rsidRPr="00EC07F7">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285D6B" w:rsidRPr="00EC07F7" w:rsidRDefault="00285D6B" w:rsidP="003F4ED4">
            <w:pPr>
              <w:spacing w:after="0" w:line="240" w:lineRule="auto"/>
              <w:jc w:val="center"/>
              <w:rPr>
                <w:rFonts w:ascii="Calibri" w:eastAsia="Times New Roman" w:hAnsi="Calibri" w:cs="Calibri"/>
                <w:b/>
                <w:bCs/>
                <w:color w:val="FFFFFF"/>
                <w:lang w:eastAsia="en-AU"/>
              </w:rPr>
            </w:pPr>
            <w:r w:rsidRPr="00EC07F7">
              <w:rPr>
                <w:rFonts w:ascii="Calibri" w:eastAsia="Times New Roman" w:hAnsi="Calibri" w:cs="Calibri"/>
                <w:b/>
                <w:bCs/>
                <w:color w:val="FFFFFF"/>
                <w:lang w:eastAsia="en-AU"/>
              </w:rPr>
              <w:t>Still Enrolled at the end of the 6 year cohort period</w:t>
            </w:r>
          </w:p>
        </w:tc>
        <w:tc>
          <w:tcPr>
            <w:tcW w:w="1500" w:type="dxa"/>
            <w:tcBorders>
              <w:top w:val="single" w:sz="4" w:space="0" w:color="auto"/>
              <w:left w:val="nil"/>
              <w:bottom w:val="single" w:sz="4" w:space="0" w:color="auto"/>
              <w:right w:val="nil"/>
            </w:tcBorders>
            <w:shd w:val="clear" w:color="000000" w:fill="522761"/>
            <w:hideMark/>
          </w:tcPr>
          <w:p w:rsidR="00285D6B" w:rsidRPr="00EC07F7" w:rsidRDefault="00285D6B" w:rsidP="003F4ED4">
            <w:pPr>
              <w:spacing w:after="0" w:line="240" w:lineRule="auto"/>
              <w:jc w:val="center"/>
              <w:rPr>
                <w:rFonts w:ascii="Calibri" w:eastAsia="Times New Roman" w:hAnsi="Calibri" w:cs="Calibri"/>
                <w:b/>
                <w:bCs/>
                <w:color w:val="FFFFFF"/>
                <w:lang w:eastAsia="en-AU"/>
              </w:rPr>
            </w:pPr>
            <w:r w:rsidRPr="00EC07F7">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285D6B" w:rsidRPr="00EC07F7" w:rsidRDefault="00285D6B" w:rsidP="003F4ED4">
            <w:pPr>
              <w:spacing w:after="0" w:line="240" w:lineRule="auto"/>
              <w:jc w:val="center"/>
              <w:rPr>
                <w:rFonts w:ascii="Calibri" w:eastAsia="Times New Roman" w:hAnsi="Calibri" w:cs="Calibri"/>
                <w:b/>
                <w:bCs/>
                <w:color w:val="FFFFFF"/>
                <w:lang w:eastAsia="en-AU"/>
              </w:rPr>
            </w:pPr>
            <w:r w:rsidRPr="00EC07F7">
              <w:rPr>
                <w:rFonts w:ascii="Calibri" w:eastAsia="Times New Roman" w:hAnsi="Calibri" w:cs="Calibri"/>
                <w:b/>
                <w:bCs/>
                <w:color w:val="FFFFFF"/>
                <w:lang w:eastAsia="en-AU"/>
              </w:rPr>
              <w:t>Never came back after the first year</w:t>
            </w:r>
          </w:p>
        </w:tc>
      </w:tr>
      <w:tr w:rsidR="00285D6B" w:rsidRPr="00EC07F7" w:rsidTr="009E4598">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285D6B" w:rsidRPr="00EC07F7" w:rsidRDefault="00285D6B" w:rsidP="005E3F01">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Regional Classification (</w:t>
            </w:r>
            <w:proofErr w:type="spellStart"/>
            <w:r w:rsidRPr="00EC07F7">
              <w:rPr>
                <w:rFonts w:ascii="Calibri" w:eastAsia="Times New Roman" w:hAnsi="Calibri" w:cs="Calibri"/>
                <w:b/>
                <w:bCs/>
                <w:color w:val="000000"/>
                <w:sz w:val="20"/>
                <w:szCs w:val="20"/>
                <w:lang w:eastAsia="en-AU"/>
              </w:rPr>
              <w:t>M</w:t>
            </w:r>
            <w:r w:rsidR="005E3F01">
              <w:rPr>
                <w:rFonts w:ascii="Calibri" w:eastAsia="Times New Roman" w:hAnsi="Calibri" w:cs="Calibri"/>
                <w:b/>
                <w:bCs/>
                <w:color w:val="000000"/>
                <w:sz w:val="20"/>
                <w:szCs w:val="20"/>
                <w:lang w:eastAsia="en-AU"/>
              </w:rPr>
              <w:t>C</w:t>
            </w:r>
            <w:r w:rsidRPr="00EC07F7">
              <w:rPr>
                <w:rFonts w:ascii="Calibri" w:eastAsia="Times New Roman" w:hAnsi="Calibri" w:cs="Calibri"/>
                <w:b/>
                <w:bCs/>
                <w:color w:val="000000"/>
                <w:sz w:val="20"/>
                <w:szCs w:val="20"/>
                <w:lang w:eastAsia="en-AU"/>
              </w:rPr>
              <w:t>EETYA</w:t>
            </w:r>
            <w:proofErr w:type="spellEnd"/>
            <w:r w:rsidRPr="00EC07F7">
              <w:rPr>
                <w:rFonts w:ascii="Calibri" w:eastAsia="Times New Roman" w:hAnsi="Calibri" w:cs="Calibri"/>
                <w:b/>
                <w:bCs/>
                <w:color w:val="000000"/>
                <w:sz w:val="20"/>
                <w:szCs w:val="20"/>
                <w:lang w:eastAsia="en-AU"/>
              </w:rPr>
              <w:t xml:space="preserve">) </w:t>
            </w:r>
          </w:p>
        </w:tc>
      </w:tr>
      <w:tr w:rsidR="00285D6B" w:rsidRPr="00EC07F7" w:rsidTr="009E4598">
        <w:trPr>
          <w:trHeight w:val="300"/>
        </w:trPr>
        <w:tc>
          <w:tcPr>
            <w:tcW w:w="2297"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Metro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68.2%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8.4%</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67.9%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8.0%</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67.8%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8.0%</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68.1%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7.3%</w:t>
            </w:r>
          </w:p>
        </w:tc>
      </w:tr>
      <w:tr w:rsidR="00285D6B" w:rsidRPr="00EC07F7" w:rsidTr="009E4598">
        <w:trPr>
          <w:trHeight w:val="300"/>
        </w:trPr>
        <w:tc>
          <w:tcPr>
            <w:tcW w:w="2297"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Regional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11.2%</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15.1%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11.4%</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62.4%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15.4%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10.8%</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15.4%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10.0%</w:t>
            </w:r>
          </w:p>
        </w:tc>
      </w:tr>
      <w:tr w:rsidR="00285D6B" w:rsidRPr="00EC07F7" w:rsidTr="009E4598">
        <w:trPr>
          <w:trHeight w:val="300"/>
        </w:trPr>
        <w:tc>
          <w:tcPr>
            <w:tcW w:w="2297"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Remote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53.0%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18.6%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16.6%</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54.1%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18.7%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16.0%</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19.1%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14.6%</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16.3%</w:t>
            </w:r>
          </w:p>
        </w:tc>
      </w:tr>
      <w:tr w:rsidR="00285D6B" w:rsidRPr="00EC07F7" w:rsidTr="009E4598">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Liability Category </w:t>
            </w:r>
          </w:p>
        </w:tc>
      </w:tr>
      <w:tr w:rsidR="00285D6B" w:rsidRPr="00EC07F7" w:rsidTr="009E4598">
        <w:trPr>
          <w:trHeight w:val="300"/>
        </w:trPr>
        <w:tc>
          <w:tcPr>
            <w:tcW w:w="2297"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Commonwealth Supported students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66.9%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9.1%</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66.6%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8.8%</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66.5%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8.7%</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66.9%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13.8%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7.9%</w:t>
            </w:r>
          </w:p>
        </w:tc>
      </w:tr>
      <w:tr w:rsidR="00285D6B" w:rsidRPr="00EC07F7" w:rsidTr="009E4598">
        <w:trPr>
          <w:trHeight w:val="300"/>
        </w:trPr>
        <w:tc>
          <w:tcPr>
            <w:tcW w:w="2297"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Fee-Paying students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68.6%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7.0%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11.6%</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72.2%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8.2%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7.6%</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70.1%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9.5%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12.5%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7.8%</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71.1%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2558E3" w:rsidRDefault="00285D6B" w:rsidP="003F4ED4">
            <w:pPr>
              <w:spacing w:after="0" w:line="240" w:lineRule="auto"/>
              <w:jc w:val="center"/>
              <w:rPr>
                <w:rFonts w:ascii="Calibri" w:eastAsia="Times New Roman" w:hAnsi="Calibri" w:cs="Calibri"/>
                <w:sz w:val="20"/>
                <w:szCs w:val="20"/>
                <w:lang w:eastAsia="en-AU"/>
              </w:rPr>
            </w:pPr>
            <w:r w:rsidRPr="002558E3">
              <w:rPr>
                <w:rFonts w:ascii="Calibri" w:eastAsia="Times New Roman" w:hAnsi="Calibri" w:cs="Calibri"/>
                <w:sz w:val="20"/>
                <w:szCs w:val="20"/>
                <w:lang w:eastAsia="en-AU"/>
              </w:rPr>
              <w:t>8.1%</w:t>
            </w:r>
          </w:p>
        </w:tc>
      </w:tr>
      <w:tr w:rsidR="00285D6B" w:rsidRPr="00EC07F7" w:rsidTr="009E4598">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Broad Field of Education </w:t>
            </w:r>
          </w:p>
        </w:tc>
      </w:tr>
      <w:tr w:rsidR="00285D6B" w:rsidRPr="00EC07F7" w:rsidTr="009E4598">
        <w:trPr>
          <w:trHeight w:val="300"/>
        </w:trPr>
        <w:tc>
          <w:tcPr>
            <w:tcW w:w="2297"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Natural and Physical Sciences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5.9%</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69.6%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5.9%</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5.3%</w:t>
            </w:r>
          </w:p>
        </w:tc>
      </w:tr>
      <w:tr w:rsidR="00285D6B" w:rsidRPr="00EC07F7" w:rsidTr="009E4598">
        <w:trPr>
          <w:trHeight w:val="300"/>
        </w:trPr>
        <w:tc>
          <w:tcPr>
            <w:tcW w:w="2297"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Information Technology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56.1%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18.6%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12.2%</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55.4%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12.3%</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56.0%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18.7%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11.7%</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56.6%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19.3%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10.9%</w:t>
            </w:r>
          </w:p>
        </w:tc>
      </w:tr>
      <w:tr w:rsidR="00285D6B" w:rsidRPr="00EC07F7" w:rsidTr="009E4598">
        <w:trPr>
          <w:trHeight w:val="300"/>
        </w:trPr>
        <w:tc>
          <w:tcPr>
            <w:tcW w:w="2297"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Engineering and Related Technologies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18.2%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18.4%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5.6%</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62.9%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5.3%</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62.0%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18.6%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4.9%</w:t>
            </w:r>
          </w:p>
        </w:tc>
      </w:tr>
      <w:tr w:rsidR="00285D6B" w:rsidRPr="00EC07F7" w:rsidTr="009E4598">
        <w:trPr>
          <w:trHeight w:val="300"/>
        </w:trPr>
        <w:tc>
          <w:tcPr>
            <w:tcW w:w="2297"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Architecture and Building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72.0%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72.8%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6.5%</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7.3%</w:t>
            </w:r>
          </w:p>
        </w:tc>
      </w:tr>
      <w:tr w:rsidR="00285D6B" w:rsidRPr="00EC07F7" w:rsidTr="009E4598">
        <w:trPr>
          <w:trHeight w:val="300"/>
        </w:trPr>
        <w:tc>
          <w:tcPr>
            <w:tcW w:w="2297"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68.2%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6.6%</w:t>
            </w:r>
          </w:p>
        </w:tc>
      </w:tr>
    </w:tbl>
    <w:p w:rsidR="009E4598" w:rsidRDefault="009E4598">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285D6B" w:rsidRPr="00EC07F7" w:rsidTr="009E4598">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285D6B" w:rsidRPr="00EC07F7" w:rsidRDefault="00285D6B" w:rsidP="003F4ED4">
            <w:pPr>
              <w:spacing w:after="0" w:line="240" w:lineRule="auto"/>
              <w:jc w:val="center"/>
              <w:rPr>
                <w:rFonts w:ascii="Calibri" w:eastAsia="Times New Roman" w:hAnsi="Calibri" w:cs="Calibri"/>
                <w:b/>
                <w:bCs/>
                <w:color w:val="FFFFFF"/>
                <w:sz w:val="20"/>
                <w:szCs w:val="20"/>
                <w:lang w:eastAsia="en-AU"/>
              </w:rPr>
            </w:pPr>
            <w:r w:rsidRPr="00EC07F7">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285D6B" w:rsidRPr="00EC07F7" w:rsidRDefault="00285D6B" w:rsidP="003F4ED4">
            <w:pPr>
              <w:spacing w:after="0" w:line="240" w:lineRule="auto"/>
              <w:jc w:val="center"/>
              <w:rPr>
                <w:rFonts w:ascii="Calibri" w:eastAsia="Times New Roman" w:hAnsi="Calibri" w:cs="Calibri"/>
                <w:b/>
                <w:bCs/>
                <w:color w:val="FFFFFF"/>
                <w:sz w:val="20"/>
                <w:szCs w:val="20"/>
                <w:lang w:eastAsia="en-AU"/>
              </w:rPr>
            </w:pPr>
            <w:r w:rsidRPr="00EC07F7">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285D6B" w:rsidRPr="00EC07F7" w:rsidRDefault="00285D6B" w:rsidP="003F4ED4">
            <w:pPr>
              <w:spacing w:after="0" w:line="240" w:lineRule="auto"/>
              <w:jc w:val="center"/>
              <w:rPr>
                <w:rFonts w:ascii="Calibri" w:eastAsia="Times New Roman" w:hAnsi="Calibri" w:cs="Calibri"/>
                <w:b/>
                <w:bCs/>
                <w:color w:val="FFFFFF"/>
                <w:lang w:eastAsia="en-AU"/>
              </w:rPr>
            </w:pPr>
            <w:r w:rsidRPr="00EC07F7">
              <w:rPr>
                <w:rFonts w:ascii="Calibri" w:eastAsia="Times New Roman" w:hAnsi="Calibri" w:cs="Calibri"/>
                <w:b/>
                <w:bCs/>
                <w:color w:val="FFFFFF"/>
                <w:lang w:eastAsia="en-AU"/>
              </w:rPr>
              <w:t xml:space="preserve">Completed </w:t>
            </w:r>
            <w:r w:rsidRPr="00EC07F7">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285D6B" w:rsidRPr="00EC07F7" w:rsidRDefault="00285D6B" w:rsidP="003F4ED4">
            <w:pPr>
              <w:spacing w:after="0" w:line="240" w:lineRule="auto"/>
              <w:jc w:val="center"/>
              <w:rPr>
                <w:rFonts w:ascii="Calibri" w:eastAsia="Times New Roman" w:hAnsi="Calibri" w:cs="Calibri"/>
                <w:b/>
                <w:bCs/>
                <w:color w:val="FFFFFF"/>
                <w:lang w:eastAsia="en-AU"/>
              </w:rPr>
            </w:pPr>
            <w:r w:rsidRPr="00EC07F7">
              <w:rPr>
                <w:rFonts w:ascii="Calibri" w:eastAsia="Times New Roman" w:hAnsi="Calibri" w:cs="Calibri"/>
                <w:b/>
                <w:bCs/>
                <w:color w:val="FFFFFF"/>
                <w:lang w:eastAsia="en-AU"/>
              </w:rPr>
              <w:t>Still Enrolled at the end of the 6 year cohort period</w:t>
            </w:r>
          </w:p>
        </w:tc>
        <w:tc>
          <w:tcPr>
            <w:tcW w:w="1500" w:type="dxa"/>
            <w:tcBorders>
              <w:top w:val="single" w:sz="4" w:space="0" w:color="auto"/>
              <w:left w:val="nil"/>
              <w:bottom w:val="single" w:sz="4" w:space="0" w:color="auto"/>
              <w:right w:val="nil"/>
            </w:tcBorders>
            <w:shd w:val="clear" w:color="000000" w:fill="522761"/>
            <w:hideMark/>
          </w:tcPr>
          <w:p w:rsidR="00285D6B" w:rsidRPr="00EC07F7" w:rsidRDefault="00285D6B" w:rsidP="003F4ED4">
            <w:pPr>
              <w:spacing w:after="0" w:line="240" w:lineRule="auto"/>
              <w:jc w:val="center"/>
              <w:rPr>
                <w:rFonts w:ascii="Calibri" w:eastAsia="Times New Roman" w:hAnsi="Calibri" w:cs="Calibri"/>
                <w:b/>
                <w:bCs/>
                <w:color w:val="FFFFFF"/>
                <w:lang w:eastAsia="en-AU"/>
              </w:rPr>
            </w:pPr>
            <w:r w:rsidRPr="00EC07F7">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285D6B" w:rsidRPr="00EC07F7" w:rsidRDefault="00285D6B" w:rsidP="003F4ED4">
            <w:pPr>
              <w:spacing w:after="0" w:line="240" w:lineRule="auto"/>
              <w:jc w:val="center"/>
              <w:rPr>
                <w:rFonts w:ascii="Calibri" w:eastAsia="Times New Roman" w:hAnsi="Calibri" w:cs="Calibri"/>
                <w:b/>
                <w:bCs/>
                <w:color w:val="FFFFFF"/>
                <w:lang w:eastAsia="en-AU"/>
              </w:rPr>
            </w:pPr>
            <w:r w:rsidRPr="00EC07F7">
              <w:rPr>
                <w:rFonts w:ascii="Calibri" w:eastAsia="Times New Roman" w:hAnsi="Calibri" w:cs="Calibri"/>
                <w:b/>
                <w:bCs/>
                <w:color w:val="FFFFFF"/>
                <w:lang w:eastAsia="en-AU"/>
              </w:rPr>
              <w:t>Never came back after the first year</w:t>
            </w:r>
          </w:p>
        </w:tc>
      </w:tr>
      <w:tr w:rsidR="00285D6B" w:rsidRPr="00EC07F7" w:rsidTr="003F4ED4">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Broad Field of Education </w:t>
            </w:r>
            <w:r>
              <w:rPr>
                <w:rFonts w:ascii="Calibri" w:eastAsia="Times New Roman" w:hAnsi="Calibri" w:cs="Calibri"/>
                <w:b/>
                <w:bCs/>
                <w:color w:val="000000"/>
                <w:sz w:val="20"/>
                <w:szCs w:val="20"/>
                <w:lang w:eastAsia="en-AU"/>
              </w:rPr>
              <w:t>continued…….</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Agriculture, Environmental &amp; Related Studies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16.1%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12.4%</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59.8%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17.4%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10.8%</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16.5%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11.7%</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62.6%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16.1%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9.5%</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Health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77.0%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76.6%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6.8%</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75.8%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6.7%</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76.2%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Education</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10.1%</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68.2%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10.3%</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66.7%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10.8%</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65.2%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10.5%</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Management and Commerce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65.7%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9.4%</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65.5%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9.1%</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66.0%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8.6%</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67.2%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7.4%</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Society and Culture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9.5%</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62.6%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9.4%</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62.5%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9.2%</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8.5%</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Creative Arts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8.3%</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8.1%</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69.9%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8.2%</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70.0%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8.0%</w:t>
            </w:r>
          </w:p>
        </w:tc>
      </w:tr>
      <w:tr w:rsidR="00285D6B" w:rsidRPr="00EC07F7" w:rsidTr="003F4ED4">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r w:rsidRPr="00EC07F7">
              <w:rPr>
                <w:rFonts w:ascii="Calibri" w:eastAsia="Times New Roman" w:hAnsi="Calibri" w:cs="Calibri"/>
                <w:b/>
                <w:bCs/>
                <w:color w:val="000000"/>
                <w:sz w:val="20"/>
                <w:szCs w:val="20"/>
                <w:lang w:eastAsia="en-AU"/>
              </w:rPr>
              <w:t xml:space="preserve">Food, Hospitality and Personal Services </w:t>
            </w: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84.0%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4.0%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4.0%</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50.0%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25.0%</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6.3%</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82.4%</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5.9%</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0.0%</w:t>
            </w:r>
          </w:p>
        </w:tc>
      </w:tr>
      <w:tr w:rsidR="00285D6B" w:rsidRPr="00EC07F7" w:rsidTr="003F4ED4">
        <w:trPr>
          <w:trHeight w:val="300"/>
        </w:trPr>
        <w:tc>
          <w:tcPr>
            <w:tcW w:w="2300" w:type="dxa"/>
            <w:vMerge/>
            <w:tcBorders>
              <w:top w:val="nil"/>
              <w:left w:val="single" w:sz="4" w:space="0" w:color="auto"/>
              <w:bottom w:val="single" w:sz="4" w:space="0" w:color="auto"/>
              <w:right w:val="single" w:sz="4" w:space="0" w:color="auto"/>
            </w:tcBorders>
            <w:vAlign w:val="center"/>
            <w:hideMark/>
          </w:tcPr>
          <w:p w:rsidR="00285D6B" w:rsidRPr="00EC07F7" w:rsidRDefault="00285D6B" w:rsidP="003F4ED4">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76.2%</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4.8%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4.8%</w:t>
            </w:r>
          </w:p>
        </w:tc>
        <w:tc>
          <w:tcPr>
            <w:tcW w:w="1500" w:type="dxa"/>
            <w:tcBorders>
              <w:top w:val="nil"/>
              <w:left w:val="nil"/>
              <w:bottom w:val="single" w:sz="4" w:space="0" w:color="auto"/>
              <w:right w:val="single" w:sz="4" w:space="0" w:color="auto"/>
            </w:tcBorders>
            <w:shd w:val="clear" w:color="auto" w:fill="auto"/>
            <w:noWrap/>
            <w:vAlign w:val="center"/>
            <w:hideMark/>
          </w:tcPr>
          <w:p w:rsidR="00285D6B" w:rsidRPr="00EC07F7" w:rsidRDefault="00285D6B" w:rsidP="003F4ED4">
            <w:pPr>
              <w:spacing w:after="0" w:line="240" w:lineRule="auto"/>
              <w:jc w:val="center"/>
              <w:rPr>
                <w:rFonts w:ascii="Calibri" w:eastAsia="Times New Roman" w:hAnsi="Calibri" w:cs="Calibri"/>
                <w:color w:val="000000"/>
                <w:sz w:val="20"/>
                <w:szCs w:val="20"/>
                <w:lang w:eastAsia="en-AU"/>
              </w:rPr>
            </w:pPr>
            <w:r w:rsidRPr="00EC07F7">
              <w:rPr>
                <w:rFonts w:ascii="Calibri" w:eastAsia="Times New Roman" w:hAnsi="Calibri" w:cs="Calibri"/>
                <w:color w:val="000000"/>
                <w:sz w:val="20"/>
                <w:szCs w:val="20"/>
                <w:lang w:eastAsia="en-AU"/>
              </w:rPr>
              <w:t>14.3%</w:t>
            </w:r>
          </w:p>
        </w:tc>
      </w:tr>
    </w:tbl>
    <w:p w:rsidR="00285D6B" w:rsidRDefault="00285D6B" w:rsidP="00285D6B">
      <w:pPr>
        <w:sectPr w:rsidR="00285D6B" w:rsidSect="00B0569E">
          <w:pgSz w:w="11906" w:h="16838"/>
          <w:pgMar w:top="1248" w:right="1440" w:bottom="993" w:left="1440" w:header="708" w:footer="1011" w:gutter="0"/>
          <w:cols w:space="708"/>
          <w:docGrid w:linePitch="360"/>
        </w:sectPr>
      </w:pPr>
    </w:p>
    <w:p w:rsidR="00285D6B" w:rsidRDefault="00627B09" w:rsidP="00285D6B">
      <w:r>
        <w:rPr>
          <w:noProof/>
          <w:lang w:eastAsia="en-AU"/>
        </w:rPr>
        <w:lastRenderedPageBreak/>
        <w:drawing>
          <wp:inline distT="0" distB="0" distL="0" distR="0" wp14:anchorId="412139C2">
            <wp:extent cx="8761863" cy="13470340"/>
            <wp:effectExtent l="0" t="0" r="1270" b="0"/>
            <wp:docPr id="16" name="Picture 16" descr="Chart 5- Graphical representation of data in 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65325" cy="13475663"/>
                    </a:xfrm>
                    <a:prstGeom prst="rect">
                      <a:avLst/>
                    </a:prstGeom>
                    <a:noFill/>
                  </pic:spPr>
                </pic:pic>
              </a:graphicData>
            </a:graphic>
          </wp:inline>
        </w:drawing>
      </w:r>
    </w:p>
    <w:p w:rsidR="00285D6B" w:rsidRDefault="00627B09" w:rsidP="00285D6B">
      <w:r>
        <w:rPr>
          <w:noProof/>
          <w:lang w:eastAsia="en-AU"/>
        </w:rPr>
        <w:lastRenderedPageBreak/>
        <w:drawing>
          <wp:inline distT="0" distB="0" distL="0" distR="0" wp14:anchorId="5E6364F7">
            <wp:extent cx="8666328" cy="13450748"/>
            <wp:effectExtent l="0" t="0" r="1905" b="0"/>
            <wp:docPr id="17" name="Picture 17" descr="Chart 5 continued- Graphical representation of data in 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84873" cy="13479531"/>
                    </a:xfrm>
                    <a:prstGeom prst="rect">
                      <a:avLst/>
                    </a:prstGeom>
                    <a:noFill/>
                  </pic:spPr>
                </pic:pic>
              </a:graphicData>
            </a:graphic>
          </wp:inline>
        </w:drawing>
      </w:r>
    </w:p>
    <w:p w:rsidR="00285D6B" w:rsidRDefault="00A87644" w:rsidP="00285D6B">
      <w:r>
        <w:rPr>
          <w:noProof/>
          <w:lang w:eastAsia="en-AU"/>
        </w:rPr>
        <w:lastRenderedPageBreak/>
        <w:drawing>
          <wp:inline distT="0" distB="0" distL="0" distR="0" wp14:anchorId="0367DDD1">
            <wp:extent cx="8807570" cy="13370944"/>
            <wp:effectExtent l="0" t="0" r="0" b="2540"/>
            <wp:docPr id="29" name="Picture 29" descr="Chart 5 continued- Graphical representation of data in 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10831" cy="13375895"/>
                    </a:xfrm>
                    <a:prstGeom prst="rect">
                      <a:avLst/>
                    </a:prstGeom>
                    <a:noFill/>
                  </pic:spPr>
                </pic:pic>
              </a:graphicData>
            </a:graphic>
          </wp:inline>
        </w:drawing>
      </w:r>
    </w:p>
    <w:p w:rsidR="00285D6B" w:rsidRDefault="00285D6B" w:rsidP="00285D6B">
      <w:pPr>
        <w:sectPr w:rsidR="00285D6B" w:rsidSect="00285D6B">
          <w:pgSz w:w="16839" w:h="23814" w:code="8"/>
          <w:pgMar w:top="1248" w:right="1440" w:bottom="993" w:left="1440" w:header="708" w:footer="1011" w:gutter="0"/>
          <w:cols w:space="708"/>
          <w:docGrid w:linePitch="360"/>
        </w:sectPr>
      </w:pPr>
    </w:p>
    <w:p w:rsidR="008D258A" w:rsidRPr="008D258A" w:rsidRDefault="00B0569E" w:rsidP="008D258A">
      <w:pPr>
        <w:pStyle w:val="Caption"/>
        <w:keepNext/>
        <w:rPr>
          <w:b w:val="0"/>
        </w:rPr>
      </w:pPr>
      <w:r w:rsidRPr="00A75355">
        <w:lastRenderedPageBreak/>
        <w:t xml:space="preserve">Table </w:t>
      </w:r>
      <w:r w:rsidR="00285D6B">
        <w:t>4</w:t>
      </w:r>
      <w:r w:rsidRPr="00A75355">
        <w:t xml:space="preserve">: Cohort Analysis for </w:t>
      </w:r>
      <w:r w:rsidR="00492421">
        <w:t xml:space="preserve">Table A </w:t>
      </w:r>
      <w:r w:rsidRPr="00A75355">
        <w:t>commencing domes</w:t>
      </w:r>
      <w:r>
        <w:t>tic Bachelor students</w:t>
      </w:r>
      <w:r w:rsidR="008D258A">
        <w:t xml:space="preserve"> over an eight year period, 2005-2012 and 2006-2013</w:t>
      </w:r>
    </w:p>
    <w:tbl>
      <w:tblPr>
        <w:tblW w:w="9260" w:type="dxa"/>
        <w:tblInd w:w="93" w:type="dxa"/>
        <w:tblLook w:val="04A0" w:firstRow="1" w:lastRow="0" w:firstColumn="1" w:lastColumn="0" w:noHBand="0" w:noVBand="1"/>
      </w:tblPr>
      <w:tblGrid>
        <w:gridCol w:w="2300"/>
        <w:gridCol w:w="960"/>
        <w:gridCol w:w="440"/>
        <w:gridCol w:w="1060"/>
        <w:gridCol w:w="6"/>
        <w:gridCol w:w="1180"/>
        <w:gridCol w:w="314"/>
        <w:gridCol w:w="640"/>
        <w:gridCol w:w="860"/>
        <w:gridCol w:w="320"/>
        <w:gridCol w:w="1180"/>
      </w:tblGrid>
      <w:tr w:rsidR="001466C0" w:rsidRPr="001466C0" w:rsidTr="009E4598">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1466C0" w:rsidRPr="001466C0" w:rsidRDefault="001466C0" w:rsidP="001466C0">
            <w:pPr>
              <w:spacing w:after="0" w:line="240" w:lineRule="auto"/>
              <w:jc w:val="center"/>
              <w:rPr>
                <w:rFonts w:ascii="Calibri" w:eastAsia="Times New Roman" w:hAnsi="Calibri" w:cs="Calibri"/>
                <w:b/>
                <w:bCs/>
                <w:color w:val="FFFFFF"/>
                <w:sz w:val="20"/>
                <w:szCs w:val="20"/>
                <w:lang w:eastAsia="en-AU"/>
              </w:rPr>
            </w:pPr>
            <w:r w:rsidRPr="001466C0">
              <w:rPr>
                <w:rFonts w:ascii="Calibri" w:eastAsia="Times New Roman" w:hAnsi="Calibri" w:cs="Calibri"/>
                <w:b/>
                <w:bCs/>
                <w:color w:val="FFFFFF"/>
                <w:sz w:val="20"/>
                <w:szCs w:val="20"/>
                <w:lang w:eastAsia="en-AU"/>
              </w:rPr>
              <w:t> </w:t>
            </w:r>
          </w:p>
        </w:tc>
        <w:tc>
          <w:tcPr>
            <w:tcW w:w="960" w:type="dxa"/>
            <w:tcBorders>
              <w:top w:val="single" w:sz="4" w:space="0" w:color="auto"/>
              <w:left w:val="nil"/>
              <w:bottom w:val="single" w:sz="4" w:space="0" w:color="auto"/>
              <w:right w:val="nil"/>
            </w:tcBorders>
            <w:shd w:val="clear" w:color="000000" w:fill="522761"/>
            <w:vAlign w:val="center"/>
            <w:hideMark/>
          </w:tcPr>
          <w:p w:rsidR="001466C0" w:rsidRPr="001466C0" w:rsidRDefault="001466C0" w:rsidP="001466C0">
            <w:pPr>
              <w:spacing w:after="0" w:line="240" w:lineRule="auto"/>
              <w:jc w:val="center"/>
              <w:rPr>
                <w:rFonts w:ascii="Calibri" w:eastAsia="Times New Roman" w:hAnsi="Calibri" w:cs="Calibri"/>
                <w:b/>
                <w:bCs/>
                <w:color w:val="FFFFFF"/>
                <w:sz w:val="20"/>
                <w:szCs w:val="20"/>
                <w:lang w:eastAsia="en-AU"/>
              </w:rPr>
            </w:pPr>
            <w:r w:rsidRPr="001466C0">
              <w:rPr>
                <w:rFonts w:ascii="Calibri" w:eastAsia="Times New Roman" w:hAnsi="Calibri" w:cs="Calibri"/>
                <w:b/>
                <w:bCs/>
                <w:color w:val="FFFFFF"/>
                <w:sz w:val="20"/>
                <w:szCs w:val="20"/>
                <w:lang w:eastAsia="en-AU"/>
              </w:rPr>
              <w:t> </w:t>
            </w:r>
          </w:p>
        </w:tc>
        <w:tc>
          <w:tcPr>
            <w:tcW w:w="1500" w:type="dxa"/>
            <w:gridSpan w:val="2"/>
            <w:tcBorders>
              <w:top w:val="single" w:sz="4" w:space="0" w:color="auto"/>
              <w:left w:val="nil"/>
              <w:bottom w:val="single" w:sz="4" w:space="0" w:color="auto"/>
              <w:right w:val="nil"/>
            </w:tcBorders>
            <w:shd w:val="clear" w:color="000000" w:fill="522761"/>
            <w:hideMark/>
          </w:tcPr>
          <w:p w:rsidR="001466C0" w:rsidRPr="001466C0" w:rsidRDefault="001466C0" w:rsidP="001466C0">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 xml:space="preserve">Completed </w:t>
            </w:r>
            <w:r w:rsidRPr="001466C0">
              <w:rPr>
                <w:rFonts w:ascii="Calibri" w:eastAsia="Times New Roman" w:hAnsi="Calibri" w:cs="Calibri"/>
                <w:b/>
                <w:bCs/>
                <w:color w:val="FFFFFF"/>
                <w:lang w:eastAsia="en-AU"/>
              </w:rPr>
              <w:br/>
              <w:t>(in any year)</w:t>
            </w:r>
          </w:p>
        </w:tc>
        <w:tc>
          <w:tcPr>
            <w:tcW w:w="1500" w:type="dxa"/>
            <w:gridSpan w:val="3"/>
            <w:tcBorders>
              <w:top w:val="single" w:sz="4" w:space="0" w:color="auto"/>
              <w:left w:val="nil"/>
              <w:bottom w:val="single" w:sz="4" w:space="0" w:color="auto"/>
              <w:right w:val="nil"/>
            </w:tcBorders>
            <w:shd w:val="clear" w:color="000000" w:fill="522761"/>
            <w:hideMark/>
          </w:tcPr>
          <w:p w:rsidR="001466C0" w:rsidRPr="001466C0" w:rsidRDefault="001466C0" w:rsidP="001466C0">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 xml:space="preserve">Still Enrolled at the end of the </w:t>
            </w:r>
            <w:r>
              <w:rPr>
                <w:rFonts w:ascii="Calibri" w:eastAsia="Times New Roman" w:hAnsi="Calibri" w:cs="Calibri"/>
                <w:b/>
                <w:bCs/>
                <w:color w:val="FFFFFF"/>
                <w:lang w:eastAsia="en-AU"/>
              </w:rPr>
              <w:t>8</w:t>
            </w:r>
            <w:r w:rsidRPr="001466C0">
              <w:rPr>
                <w:rFonts w:ascii="Calibri" w:eastAsia="Times New Roman" w:hAnsi="Calibri" w:cs="Calibri"/>
                <w:b/>
                <w:bCs/>
                <w:color w:val="FFFFFF"/>
                <w:lang w:eastAsia="en-AU"/>
              </w:rPr>
              <w:t xml:space="preserve"> year cohort period</w:t>
            </w:r>
          </w:p>
        </w:tc>
        <w:tc>
          <w:tcPr>
            <w:tcW w:w="1500" w:type="dxa"/>
            <w:gridSpan w:val="2"/>
            <w:tcBorders>
              <w:top w:val="single" w:sz="4" w:space="0" w:color="auto"/>
              <w:left w:val="nil"/>
              <w:bottom w:val="single" w:sz="4" w:space="0" w:color="auto"/>
              <w:right w:val="nil"/>
            </w:tcBorders>
            <w:shd w:val="clear" w:color="000000" w:fill="522761"/>
            <w:hideMark/>
          </w:tcPr>
          <w:p w:rsidR="001466C0" w:rsidRPr="001466C0" w:rsidRDefault="001466C0" w:rsidP="001466C0">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Re-enrolled but dropped out</w:t>
            </w:r>
          </w:p>
        </w:tc>
        <w:tc>
          <w:tcPr>
            <w:tcW w:w="1500" w:type="dxa"/>
            <w:gridSpan w:val="2"/>
            <w:tcBorders>
              <w:top w:val="single" w:sz="4" w:space="0" w:color="auto"/>
              <w:left w:val="nil"/>
              <w:bottom w:val="single" w:sz="4" w:space="0" w:color="auto"/>
              <w:right w:val="single" w:sz="4" w:space="0" w:color="auto"/>
            </w:tcBorders>
            <w:shd w:val="clear" w:color="000000" w:fill="522761"/>
            <w:hideMark/>
          </w:tcPr>
          <w:p w:rsidR="001466C0" w:rsidRPr="001466C0" w:rsidRDefault="001466C0" w:rsidP="001466C0">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Never came back after the first year</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National Total (Domestic students)</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72.3%</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5.3%</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13.9%</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8.4%</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72.1%</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14.3%</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8.1%</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Comparison figure for Overseas students</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74.1%</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0.3%</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15.0%</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10.5%</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76.9%</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0.3%</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12.7%</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10.0%</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DD0F78">
            <w:pPr>
              <w:spacing w:after="0" w:line="240" w:lineRule="auto"/>
              <w:jc w:val="center"/>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Course Level</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Bachelor's Graduate Entry</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81.8%</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8.2%</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81.9%</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8.0%</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7.6%</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Bachelor's Honours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85.7%</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5.3%</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7.5%</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87.7%</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4.4%</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6.4%</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jc w:val="both"/>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Bachelor's Pass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71.8%</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14.2%</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8.5%</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71.6%</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8.1%</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Mode of Attendance </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Internal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75.4%</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4.9%</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7.1%</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75.1%</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5.1%</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13.0%</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6.9%</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External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44.4%</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9.9%</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24.8%</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20.9%</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44.1%</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9.4%</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25.8%</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20.8%</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Multi-modal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69.5%</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8.6%</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68.7%</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6.2%</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17.1%</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8.0%</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Type of Attendance </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Full-time</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77.7%</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11.8%</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6.0%</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77.2%</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4.7%</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12.3%</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5.8%</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Part-time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47.1%</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9.3%</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23.6%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46.7%</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9.4%</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24.5%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19.4%</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Gender </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Males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69.5%</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5.8%</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15.7%</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9.1%</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69.5%</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5.9%</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16.0%</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8.6%</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Females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74.3%</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5.1%</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8.0%</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74.0%</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5.2%</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13.1%</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7.7%</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Age </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19 and under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79.1%</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4.8%</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11.0%</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5.1%</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78.7%</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5.1%</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11.2%</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5.0%</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20-24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69.2%</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15.7%</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9.7%</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68.2%</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16.7%</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9.6%</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25 and over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57.1%</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19.9%</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16.4%</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56.6%</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6.9%</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20.9%</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15.7%</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Basis for Admission </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A607FD">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Other </w:t>
            </w:r>
            <w:r w:rsidR="00A607FD">
              <w:rPr>
                <w:rFonts w:ascii="Calibri" w:eastAsia="Times New Roman" w:hAnsi="Calibri" w:cs="Calibri"/>
                <w:b/>
                <w:bCs/>
                <w:color w:val="000000"/>
                <w:sz w:val="20"/>
                <w:szCs w:val="20"/>
                <w:lang w:eastAsia="en-AU"/>
              </w:rPr>
              <w:t>b</w:t>
            </w:r>
            <w:r w:rsidRPr="001466C0">
              <w:rPr>
                <w:rFonts w:ascii="Calibri" w:eastAsia="Times New Roman" w:hAnsi="Calibri" w:cs="Calibri"/>
                <w:b/>
                <w:bCs/>
                <w:color w:val="000000"/>
                <w:sz w:val="20"/>
                <w:szCs w:val="20"/>
                <w:lang w:eastAsia="en-AU"/>
              </w:rPr>
              <w:t xml:space="preserve">asis for </w:t>
            </w:r>
            <w:r w:rsidR="00A607FD">
              <w:rPr>
                <w:rFonts w:ascii="Calibri" w:eastAsia="Times New Roman" w:hAnsi="Calibri" w:cs="Calibri"/>
                <w:b/>
                <w:bCs/>
                <w:color w:val="000000"/>
                <w:sz w:val="20"/>
                <w:szCs w:val="20"/>
                <w:lang w:eastAsia="en-AU"/>
              </w:rPr>
              <w:t>a</w:t>
            </w:r>
            <w:r w:rsidRPr="001466C0">
              <w:rPr>
                <w:rFonts w:ascii="Calibri" w:eastAsia="Times New Roman" w:hAnsi="Calibri" w:cs="Calibri"/>
                <w:b/>
                <w:bCs/>
                <w:color w:val="000000"/>
                <w:sz w:val="20"/>
                <w:szCs w:val="20"/>
                <w:lang w:eastAsia="en-AU"/>
              </w:rPr>
              <w:t xml:space="preserve">dmission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68.1%</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15.9%</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10.5%</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67.4%</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5.7%</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10.4%</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A607FD">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Secondary </w:t>
            </w:r>
            <w:r w:rsidR="00A607FD">
              <w:rPr>
                <w:rFonts w:ascii="Calibri" w:eastAsia="Times New Roman" w:hAnsi="Calibri" w:cs="Calibri"/>
                <w:b/>
                <w:bCs/>
                <w:color w:val="000000"/>
                <w:sz w:val="20"/>
                <w:szCs w:val="20"/>
                <w:lang w:eastAsia="en-AU"/>
              </w:rPr>
              <w:t>education</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77.4%</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5.1%</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11.5%</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6.0%</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77.3%</w:t>
            </w:r>
          </w:p>
        </w:tc>
        <w:tc>
          <w:tcPr>
            <w:tcW w:w="1500" w:type="dxa"/>
            <w:gridSpan w:val="3"/>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5.3%</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11.8%</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5.6%</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roofErr w:type="spellStart"/>
            <w:r w:rsidRPr="001466C0">
              <w:rPr>
                <w:rFonts w:ascii="Calibri" w:eastAsia="Times New Roman" w:hAnsi="Calibri" w:cs="Calibri"/>
                <w:b/>
                <w:bCs/>
                <w:color w:val="000000"/>
                <w:sz w:val="20"/>
                <w:szCs w:val="20"/>
                <w:lang w:eastAsia="en-AU"/>
              </w:rPr>
              <w:lastRenderedPageBreak/>
              <w:t>ATAR</w:t>
            </w:r>
            <w:proofErr w:type="spellEnd"/>
            <w:r w:rsidRPr="001466C0">
              <w:rPr>
                <w:rFonts w:ascii="Calibri" w:eastAsia="Times New Roman" w:hAnsi="Calibri" w:cs="Calibri"/>
                <w:b/>
                <w:bCs/>
                <w:color w:val="000000"/>
                <w:sz w:val="20"/>
                <w:szCs w:val="20"/>
                <w:lang w:eastAsia="en-AU"/>
              </w:rPr>
              <w:t xml:space="preserve"> </w:t>
            </w:r>
            <w:r w:rsidR="00492421">
              <w:rPr>
                <w:rFonts w:ascii="Calibri" w:eastAsia="Times New Roman" w:hAnsi="Calibri" w:cs="Calibri"/>
                <w:b/>
                <w:bCs/>
                <w:color w:val="000000"/>
                <w:sz w:val="20"/>
                <w:szCs w:val="20"/>
                <w:lang w:eastAsia="en-AU"/>
              </w:rPr>
              <w:t>(for school leavers)</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30-49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50.7%</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4.7%</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26.5%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18.1%</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49.6%</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6.5%</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27.2%</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16.7%</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50-59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55.1%</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6.9%</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21.7%</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16.3%</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51.8%</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8.2%</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24.6%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15.4%</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60-69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63.7%</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7.1%</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18.4%</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10.9%</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63.5%</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19.3%</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10.1%</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70-79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71.9%</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6.3%</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73.5%</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6.2%</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14.2%</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6.2%</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80-89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81.3%</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9.8%</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3.9%</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81.7%</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5.1%</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9.8%</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3.3%</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90-94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88.6%</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3.6%</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5.9%</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89.5%</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3.8%</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5.1%</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95-100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93.8%</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1.9%</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3.4%</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0.8%</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94.1%</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2.1%</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3.1%</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0.8%</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roofErr w:type="spellStart"/>
            <w:r w:rsidRPr="001466C0">
              <w:rPr>
                <w:rFonts w:ascii="Calibri" w:eastAsia="Times New Roman" w:hAnsi="Calibri" w:cs="Calibri"/>
                <w:b/>
                <w:bCs/>
                <w:color w:val="000000"/>
                <w:sz w:val="20"/>
                <w:szCs w:val="20"/>
                <w:lang w:eastAsia="en-AU"/>
              </w:rPr>
              <w:t>ATAR</w:t>
            </w:r>
            <w:proofErr w:type="spellEnd"/>
            <w:r w:rsidRPr="001466C0">
              <w:rPr>
                <w:rFonts w:ascii="Calibri" w:eastAsia="Times New Roman" w:hAnsi="Calibri" w:cs="Calibri"/>
                <w:b/>
                <w:bCs/>
                <w:color w:val="000000"/>
                <w:sz w:val="20"/>
                <w:szCs w:val="20"/>
                <w:lang w:eastAsia="en-AU"/>
              </w:rPr>
              <w:t xml:space="preserve"> not provided or not required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68.0%</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5.7%</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15.8%</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10.5%</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67.8%</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5.8%</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16.3%</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10.1%</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Enabling Indicator </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A607FD">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Prior </w:t>
            </w:r>
            <w:r w:rsidR="00A607FD">
              <w:rPr>
                <w:rFonts w:ascii="Calibri" w:eastAsia="Times New Roman" w:hAnsi="Calibri" w:cs="Calibri"/>
                <w:b/>
                <w:bCs/>
                <w:color w:val="000000"/>
                <w:sz w:val="20"/>
                <w:szCs w:val="20"/>
                <w:lang w:eastAsia="en-AU"/>
              </w:rPr>
              <w:t>e</w:t>
            </w:r>
            <w:r w:rsidRPr="001466C0">
              <w:rPr>
                <w:rFonts w:ascii="Calibri" w:eastAsia="Times New Roman" w:hAnsi="Calibri" w:cs="Calibri"/>
                <w:b/>
                <w:bCs/>
                <w:color w:val="000000"/>
                <w:sz w:val="20"/>
                <w:szCs w:val="20"/>
                <w:lang w:eastAsia="en-AU"/>
              </w:rPr>
              <w:t xml:space="preserve">nabling course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62.5%</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7.1%</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19.6%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10.7%</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64.2%</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7.5%</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18.9%</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9.3%</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No prior enabling course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72.6%</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5.3%</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13.7%</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8.4%</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lang w:eastAsia="en-AU"/>
              </w:rPr>
            </w:pPr>
            <w:r w:rsidRPr="001466C0">
              <w:rPr>
                <w:rFonts w:ascii="Calibri" w:eastAsia="Times New Roman" w:hAnsi="Calibri" w:cs="Calibri"/>
                <w:color w:val="00000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72.4%</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5.4%</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14.1%</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8.0%</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Indigenous Indicator </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Indigenous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45.5%</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9.3%</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24.5%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20.8%</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45.2%</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8.9%</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27.5%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18.3%</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Not Indigenous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72.6%</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5.3%</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13.8%</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8.3%</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72.6%</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5.4%</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14.1%</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7.8%</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roofErr w:type="spellStart"/>
            <w:r w:rsidRPr="001466C0">
              <w:rPr>
                <w:rFonts w:ascii="Calibri" w:eastAsia="Times New Roman" w:hAnsi="Calibri" w:cs="Calibri"/>
                <w:b/>
                <w:bCs/>
                <w:color w:val="000000"/>
                <w:sz w:val="20"/>
                <w:szCs w:val="20"/>
                <w:lang w:eastAsia="en-AU"/>
              </w:rPr>
              <w:t>NESB</w:t>
            </w:r>
            <w:proofErr w:type="spellEnd"/>
            <w:r w:rsidRPr="001466C0">
              <w:rPr>
                <w:rFonts w:ascii="Calibri" w:eastAsia="Times New Roman" w:hAnsi="Calibri" w:cs="Calibri"/>
                <w:b/>
                <w:bCs/>
                <w:color w:val="000000"/>
                <w:sz w:val="20"/>
                <w:szCs w:val="20"/>
                <w:lang w:eastAsia="en-AU"/>
              </w:rPr>
              <w:t xml:space="preserve"> Indicator </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A607FD">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Person from </w:t>
            </w:r>
            <w:r w:rsidR="00A607FD">
              <w:rPr>
                <w:rFonts w:ascii="Calibri" w:eastAsia="Times New Roman" w:hAnsi="Calibri" w:cs="Calibri"/>
                <w:b/>
                <w:bCs/>
                <w:color w:val="000000"/>
                <w:sz w:val="20"/>
                <w:szCs w:val="20"/>
                <w:lang w:eastAsia="en-AU"/>
              </w:rPr>
              <w:t>n</w:t>
            </w:r>
            <w:r w:rsidRPr="001466C0">
              <w:rPr>
                <w:rFonts w:ascii="Calibri" w:eastAsia="Times New Roman" w:hAnsi="Calibri" w:cs="Calibri"/>
                <w:b/>
                <w:bCs/>
                <w:color w:val="000000"/>
                <w:sz w:val="20"/>
                <w:szCs w:val="20"/>
                <w:lang w:eastAsia="en-AU"/>
              </w:rPr>
              <w:t xml:space="preserve">on-English speaking background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77.7%</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4.3%</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11.8%</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6.2%</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77.0%</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4.9%</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12.8%</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5.4%</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A607FD">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Not from </w:t>
            </w:r>
            <w:r w:rsidR="00A607FD">
              <w:rPr>
                <w:rFonts w:ascii="Calibri" w:eastAsia="Times New Roman" w:hAnsi="Calibri" w:cs="Calibri"/>
                <w:b/>
                <w:bCs/>
                <w:color w:val="000000"/>
                <w:sz w:val="20"/>
                <w:szCs w:val="20"/>
                <w:lang w:eastAsia="en-AU"/>
              </w:rPr>
              <w:t>n</w:t>
            </w:r>
            <w:r w:rsidRPr="001466C0">
              <w:rPr>
                <w:rFonts w:ascii="Calibri" w:eastAsia="Times New Roman" w:hAnsi="Calibri" w:cs="Calibri"/>
                <w:b/>
                <w:bCs/>
                <w:color w:val="000000"/>
                <w:sz w:val="20"/>
                <w:szCs w:val="20"/>
                <w:lang w:eastAsia="en-AU"/>
              </w:rPr>
              <w:t xml:space="preserve">on-English speaking background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72.1%</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5.4%</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14.0%</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8.5%</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72.0%</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5.5%</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14.3%</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8.2%</w:t>
            </w:r>
          </w:p>
        </w:tc>
      </w:tr>
      <w:tr w:rsidR="001466C0" w:rsidRPr="001466C0" w:rsidTr="001466C0">
        <w:trPr>
          <w:trHeight w:val="300"/>
        </w:trPr>
        <w:tc>
          <w:tcPr>
            <w:tcW w:w="9260" w:type="dxa"/>
            <w:gridSpan w:val="11"/>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Socio-Economic Status </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Low SES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67.7%</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5.8%</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16.3%</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10.3%</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66.5%</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6.3%</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17.1%</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10.2%</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Medium SES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71.3%</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5.7%</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14.2%</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8.9%</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71.0%</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5.6%</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14.7%</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8.6%</w:t>
            </w:r>
          </w:p>
        </w:tc>
      </w:tr>
      <w:tr w:rsidR="001466C0" w:rsidRPr="001466C0" w:rsidTr="001466C0">
        <w:trPr>
          <w:trHeight w:val="300"/>
        </w:trPr>
        <w:tc>
          <w:tcPr>
            <w:tcW w:w="370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High SES </w:t>
            </w: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76.5%</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4.7%</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12.1%</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6.7%</w:t>
            </w:r>
          </w:p>
        </w:tc>
      </w:tr>
      <w:tr w:rsidR="001466C0" w:rsidRPr="001466C0" w:rsidTr="001466C0">
        <w:trPr>
          <w:trHeight w:val="300"/>
        </w:trPr>
        <w:tc>
          <w:tcPr>
            <w:tcW w:w="3700" w:type="dxa"/>
            <w:gridSpan w:val="3"/>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1066" w:type="dxa"/>
            <w:gridSpan w:val="2"/>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76.6%</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4.9%</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12.2%</w:t>
            </w:r>
          </w:p>
        </w:tc>
        <w:tc>
          <w:tcPr>
            <w:tcW w:w="118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466C0">
            <w:pPr>
              <w:spacing w:after="0" w:line="240" w:lineRule="auto"/>
              <w:jc w:val="right"/>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6.3%</w:t>
            </w:r>
          </w:p>
        </w:tc>
      </w:tr>
    </w:tbl>
    <w:p w:rsidR="009E4598" w:rsidRDefault="009E4598">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1466C0" w:rsidRPr="001466C0" w:rsidTr="009E4598">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1466C0" w:rsidRPr="001466C0" w:rsidRDefault="001466C0" w:rsidP="001466C0">
            <w:pPr>
              <w:spacing w:after="0" w:line="240" w:lineRule="auto"/>
              <w:jc w:val="center"/>
              <w:rPr>
                <w:rFonts w:ascii="Calibri" w:eastAsia="Times New Roman" w:hAnsi="Calibri" w:cs="Calibri"/>
                <w:b/>
                <w:bCs/>
                <w:color w:val="FFFFFF"/>
                <w:sz w:val="20"/>
                <w:szCs w:val="20"/>
                <w:lang w:eastAsia="en-AU"/>
              </w:rPr>
            </w:pPr>
            <w:r w:rsidRPr="001466C0">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1466C0" w:rsidRPr="001466C0" w:rsidRDefault="001466C0" w:rsidP="001466C0">
            <w:pPr>
              <w:spacing w:after="0" w:line="240" w:lineRule="auto"/>
              <w:jc w:val="center"/>
              <w:rPr>
                <w:rFonts w:ascii="Calibri" w:eastAsia="Times New Roman" w:hAnsi="Calibri" w:cs="Calibri"/>
                <w:b/>
                <w:bCs/>
                <w:color w:val="FFFFFF"/>
                <w:sz w:val="20"/>
                <w:szCs w:val="20"/>
                <w:lang w:eastAsia="en-AU"/>
              </w:rPr>
            </w:pPr>
            <w:r w:rsidRPr="001466C0">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1466C0" w:rsidRPr="001466C0" w:rsidRDefault="001466C0" w:rsidP="001466C0">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 xml:space="preserve">Completed </w:t>
            </w:r>
            <w:r w:rsidRPr="001466C0">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1466C0" w:rsidRPr="001466C0" w:rsidRDefault="001466C0" w:rsidP="001466C0">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Still Enrolled at the end of the 8 year cohort period</w:t>
            </w:r>
          </w:p>
        </w:tc>
        <w:tc>
          <w:tcPr>
            <w:tcW w:w="1500" w:type="dxa"/>
            <w:tcBorders>
              <w:top w:val="single" w:sz="4" w:space="0" w:color="auto"/>
              <w:left w:val="nil"/>
              <w:bottom w:val="single" w:sz="4" w:space="0" w:color="auto"/>
              <w:right w:val="nil"/>
            </w:tcBorders>
            <w:shd w:val="clear" w:color="000000" w:fill="522761"/>
            <w:hideMark/>
          </w:tcPr>
          <w:p w:rsidR="001466C0" w:rsidRPr="001466C0" w:rsidRDefault="001466C0" w:rsidP="001466C0">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Re-enrolled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1466C0" w:rsidRPr="001466C0" w:rsidRDefault="001466C0" w:rsidP="001466C0">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Never came back after the first year</w:t>
            </w:r>
          </w:p>
        </w:tc>
      </w:tr>
      <w:tr w:rsidR="001466C0" w:rsidRPr="001466C0" w:rsidTr="001466C0">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5E3F01">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Regional Classification (</w:t>
            </w:r>
            <w:proofErr w:type="spellStart"/>
            <w:r w:rsidRPr="001466C0">
              <w:rPr>
                <w:rFonts w:ascii="Calibri" w:eastAsia="Times New Roman" w:hAnsi="Calibri" w:cs="Calibri"/>
                <w:b/>
                <w:bCs/>
                <w:color w:val="000000"/>
                <w:sz w:val="20"/>
                <w:szCs w:val="20"/>
                <w:lang w:eastAsia="en-AU"/>
              </w:rPr>
              <w:t>M</w:t>
            </w:r>
            <w:r w:rsidR="005E3F01">
              <w:rPr>
                <w:rFonts w:ascii="Calibri" w:eastAsia="Times New Roman" w:hAnsi="Calibri" w:cs="Calibri"/>
                <w:b/>
                <w:bCs/>
                <w:color w:val="000000"/>
                <w:sz w:val="20"/>
                <w:szCs w:val="20"/>
                <w:lang w:eastAsia="en-AU"/>
              </w:rPr>
              <w:t>C</w:t>
            </w:r>
            <w:r w:rsidRPr="001466C0">
              <w:rPr>
                <w:rFonts w:ascii="Calibri" w:eastAsia="Times New Roman" w:hAnsi="Calibri" w:cs="Calibri"/>
                <w:b/>
                <w:bCs/>
                <w:color w:val="000000"/>
                <w:sz w:val="20"/>
                <w:szCs w:val="20"/>
                <w:lang w:eastAsia="en-AU"/>
              </w:rPr>
              <w:t>EETYA</w:t>
            </w:r>
            <w:proofErr w:type="spellEnd"/>
            <w:r w:rsidRPr="001466C0">
              <w:rPr>
                <w:rFonts w:ascii="Calibri" w:eastAsia="Times New Roman" w:hAnsi="Calibri" w:cs="Calibri"/>
                <w:b/>
                <w:bCs/>
                <w:color w:val="000000"/>
                <w:sz w:val="20"/>
                <w:szCs w:val="20"/>
                <w:lang w:eastAsia="en-AU"/>
              </w:rPr>
              <w:t xml:space="preserve">) </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Metro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73.7%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7.7%</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73.4%</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7.4%</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Regional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68.5%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10.4%</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67.7%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6.0%</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10.5%</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Remote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58.2%</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6.4%</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15.3%</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58.8%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19.8%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E27B61">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15.2%</w:t>
            </w:r>
          </w:p>
        </w:tc>
      </w:tr>
      <w:tr w:rsidR="001466C0" w:rsidRPr="001466C0" w:rsidTr="001466C0">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Liability Category </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Commonwealth Supported students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72.3%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5.4%</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13.9%</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8.4%</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72.0%</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5.6%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14.3%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8.1%</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Fee-Paying students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72.4%</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2.9%</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11.4%</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76.7%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3.1%</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55AB2" w:rsidRDefault="001466C0" w:rsidP="00E27B61">
            <w:pPr>
              <w:spacing w:after="0" w:line="240" w:lineRule="auto"/>
              <w:jc w:val="center"/>
              <w:rPr>
                <w:rFonts w:ascii="Calibri" w:eastAsia="Times New Roman" w:hAnsi="Calibri" w:cs="Calibri"/>
                <w:sz w:val="20"/>
                <w:szCs w:val="20"/>
                <w:lang w:eastAsia="en-AU"/>
              </w:rPr>
            </w:pPr>
            <w:r w:rsidRPr="00155AB2">
              <w:rPr>
                <w:rFonts w:ascii="Calibri" w:eastAsia="Times New Roman" w:hAnsi="Calibri" w:cs="Calibri"/>
                <w:sz w:val="20"/>
                <w:szCs w:val="20"/>
                <w:lang w:eastAsia="en-AU"/>
              </w:rPr>
              <w:t>7.2%</w:t>
            </w:r>
          </w:p>
        </w:tc>
      </w:tr>
      <w:tr w:rsidR="001466C0" w:rsidRPr="001466C0" w:rsidTr="001466C0">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Broad Field of Education </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Natural and Physical Sciences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76.2%</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5.8%</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76.6%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5.3%</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Information Technology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61.8%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11.3%</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61.1%</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21.2%</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11.4%</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Engineering and Related Technologies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7.1%</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14.2%</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5.8%</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73.7%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7.4%</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5.2%</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Architecture and Building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77.7%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5.8%</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78.1%</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6.1%</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Agriculture, Environmental &amp; Related Studies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65.3%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6.1%</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17.2%</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11.4%</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65.5%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6.2%</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18.2%</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10.1%</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Health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80.8%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3.4%</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6.4%</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3.6%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6.2%</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Education</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73.8%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4.1%</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9.3%</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72.1%</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13.9%</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9.5%</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Management and Commerce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71.1%</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8.9%</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70.8%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8.5%</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Society and Culture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70.2%</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14.6%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8.7%</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69.1%</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6.8%</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15.5%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8.6%</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Creative Arts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74.5%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13.7%</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7.5%</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74.6%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13.5%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7.3%</w:t>
            </w:r>
          </w:p>
        </w:tc>
      </w:tr>
      <w:tr w:rsidR="001466C0" w:rsidRPr="001466C0" w:rsidTr="001466C0">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Food, Hospitality and Personal Services </w:t>
            </w: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88.0%</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4.0%</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4.0%</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4.0%</w:t>
            </w:r>
          </w:p>
        </w:tc>
      </w:tr>
      <w:tr w:rsidR="001466C0" w:rsidRPr="001466C0" w:rsidTr="001466C0">
        <w:trPr>
          <w:trHeight w:val="300"/>
        </w:trPr>
        <w:tc>
          <w:tcPr>
            <w:tcW w:w="2300" w:type="dxa"/>
            <w:vMerge/>
            <w:tcBorders>
              <w:top w:val="nil"/>
              <w:left w:val="single" w:sz="4" w:space="0" w:color="auto"/>
              <w:bottom w:val="single" w:sz="4" w:space="0" w:color="auto"/>
              <w:right w:val="single" w:sz="4" w:space="0" w:color="auto"/>
            </w:tcBorders>
            <w:vAlign w:val="center"/>
            <w:hideMark/>
          </w:tcPr>
          <w:p w:rsidR="001466C0" w:rsidRPr="001466C0" w:rsidRDefault="001466C0" w:rsidP="001466C0">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1466C0" w:rsidRPr="001466C0" w:rsidRDefault="001466C0" w:rsidP="00DD0F78">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62.5%</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6.3%</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25.0%</w:t>
            </w:r>
          </w:p>
        </w:tc>
        <w:tc>
          <w:tcPr>
            <w:tcW w:w="1500" w:type="dxa"/>
            <w:tcBorders>
              <w:top w:val="nil"/>
              <w:left w:val="nil"/>
              <w:bottom w:val="single" w:sz="4" w:space="0" w:color="auto"/>
              <w:right w:val="single" w:sz="4" w:space="0" w:color="auto"/>
            </w:tcBorders>
            <w:shd w:val="clear" w:color="auto" w:fill="auto"/>
            <w:noWrap/>
            <w:vAlign w:val="bottom"/>
            <w:hideMark/>
          </w:tcPr>
          <w:p w:rsidR="001466C0" w:rsidRPr="001466C0" w:rsidRDefault="001466C0" w:rsidP="00155AB2">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6.3%</w:t>
            </w:r>
          </w:p>
        </w:tc>
      </w:tr>
    </w:tbl>
    <w:p w:rsidR="00427532" w:rsidRDefault="00427532" w:rsidP="001466C0">
      <w:pPr>
        <w:sectPr w:rsidR="00427532" w:rsidSect="006F4527">
          <w:pgSz w:w="11907" w:h="16839" w:code="9"/>
          <w:pgMar w:top="1248" w:right="1440" w:bottom="993" w:left="1440" w:header="708" w:footer="1011" w:gutter="0"/>
          <w:cols w:space="708"/>
          <w:docGrid w:linePitch="360"/>
        </w:sectPr>
      </w:pPr>
    </w:p>
    <w:p w:rsidR="00427532" w:rsidRDefault="00627B09" w:rsidP="001466C0">
      <w:r>
        <w:rPr>
          <w:noProof/>
          <w:lang w:eastAsia="en-AU"/>
        </w:rPr>
        <w:lastRenderedPageBreak/>
        <w:drawing>
          <wp:inline distT="0" distB="0" distL="0" distR="0" wp14:anchorId="070F624B">
            <wp:extent cx="8679976" cy="13477564"/>
            <wp:effectExtent l="0" t="0" r="6985" b="0"/>
            <wp:docPr id="23" name="Picture 23" descr="Chart 6- Graphical representation of data in Tab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692652" cy="13497247"/>
                    </a:xfrm>
                    <a:prstGeom prst="rect">
                      <a:avLst/>
                    </a:prstGeom>
                    <a:noFill/>
                  </pic:spPr>
                </pic:pic>
              </a:graphicData>
            </a:graphic>
          </wp:inline>
        </w:drawing>
      </w:r>
    </w:p>
    <w:p w:rsidR="006F4527" w:rsidRDefault="006F4527" w:rsidP="001466C0">
      <w:pPr>
        <w:sectPr w:rsidR="006F4527" w:rsidSect="00427532">
          <w:pgSz w:w="16839" w:h="23814" w:code="8"/>
          <w:pgMar w:top="1248" w:right="1440" w:bottom="993" w:left="1440" w:header="708" w:footer="1011" w:gutter="0"/>
          <w:cols w:space="708"/>
          <w:docGrid w:linePitch="360"/>
        </w:sectPr>
      </w:pPr>
    </w:p>
    <w:p w:rsidR="008F30CD" w:rsidRPr="00DD0F78" w:rsidRDefault="00FF7F89" w:rsidP="00BF6630">
      <w:r>
        <w:rPr>
          <w:noProof/>
          <w:lang w:eastAsia="en-AU"/>
        </w:rPr>
        <w:lastRenderedPageBreak/>
        <w:drawing>
          <wp:inline distT="0" distB="0" distL="0" distR="0" wp14:anchorId="5763263B">
            <wp:extent cx="8669547" cy="13342797"/>
            <wp:effectExtent l="0" t="0" r="0" b="0"/>
            <wp:docPr id="25" name="Picture 25" descr="Chart 6 continued- Graphical representation of data in Tab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81782" cy="13361627"/>
                    </a:xfrm>
                    <a:prstGeom prst="rect">
                      <a:avLst/>
                    </a:prstGeom>
                    <a:noFill/>
                  </pic:spPr>
                </pic:pic>
              </a:graphicData>
            </a:graphic>
          </wp:inline>
        </w:drawing>
      </w:r>
    </w:p>
    <w:sectPr w:rsidR="008F30CD" w:rsidRPr="00DD0F78" w:rsidSect="00614E35">
      <w:pgSz w:w="16839" w:h="23814" w:code="8"/>
      <w:pgMar w:top="1248" w:right="1440" w:bottom="993"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A04" w:rsidRDefault="009E3A04" w:rsidP="00130923">
      <w:pPr>
        <w:spacing w:after="0" w:line="240" w:lineRule="auto"/>
      </w:pPr>
      <w:r>
        <w:separator/>
      </w:r>
    </w:p>
  </w:endnote>
  <w:endnote w:type="continuationSeparator" w:id="0">
    <w:p w:rsidR="009E3A04" w:rsidRDefault="009E3A04"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5F8" w:rsidRDefault="00BA55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A04" w:rsidRDefault="009E3A04" w:rsidP="003242B9">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5F8" w:rsidRDefault="00BA55F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A04" w:rsidRPr="00C262D1" w:rsidRDefault="009E3A04" w:rsidP="00C262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A04" w:rsidRDefault="009E3A04" w:rsidP="00130923">
      <w:pPr>
        <w:spacing w:after="0" w:line="240" w:lineRule="auto"/>
      </w:pPr>
      <w:r>
        <w:separator/>
      </w:r>
    </w:p>
  </w:footnote>
  <w:footnote w:type="continuationSeparator" w:id="0">
    <w:p w:rsidR="009E3A04" w:rsidRDefault="009E3A04" w:rsidP="00130923">
      <w:pPr>
        <w:spacing w:after="0" w:line="240" w:lineRule="auto"/>
      </w:pPr>
      <w:r>
        <w:continuationSeparator/>
      </w:r>
    </w:p>
  </w:footnote>
  <w:footnote w:id="1">
    <w:p w:rsidR="009E3A04" w:rsidRDefault="009E3A04" w:rsidP="00976715">
      <w:pPr>
        <w:pStyle w:val="FootnoteText"/>
      </w:pPr>
      <w:r>
        <w:rPr>
          <w:rStyle w:val="FootnoteReference"/>
        </w:rPr>
        <w:footnoteRef/>
      </w:r>
      <w:r>
        <w:t xml:space="preserve"> </w:t>
      </w:r>
      <w:proofErr w:type="gramStart"/>
      <w:r>
        <w:t>Public universities, plus the Batchelor Institute of Indigenous Tertiary Education.</w:t>
      </w:r>
      <w:proofErr w:type="gramEnd"/>
      <w:r>
        <w:t xml:space="preserve"> For a list of providers included under ‘Public universities’, see ‘</w:t>
      </w:r>
      <w:hyperlink r:id="rId1" w:history="1">
        <w:r w:rsidRPr="00BA55F8">
          <w:rPr>
            <w:rStyle w:val="Hyperlink"/>
          </w:rPr>
          <w:t>2013 List of higher education institutions</w:t>
        </w:r>
      </w:hyperlink>
      <w:r>
        <w:t xml:space="preserve">’ at </w:t>
      </w:r>
      <w:r w:rsidRPr="00BA55F8">
        <w:t>https://education.gov.au/selected-higher-education-statistics-2013-student-data</w:t>
      </w:r>
      <w:r>
        <w:t xml:space="preserve">. </w:t>
      </w:r>
    </w:p>
  </w:footnote>
  <w:footnote w:id="2">
    <w:p w:rsidR="009E3A04" w:rsidRPr="00E62057" w:rsidRDefault="009E3A04">
      <w:pPr>
        <w:pStyle w:val="FootnoteText"/>
      </w:pPr>
      <w:r>
        <w:rPr>
          <w:rStyle w:val="FootnoteReference"/>
        </w:rPr>
        <w:footnoteRef/>
      </w:r>
      <w:r>
        <w:t xml:space="preserve"> The CHESSN was first implemented in the Higher Education Student Data Collection in 2005, under new policy initiatives introduced through the </w:t>
      </w:r>
      <w:r>
        <w:rPr>
          <w:i/>
        </w:rPr>
        <w:t xml:space="preserve">Higher Education Support Act 2003 </w:t>
      </w:r>
      <w:r>
        <w:t>(HESA).</w:t>
      </w:r>
    </w:p>
  </w:footnote>
  <w:footnote w:id="3">
    <w:p w:rsidR="009E3A04" w:rsidRDefault="009E3A04" w:rsidP="00536C0A">
      <w:pPr>
        <w:pStyle w:val="FootnoteText"/>
      </w:pPr>
      <w:r>
        <w:rPr>
          <w:rStyle w:val="FootnoteReference"/>
        </w:rPr>
        <w:footnoteRef/>
      </w:r>
      <w:r>
        <w:t xml:space="preserve"> </w:t>
      </w:r>
      <w:proofErr w:type="gramStart"/>
      <w:r>
        <w:t>Students who completed an award course.</w:t>
      </w:r>
      <w:proofErr w:type="gramEnd"/>
      <w:r>
        <w:t xml:space="preserve"> The award course may not necessarily be the same course that the student initially enrolled in. For example, a student who commenced a Bachelor Pass degree course in 2005 and by 2012, their award course completion could be for a Bachelor Honours degree. Similarly for field of education, a student may have commenced a Science degree but completed an Arts degree. Likewise, a student may have commenced study at one institution, but completed their study at a different institution.</w:t>
      </w:r>
    </w:p>
  </w:footnote>
  <w:footnote w:id="4">
    <w:p w:rsidR="009E3A04" w:rsidRDefault="009E3A04">
      <w:pPr>
        <w:pStyle w:val="FootnoteText"/>
      </w:pPr>
      <w:r>
        <w:rPr>
          <w:rStyle w:val="FootnoteReference"/>
        </w:rPr>
        <w:footnoteRef/>
      </w:r>
      <w:r>
        <w:t xml:space="preserve"> Cohort data includes all bachelor level courses (Bachelor’s Pass, Bachelor’s Honours and Bachelor’s Graduate Entry), rather than just Bachelor’s Pass courses, which are the focus of the demand driven system. The </w:t>
      </w:r>
      <w:proofErr w:type="gramStart"/>
      <w:r>
        <w:t>number of Graduate Entry and Honours students are</w:t>
      </w:r>
      <w:proofErr w:type="gramEnd"/>
      <w:r>
        <w:t xml:space="preserve"> small, however, making up approximately 4% of the 2010 cohort. </w:t>
      </w:r>
    </w:p>
  </w:footnote>
  <w:footnote w:id="5">
    <w:p w:rsidR="009E3A04" w:rsidRDefault="009E3A04">
      <w:pPr>
        <w:pStyle w:val="FootnoteText"/>
      </w:pPr>
      <w:r>
        <w:rPr>
          <w:rStyle w:val="FootnoteReference"/>
        </w:rPr>
        <w:footnoteRef/>
      </w:r>
      <w:r>
        <w:t xml:space="preserve"> Variation was in part influenced by the small number of students.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5F8" w:rsidRDefault="00BA55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A04" w:rsidRDefault="009E3A04" w:rsidP="00560CA0">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5F8" w:rsidRDefault="00BA55F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A04" w:rsidRPr="00A75355" w:rsidRDefault="009E3A04" w:rsidP="00A753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541337E"/>
    <w:multiLevelType w:val="hybridMultilevel"/>
    <w:tmpl w:val="A61C10D0"/>
    <w:lvl w:ilvl="0" w:tplc="7A5A67E8">
      <w:start w:val="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7BC6D34"/>
    <w:multiLevelType w:val="hybridMultilevel"/>
    <w:tmpl w:val="83F85724"/>
    <w:lvl w:ilvl="0" w:tplc="8D3CB014">
      <w:start w:val="1"/>
      <w:numFmt w:val="decimal"/>
      <w:lvlText w:val="%1."/>
      <w:lvlJc w:val="left"/>
      <w:pPr>
        <w:ind w:left="780" w:hanging="420"/>
      </w:pPr>
      <w:rPr>
        <w:rFonts w:hint="default"/>
        <w:i w:val="0"/>
        <w:color w:val="00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B0F6E4A"/>
    <w:multiLevelType w:val="hybridMultilevel"/>
    <w:tmpl w:val="CA8E3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339A4717"/>
    <w:multiLevelType w:val="hybridMultilevel"/>
    <w:tmpl w:val="141A9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82D3421"/>
    <w:multiLevelType w:val="hybridMultilevel"/>
    <w:tmpl w:val="02A27A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DDC427F"/>
    <w:multiLevelType w:val="hybridMultilevel"/>
    <w:tmpl w:val="A2E23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53424D09"/>
    <w:multiLevelType w:val="hybridMultilevel"/>
    <w:tmpl w:val="260AA0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4767EE1"/>
    <w:multiLevelType w:val="hybridMultilevel"/>
    <w:tmpl w:val="826A9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nsid w:val="604A4F0D"/>
    <w:multiLevelType w:val="hybridMultilevel"/>
    <w:tmpl w:val="E83E58D6"/>
    <w:lvl w:ilvl="0" w:tplc="7A5A67E8">
      <w:start w:val="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3935291"/>
    <w:multiLevelType w:val="hybridMultilevel"/>
    <w:tmpl w:val="7124D40C"/>
    <w:lvl w:ilvl="0" w:tplc="0C090003">
      <w:start w:val="1"/>
      <w:numFmt w:val="bullet"/>
      <w:lvlText w:val="o"/>
      <w:lvlJc w:val="left"/>
      <w:pPr>
        <w:ind w:left="2138" w:hanging="360"/>
      </w:pPr>
      <w:rPr>
        <w:rFonts w:ascii="Courier New" w:hAnsi="Courier New" w:cs="Courier New" w:hint="default"/>
      </w:rPr>
    </w:lvl>
    <w:lvl w:ilvl="1" w:tplc="0C090003">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25">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774F68B5"/>
    <w:multiLevelType w:val="hybridMultilevel"/>
    <w:tmpl w:val="1ED2D950"/>
    <w:lvl w:ilvl="0" w:tplc="CB88B80C">
      <w:numFmt w:val="bullet"/>
      <w:lvlText w:val="-"/>
      <w:lvlJc w:val="left"/>
      <w:pPr>
        <w:ind w:left="1494" w:hanging="360"/>
      </w:pPr>
      <w:rPr>
        <w:rFonts w:ascii="Calibri" w:eastAsiaTheme="minorEastAsia" w:hAnsi="Calibri" w:cs="Calibri"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7">
    <w:nsid w:val="7D7B1B80"/>
    <w:multiLevelType w:val="hybridMultilevel"/>
    <w:tmpl w:val="86B653AC"/>
    <w:lvl w:ilvl="0" w:tplc="F9946EBE">
      <w:start w:val="1"/>
      <w:numFmt w:val="bullet"/>
      <w:pStyle w:val="bulletnormal"/>
      <w:lvlText w:val=""/>
      <w:lvlJc w:val="left"/>
      <w:pPr>
        <w:tabs>
          <w:tab w:val="num" w:pos="284"/>
        </w:tabs>
        <w:ind w:left="284" w:hanging="284"/>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5"/>
  </w:num>
  <w:num w:numId="15">
    <w:abstractNumId w:val="13"/>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num>
  <w:num w:numId="21">
    <w:abstractNumId w:val="23"/>
  </w:num>
  <w:num w:numId="22">
    <w:abstractNumId w:val="20"/>
  </w:num>
  <w:num w:numId="23">
    <w:abstractNumId w:val="16"/>
  </w:num>
  <w:num w:numId="24">
    <w:abstractNumId w:val="12"/>
  </w:num>
  <w:num w:numId="25">
    <w:abstractNumId w:val="21"/>
  </w:num>
  <w:num w:numId="26">
    <w:abstractNumId w:val="27"/>
  </w:num>
  <w:num w:numId="27">
    <w:abstractNumId w:val="17"/>
  </w:num>
  <w:num w:numId="28">
    <w:abstractNumId w:val="18"/>
  </w:num>
  <w:num w:numId="29">
    <w:abstractNumId w:val="26"/>
  </w:num>
  <w:num w:numId="30">
    <w:abstractNumId w:val="1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FD398F"/>
    <w:rsid w:val="00002721"/>
    <w:rsid w:val="0000486A"/>
    <w:rsid w:val="000071C7"/>
    <w:rsid w:val="00007E0C"/>
    <w:rsid w:val="00024E24"/>
    <w:rsid w:val="00027DF6"/>
    <w:rsid w:val="00034EAA"/>
    <w:rsid w:val="00050333"/>
    <w:rsid w:val="00054F84"/>
    <w:rsid w:val="00067959"/>
    <w:rsid w:val="00081CDD"/>
    <w:rsid w:val="00085EB1"/>
    <w:rsid w:val="000861A6"/>
    <w:rsid w:val="000B1785"/>
    <w:rsid w:val="000C2E67"/>
    <w:rsid w:val="000C6077"/>
    <w:rsid w:val="000D051D"/>
    <w:rsid w:val="000D7FD3"/>
    <w:rsid w:val="000E7E7B"/>
    <w:rsid w:val="000F26A2"/>
    <w:rsid w:val="000F3BA2"/>
    <w:rsid w:val="001013B3"/>
    <w:rsid w:val="001175BF"/>
    <w:rsid w:val="00130923"/>
    <w:rsid w:val="00131A8E"/>
    <w:rsid w:val="001414F3"/>
    <w:rsid w:val="0014193D"/>
    <w:rsid w:val="00143FCD"/>
    <w:rsid w:val="001466C0"/>
    <w:rsid w:val="00147D7E"/>
    <w:rsid w:val="00155AB2"/>
    <w:rsid w:val="0017173E"/>
    <w:rsid w:val="00177880"/>
    <w:rsid w:val="001A104F"/>
    <w:rsid w:val="001A57B2"/>
    <w:rsid w:val="001B6467"/>
    <w:rsid w:val="001C4CBC"/>
    <w:rsid w:val="001F32B2"/>
    <w:rsid w:val="00214E27"/>
    <w:rsid w:val="00223EB1"/>
    <w:rsid w:val="00236917"/>
    <w:rsid w:val="00243D6B"/>
    <w:rsid w:val="002558E3"/>
    <w:rsid w:val="00255A77"/>
    <w:rsid w:val="00266F4D"/>
    <w:rsid w:val="002702C0"/>
    <w:rsid w:val="0027185D"/>
    <w:rsid w:val="002803CC"/>
    <w:rsid w:val="00285D6B"/>
    <w:rsid w:val="00285D98"/>
    <w:rsid w:val="002B06E6"/>
    <w:rsid w:val="002C2F42"/>
    <w:rsid w:val="002C3AA1"/>
    <w:rsid w:val="002C55AF"/>
    <w:rsid w:val="002C5D9B"/>
    <w:rsid w:val="002D0D4D"/>
    <w:rsid w:val="002D271F"/>
    <w:rsid w:val="002D6386"/>
    <w:rsid w:val="002E42C6"/>
    <w:rsid w:val="002F1999"/>
    <w:rsid w:val="002F27BC"/>
    <w:rsid w:val="002F6A2C"/>
    <w:rsid w:val="0030139D"/>
    <w:rsid w:val="00305B35"/>
    <w:rsid w:val="003155A7"/>
    <w:rsid w:val="003166C5"/>
    <w:rsid w:val="003202A0"/>
    <w:rsid w:val="003242B9"/>
    <w:rsid w:val="00340F38"/>
    <w:rsid w:val="00343437"/>
    <w:rsid w:val="003511B6"/>
    <w:rsid w:val="0035130A"/>
    <w:rsid w:val="003528DC"/>
    <w:rsid w:val="00355CAC"/>
    <w:rsid w:val="00366F12"/>
    <w:rsid w:val="00376D20"/>
    <w:rsid w:val="003829FA"/>
    <w:rsid w:val="003979FC"/>
    <w:rsid w:val="003A614F"/>
    <w:rsid w:val="003D67FC"/>
    <w:rsid w:val="003F4ED4"/>
    <w:rsid w:val="00400676"/>
    <w:rsid w:val="00406E5A"/>
    <w:rsid w:val="00423E1D"/>
    <w:rsid w:val="004274B9"/>
    <w:rsid w:val="00427532"/>
    <w:rsid w:val="004339EC"/>
    <w:rsid w:val="0045069B"/>
    <w:rsid w:val="00452726"/>
    <w:rsid w:val="00452C2D"/>
    <w:rsid w:val="00455B34"/>
    <w:rsid w:val="0046090A"/>
    <w:rsid w:val="00481F02"/>
    <w:rsid w:val="0048762C"/>
    <w:rsid w:val="00492042"/>
    <w:rsid w:val="00492421"/>
    <w:rsid w:val="004A7E8D"/>
    <w:rsid w:val="004B256F"/>
    <w:rsid w:val="004C5B35"/>
    <w:rsid w:val="005113B6"/>
    <w:rsid w:val="005161F5"/>
    <w:rsid w:val="00530050"/>
    <w:rsid w:val="00531817"/>
    <w:rsid w:val="00536C0A"/>
    <w:rsid w:val="005519B1"/>
    <w:rsid w:val="00552F88"/>
    <w:rsid w:val="00560CA0"/>
    <w:rsid w:val="005624F3"/>
    <w:rsid w:val="00574CD2"/>
    <w:rsid w:val="005811EF"/>
    <w:rsid w:val="00585122"/>
    <w:rsid w:val="00586E28"/>
    <w:rsid w:val="005B0878"/>
    <w:rsid w:val="005C15C0"/>
    <w:rsid w:val="005C2910"/>
    <w:rsid w:val="005C7EA9"/>
    <w:rsid w:val="005D5599"/>
    <w:rsid w:val="005E3F01"/>
    <w:rsid w:val="005E55BB"/>
    <w:rsid w:val="005F5AA3"/>
    <w:rsid w:val="006032CA"/>
    <w:rsid w:val="00610654"/>
    <w:rsid w:val="0061094C"/>
    <w:rsid w:val="006141B3"/>
    <w:rsid w:val="00614E35"/>
    <w:rsid w:val="00615D3E"/>
    <w:rsid w:val="00627B09"/>
    <w:rsid w:val="006318B9"/>
    <w:rsid w:val="006321A5"/>
    <w:rsid w:val="00635920"/>
    <w:rsid w:val="00642114"/>
    <w:rsid w:val="00655EA5"/>
    <w:rsid w:val="0067026C"/>
    <w:rsid w:val="00670950"/>
    <w:rsid w:val="006711C3"/>
    <w:rsid w:val="00682F8F"/>
    <w:rsid w:val="006A567F"/>
    <w:rsid w:val="006A7B41"/>
    <w:rsid w:val="006B0E6F"/>
    <w:rsid w:val="006B27E8"/>
    <w:rsid w:val="006B7E95"/>
    <w:rsid w:val="006C086A"/>
    <w:rsid w:val="006E2D49"/>
    <w:rsid w:val="006F4527"/>
    <w:rsid w:val="006F651E"/>
    <w:rsid w:val="00713D3B"/>
    <w:rsid w:val="0074166C"/>
    <w:rsid w:val="00745FBF"/>
    <w:rsid w:val="007468FC"/>
    <w:rsid w:val="00761217"/>
    <w:rsid w:val="00765BA5"/>
    <w:rsid w:val="00765E2E"/>
    <w:rsid w:val="007749C2"/>
    <w:rsid w:val="007772F4"/>
    <w:rsid w:val="00791203"/>
    <w:rsid w:val="00792CA3"/>
    <w:rsid w:val="007A2D06"/>
    <w:rsid w:val="007A4BB0"/>
    <w:rsid w:val="007B1D43"/>
    <w:rsid w:val="007B2FDD"/>
    <w:rsid w:val="007C0ADE"/>
    <w:rsid w:val="007C6261"/>
    <w:rsid w:val="007D58FB"/>
    <w:rsid w:val="00800CB0"/>
    <w:rsid w:val="0081438A"/>
    <w:rsid w:val="008241C6"/>
    <w:rsid w:val="008322DA"/>
    <w:rsid w:val="0083468A"/>
    <w:rsid w:val="00842D43"/>
    <w:rsid w:val="00852276"/>
    <w:rsid w:val="00856D1C"/>
    <w:rsid w:val="00863273"/>
    <w:rsid w:val="0086662B"/>
    <w:rsid w:val="008722CD"/>
    <w:rsid w:val="00872C2D"/>
    <w:rsid w:val="00873E8C"/>
    <w:rsid w:val="00876AC0"/>
    <w:rsid w:val="008917D9"/>
    <w:rsid w:val="00892818"/>
    <w:rsid w:val="008B6BB5"/>
    <w:rsid w:val="008C2E5B"/>
    <w:rsid w:val="008D258A"/>
    <w:rsid w:val="008D6334"/>
    <w:rsid w:val="008E4033"/>
    <w:rsid w:val="008E5D81"/>
    <w:rsid w:val="008F30CD"/>
    <w:rsid w:val="008F3622"/>
    <w:rsid w:val="00903408"/>
    <w:rsid w:val="009116EA"/>
    <w:rsid w:val="00933671"/>
    <w:rsid w:val="00950F7B"/>
    <w:rsid w:val="00972BF7"/>
    <w:rsid w:val="00972DD5"/>
    <w:rsid w:val="00976715"/>
    <w:rsid w:val="00976D6C"/>
    <w:rsid w:val="00984879"/>
    <w:rsid w:val="00985632"/>
    <w:rsid w:val="00991B63"/>
    <w:rsid w:val="00993712"/>
    <w:rsid w:val="00997E64"/>
    <w:rsid w:val="009B2428"/>
    <w:rsid w:val="009B5CB7"/>
    <w:rsid w:val="009C3510"/>
    <w:rsid w:val="009D628A"/>
    <w:rsid w:val="009E3A04"/>
    <w:rsid w:val="009E4598"/>
    <w:rsid w:val="009F206C"/>
    <w:rsid w:val="00A31242"/>
    <w:rsid w:val="00A35B56"/>
    <w:rsid w:val="00A415AC"/>
    <w:rsid w:val="00A42371"/>
    <w:rsid w:val="00A4371E"/>
    <w:rsid w:val="00A47085"/>
    <w:rsid w:val="00A475CB"/>
    <w:rsid w:val="00A50A2F"/>
    <w:rsid w:val="00A52530"/>
    <w:rsid w:val="00A551BF"/>
    <w:rsid w:val="00A607FD"/>
    <w:rsid w:val="00A70524"/>
    <w:rsid w:val="00A73406"/>
    <w:rsid w:val="00A74AD2"/>
    <w:rsid w:val="00A75355"/>
    <w:rsid w:val="00A802E5"/>
    <w:rsid w:val="00A84F6E"/>
    <w:rsid w:val="00A87644"/>
    <w:rsid w:val="00AA688D"/>
    <w:rsid w:val="00AC65DA"/>
    <w:rsid w:val="00AD09E4"/>
    <w:rsid w:val="00AD15C1"/>
    <w:rsid w:val="00AD6823"/>
    <w:rsid w:val="00AF1737"/>
    <w:rsid w:val="00AF788F"/>
    <w:rsid w:val="00B03C49"/>
    <w:rsid w:val="00B0569E"/>
    <w:rsid w:val="00B06517"/>
    <w:rsid w:val="00B14096"/>
    <w:rsid w:val="00B2722A"/>
    <w:rsid w:val="00B40F24"/>
    <w:rsid w:val="00B52281"/>
    <w:rsid w:val="00B53FDE"/>
    <w:rsid w:val="00B618BA"/>
    <w:rsid w:val="00BA282D"/>
    <w:rsid w:val="00BA4D57"/>
    <w:rsid w:val="00BA55F8"/>
    <w:rsid w:val="00BB6260"/>
    <w:rsid w:val="00BB740E"/>
    <w:rsid w:val="00BD04DB"/>
    <w:rsid w:val="00BE0FB2"/>
    <w:rsid w:val="00BE219F"/>
    <w:rsid w:val="00BE60ED"/>
    <w:rsid w:val="00BE7595"/>
    <w:rsid w:val="00BF2952"/>
    <w:rsid w:val="00BF6630"/>
    <w:rsid w:val="00C05E74"/>
    <w:rsid w:val="00C10C19"/>
    <w:rsid w:val="00C143B8"/>
    <w:rsid w:val="00C17D02"/>
    <w:rsid w:val="00C21B08"/>
    <w:rsid w:val="00C262D1"/>
    <w:rsid w:val="00C5649C"/>
    <w:rsid w:val="00C729FA"/>
    <w:rsid w:val="00C75486"/>
    <w:rsid w:val="00C8202C"/>
    <w:rsid w:val="00C8462C"/>
    <w:rsid w:val="00C92A5B"/>
    <w:rsid w:val="00C9710B"/>
    <w:rsid w:val="00CA46EC"/>
    <w:rsid w:val="00CB7A6D"/>
    <w:rsid w:val="00CC36B0"/>
    <w:rsid w:val="00D05B29"/>
    <w:rsid w:val="00D071BF"/>
    <w:rsid w:val="00D1394D"/>
    <w:rsid w:val="00D16F72"/>
    <w:rsid w:val="00D24769"/>
    <w:rsid w:val="00D24B24"/>
    <w:rsid w:val="00D413EA"/>
    <w:rsid w:val="00D47740"/>
    <w:rsid w:val="00D50B4A"/>
    <w:rsid w:val="00D5403E"/>
    <w:rsid w:val="00D57D99"/>
    <w:rsid w:val="00D6363C"/>
    <w:rsid w:val="00D712E9"/>
    <w:rsid w:val="00D812B9"/>
    <w:rsid w:val="00D85EEB"/>
    <w:rsid w:val="00D903FD"/>
    <w:rsid w:val="00D91101"/>
    <w:rsid w:val="00D94BC5"/>
    <w:rsid w:val="00D96C08"/>
    <w:rsid w:val="00DA277F"/>
    <w:rsid w:val="00DA7C4E"/>
    <w:rsid w:val="00DB63E8"/>
    <w:rsid w:val="00DC013A"/>
    <w:rsid w:val="00DC3052"/>
    <w:rsid w:val="00DD0F78"/>
    <w:rsid w:val="00DE09F4"/>
    <w:rsid w:val="00DE1136"/>
    <w:rsid w:val="00DF46C4"/>
    <w:rsid w:val="00DF4CA3"/>
    <w:rsid w:val="00E15E3B"/>
    <w:rsid w:val="00E27B61"/>
    <w:rsid w:val="00E43AF0"/>
    <w:rsid w:val="00E554E4"/>
    <w:rsid w:val="00E61D12"/>
    <w:rsid w:val="00E62057"/>
    <w:rsid w:val="00E670BA"/>
    <w:rsid w:val="00E70A9D"/>
    <w:rsid w:val="00E7640F"/>
    <w:rsid w:val="00E81CA8"/>
    <w:rsid w:val="00E843D4"/>
    <w:rsid w:val="00E86FDD"/>
    <w:rsid w:val="00EC07F7"/>
    <w:rsid w:val="00EC4ADE"/>
    <w:rsid w:val="00EC78E7"/>
    <w:rsid w:val="00ED43D2"/>
    <w:rsid w:val="00EE288A"/>
    <w:rsid w:val="00EE3B8C"/>
    <w:rsid w:val="00EF33AF"/>
    <w:rsid w:val="00EF4A38"/>
    <w:rsid w:val="00EF5845"/>
    <w:rsid w:val="00EF777E"/>
    <w:rsid w:val="00F04CF3"/>
    <w:rsid w:val="00F11B8F"/>
    <w:rsid w:val="00F47193"/>
    <w:rsid w:val="00F57828"/>
    <w:rsid w:val="00F73393"/>
    <w:rsid w:val="00F73A27"/>
    <w:rsid w:val="00F74011"/>
    <w:rsid w:val="00F76AE9"/>
    <w:rsid w:val="00F80CFC"/>
    <w:rsid w:val="00FB10CB"/>
    <w:rsid w:val="00FB2404"/>
    <w:rsid w:val="00FC1EF3"/>
    <w:rsid w:val="00FC4FEE"/>
    <w:rsid w:val="00FD398F"/>
    <w:rsid w:val="00FF01D3"/>
    <w:rsid w:val="00FF4F44"/>
    <w:rsid w:val="00FF7AE2"/>
    <w:rsid w:val="00FF7F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6C0"/>
  </w:style>
  <w:style w:type="paragraph" w:styleId="Heading1">
    <w:name w:val="heading 1"/>
    <w:basedOn w:val="Normal"/>
    <w:next w:val="Normal"/>
    <w:link w:val="Heading1Char"/>
    <w:uiPriority w:val="9"/>
    <w:qFormat/>
    <w:rsid w:val="006B27E8"/>
    <w:pPr>
      <w:spacing w:after="36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6B27E8"/>
    <w:pPr>
      <w:outlineLvl w:val="1"/>
    </w:pPr>
    <w:rPr>
      <w:i/>
      <w:noProof/>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6B27E8"/>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6B27E8"/>
    <w:rPr>
      <w:i/>
      <w:noProof/>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Normal"/>
    <w:next w:val="Normal"/>
    <w:uiPriority w:val="35"/>
    <w:unhideWhenUsed/>
    <w:rsid w:val="00BA55F8"/>
    <w:pPr>
      <w:spacing w:before="200" w:after="0"/>
    </w:pPr>
    <w:rPr>
      <w:rFonts w:ascii="Calibri" w:hAnsi="Calibri"/>
      <w:b/>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FootnoteText">
    <w:name w:val="footnote text"/>
    <w:basedOn w:val="Normal"/>
    <w:link w:val="FootnoteTextChar"/>
    <w:uiPriority w:val="99"/>
    <w:semiHidden/>
    <w:unhideWhenUsed/>
    <w:rsid w:val="00D911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1101"/>
    <w:rPr>
      <w:sz w:val="20"/>
      <w:szCs w:val="20"/>
    </w:rPr>
  </w:style>
  <w:style w:type="character" w:styleId="FootnoteReference">
    <w:name w:val="footnote reference"/>
    <w:basedOn w:val="DefaultParagraphFont"/>
    <w:uiPriority w:val="99"/>
    <w:semiHidden/>
    <w:unhideWhenUsed/>
    <w:rsid w:val="00D91101"/>
    <w:rPr>
      <w:vertAlign w:val="superscript"/>
    </w:rPr>
  </w:style>
  <w:style w:type="paragraph" w:customStyle="1" w:styleId="bulletnormal">
    <w:name w:val="bullet normal"/>
    <w:basedOn w:val="Normal"/>
    <w:rsid w:val="00FC4FEE"/>
    <w:pPr>
      <w:numPr>
        <w:numId w:val="26"/>
      </w:numPr>
      <w:spacing w:after="60" w:line="240" w:lineRule="auto"/>
    </w:pPr>
    <w:rPr>
      <w:rFonts w:ascii="Book Antiqua" w:eastAsia="Times New Roman" w:hAnsi="Book Antiqua"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6C0"/>
  </w:style>
  <w:style w:type="paragraph" w:styleId="Heading1">
    <w:name w:val="heading 1"/>
    <w:basedOn w:val="Normal"/>
    <w:next w:val="Normal"/>
    <w:link w:val="Heading1Char"/>
    <w:uiPriority w:val="9"/>
    <w:qFormat/>
    <w:rsid w:val="006B27E8"/>
    <w:pPr>
      <w:spacing w:after="36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6B27E8"/>
    <w:pPr>
      <w:outlineLvl w:val="1"/>
    </w:pPr>
    <w:rPr>
      <w:i/>
      <w:noProof/>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6B27E8"/>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6B27E8"/>
    <w:rPr>
      <w:i/>
      <w:noProof/>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Normal"/>
    <w:next w:val="Normal"/>
    <w:uiPriority w:val="35"/>
    <w:unhideWhenUsed/>
    <w:rsid w:val="00BA55F8"/>
    <w:pPr>
      <w:spacing w:before="200" w:after="0"/>
    </w:pPr>
    <w:rPr>
      <w:rFonts w:ascii="Calibri" w:hAnsi="Calibri"/>
      <w:b/>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FootnoteText">
    <w:name w:val="footnote text"/>
    <w:basedOn w:val="Normal"/>
    <w:link w:val="FootnoteTextChar"/>
    <w:uiPriority w:val="99"/>
    <w:semiHidden/>
    <w:unhideWhenUsed/>
    <w:rsid w:val="00D911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1101"/>
    <w:rPr>
      <w:sz w:val="20"/>
      <w:szCs w:val="20"/>
    </w:rPr>
  </w:style>
  <w:style w:type="character" w:styleId="FootnoteReference">
    <w:name w:val="footnote reference"/>
    <w:basedOn w:val="DefaultParagraphFont"/>
    <w:uiPriority w:val="99"/>
    <w:semiHidden/>
    <w:unhideWhenUsed/>
    <w:rsid w:val="00D91101"/>
    <w:rPr>
      <w:vertAlign w:val="superscript"/>
    </w:rPr>
  </w:style>
  <w:style w:type="paragraph" w:customStyle="1" w:styleId="bulletnormal">
    <w:name w:val="bullet normal"/>
    <w:basedOn w:val="Normal"/>
    <w:rsid w:val="00FC4FEE"/>
    <w:pPr>
      <w:numPr>
        <w:numId w:val="26"/>
      </w:numPr>
      <w:spacing w:after="60" w:line="240" w:lineRule="auto"/>
    </w:pPr>
    <w:rPr>
      <w:rFonts w:ascii="Book Antiqua" w:eastAsia="Times New Roman" w:hAnsi="Book Antiqu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209">
      <w:bodyDiv w:val="1"/>
      <w:marLeft w:val="0"/>
      <w:marRight w:val="0"/>
      <w:marTop w:val="0"/>
      <w:marBottom w:val="0"/>
      <w:divBdr>
        <w:top w:val="none" w:sz="0" w:space="0" w:color="auto"/>
        <w:left w:val="none" w:sz="0" w:space="0" w:color="auto"/>
        <w:bottom w:val="none" w:sz="0" w:space="0" w:color="auto"/>
        <w:right w:val="none" w:sz="0" w:space="0" w:color="auto"/>
      </w:divBdr>
    </w:div>
    <w:div w:id="96489498">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99126356">
      <w:bodyDiv w:val="1"/>
      <w:marLeft w:val="0"/>
      <w:marRight w:val="0"/>
      <w:marTop w:val="0"/>
      <w:marBottom w:val="0"/>
      <w:divBdr>
        <w:top w:val="none" w:sz="0" w:space="0" w:color="auto"/>
        <w:left w:val="none" w:sz="0" w:space="0" w:color="auto"/>
        <w:bottom w:val="none" w:sz="0" w:space="0" w:color="auto"/>
        <w:right w:val="none" w:sz="0" w:space="0" w:color="auto"/>
      </w:divBdr>
    </w:div>
    <w:div w:id="213155418">
      <w:bodyDiv w:val="1"/>
      <w:marLeft w:val="0"/>
      <w:marRight w:val="0"/>
      <w:marTop w:val="0"/>
      <w:marBottom w:val="0"/>
      <w:divBdr>
        <w:top w:val="none" w:sz="0" w:space="0" w:color="auto"/>
        <w:left w:val="none" w:sz="0" w:space="0" w:color="auto"/>
        <w:bottom w:val="none" w:sz="0" w:space="0" w:color="auto"/>
        <w:right w:val="none" w:sz="0" w:space="0" w:color="auto"/>
      </w:divBdr>
    </w:div>
    <w:div w:id="230583790">
      <w:bodyDiv w:val="1"/>
      <w:marLeft w:val="0"/>
      <w:marRight w:val="0"/>
      <w:marTop w:val="0"/>
      <w:marBottom w:val="0"/>
      <w:divBdr>
        <w:top w:val="none" w:sz="0" w:space="0" w:color="auto"/>
        <w:left w:val="none" w:sz="0" w:space="0" w:color="auto"/>
        <w:bottom w:val="none" w:sz="0" w:space="0" w:color="auto"/>
        <w:right w:val="none" w:sz="0" w:space="0" w:color="auto"/>
      </w:divBdr>
    </w:div>
    <w:div w:id="269702631">
      <w:bodyDiv w:val="1"/>
      <w:marLeft w:val="0"/>
      <w:marRight w:val="0"/>
      <w:marTop w:val="0"/>
      <w:marBottom w:val="0"/>
      <w:divBdr>
        <w:top w:val="none" w:sz="0" w:space="0" w:color="auto"/>
        <w:left w:val="none" w:sz="0" w:space="0" w:color="auto"/>
        <w:bottom w:val="none" w:sz="0" w:space="0" w:color="auto"/>
        <w:right w:val="none" w:sz="0" w:space="0" w:color="auto"/>
      </w:divBdr>
    </w:div>
    <w:div w:id="276253609">
      <w:bodyDiv w:val="1"/>
      <w:marLeft w:val="0"/>
      <w:marRight w:val="0"/>
      <w:marTop w:val="0"/>
      <w:marBottom w:val="0"/>
      <w:divBdr>
        <w:top w:val="none" w:sz="0" w:space="0" w:color="auto"/>
        <w:left w:val="none" w:sz="0" w:space="0" w:color="auto"/>
        <w:bottom w:val="none" w:sz="0" w:space="0" w:color="auto"/>
        <w:right w:val="none" w:sz="0" w:space="0" w:color="auto"/>
      </w:divBdr>
    </w:div>
    <w:div w:id="287590957">
      <w:bodyDiv w:val="1"/>
      <w:marLeft w:val="0"/>
      <w:marRight w:val="0"/>
      <w:marTop w:val="0"/>
      <w:marBottom w:val="0"/>
      <w:divBdr>
        <w:top w:val="none" w:sz="0" w:space="0" w:color="auto"/>
        <w:left w:val="none" w:sz="0" w:space="0" w:color="auto"/>
        <w:bottom w:val="none" w:sz="0" w:space="0" w:color="auto"/>
        <w:right w:val="none" w:sz="0" w:space="0" w:color="auto"/>
      </w:divBdr>
    </w:div>
    <w:div w:id="293145618">
      <w:bodyDiv w:val="1"/>
      <w:marLeft w:val="0"/>
      <w:marRight w:val="0"/>
      <w:marTop w:val="0"/>
      <w:marBottom w:val="0"/>
      <w:divBdr>
        <w:top w:val="none" w:sz="0" w:space="0" w:color="auto"/>
        <w:left w:val="none" w:sz="0" w:space="0" w:color="auto"/>
        <w:bottom w:val="none" w:sz="0" w:space="0" w:color="auto"/>
        <w:right w:val="none" w:sz="0" w:space="0" w:color="auto"/>
      </w:divBdr>
    </w:div>
    <w:div w:id="411897939">
      <w:bodyDiv w:val="1"/>
      <w:marLeft w:val="0"/>
      <w:marRight w:val="0"/>
      <w:marTop w:val="0"/>
      <w:marBottom w:val="0"/>
      <w:divBdr>
        <w:top w:val="none" w:sz="0" w:space="0" w:color="auto"/>
        <w:left w:val="none" w:sz="0" w:space="0" w:color="auto"/>
        <w:bottom w:val="none" w:sz="0" w:space="0" w:color="auto"/>
        <w:right w:val="none" w:sz="0" w:space="0" w:color="auto"/>
      </w:divBdr>
    </w:div>
    <w:div w:id="412165839">
      <w:bodyDiv w:val="1"/>
      <w:marLeft w:val="0"/>
      <w:marRight w:val="0"/>
      <w:marTop w:val="0"/>
      <w:marBottom w:val="0"/>
      <w:divBdr>
        <w:top w:val="none" w:sz="0" w:space="0" w:color="auto"/>
        <w:left w:val="none" w:sz="0" w:space="0" w:color="auto"/>
        <w:bottom w:val="none" w:sz="0" w:space="0" w:color="auto"/>
        <w:right w:val="none" w:sz="0" w:space="0" w:color="auto"/>
      </w:divBdr>
    </w:div>
    <w:div w:id="454181406">
      <w:bodyDiv w:val="1"/>
      <w:marLeft w:val="0"/>
      <w:marRight w:val="0"/>
      <w:marTop w:val="0"/>
      <w:marBottom w:val="0"/>
      <w:divBdr>
        <w:top w:val="none" w:sz="0" w:space="0" w:color="auto"/>
        <w:left w:val="none" w:sz="0" w:space="0" w:color="auto"/>
        <w:bottom w:val="none" w:sz="0" w:space="0" w:color="auto"/>
        <w:right w:val="none" w:sz="0" w:space="0" w:color="auto"/>
      </w:divBdr>
    </w:div>
    <w:div w:id="482813717">
      <w:bodyDiv w:val="1"/>
      <w:marLeft w:val="0"/>
      <w:marRight w:val="0"/>
      <w:marTop w:val="0"/>
      <w:marBottom w:val="0"/>
      <w:divBdr>
        <w:top w:val="none" w:sz="0" w:space="0" w:color="auto"/>
        <w:left w:val="none" w:sz="0" w:space="0" w:color="auto"/>
        <w:bottom w:val="none" w:sz="0" w:space="0" w:color="auto"/>
        <w:right w:val="none" w:sz="0" w:space="0" w:color="auto"/>
      </w:divBdr>
    </w:div>
    <w:div w:id="496725239">
      <w:bodyDiv w:val="1"/>
      <w:marLeft w:val="0"/>
      <w:marRight w:val="0"/>
      <w:marTop w:val="0"/>
      <w:marBottom w:val="0"/>
      <w:divBdr>
        <w:top w:val="none" w:sz="0" w:space="0" w:color="auto"/>
        <w:left w:val="none" w:sz="0" w:space="0" w:color="auto"/>
        <w:bottom w:val="none" w:sz="0" w:space="0" w:color="auto"/>
        <w:right w:val="none" w:sz="0" w:space="0" w:color="auto"/>
      </w:divBdr>
    </w:div>
    <w:div w:id="497312843">
      <w:bodyDiv w:val="1"/>
      <w:marLeft w:val="0"/>
      <w:marRight w:val="0"/>
      <w:marTop w:val="0"/>
      <w:marBottom w:val="0"/>
      <w:divBdr>
        <w:top w:val="none" w:sz="0" w:space="0" w:color="auto"/>
        <w:left w:val="none" w:sz="0" w:space="0" w:color="auto"/>
        <w:bottom w:val="none" w:sz="0" w:space="0" w:color="auto"/>
        <w:right w:val="none" w:sz="0" w:space="0" w:color="auto"/>
      </w:divBdr>
    </w:div>
    <w:div w:id="499853486">
      <w:bodyDiv w:val="1"/>
      <w:marLeft w:val="0"/>
      <w:marRight w:val="0"/>
      <w:marTop w:val="0"/>
      <w:marBottom w:val="0"/>
      <w:divBdr>
        <w:top w:val="none" w:sz="0" w:space="0" w:color="auto"/>
        <w:left w:val="none" w:sz="0" w:space="0" w:color="auto"/>
        <w:bottom w:val="none" w:sz="0" w:space="0" w:color="auto"/>
        <w:right w:val="none" w:sz="0" w:space="0" w:color="auto"/>
      </w:divBdr>
    </w:div>
    <w:div w:id="513958715">
      <w:bodyDiv w:val="1"/>
      <w:marLeft w:val="0"/>
      <w:marRight w:val="0"/>
      <w:marTop w:val="0"/>
      <w:marBottom w:val="0"/>
      <w:divBdr>
        <w:top w:val="none" w:sz="0" w:space="0" w:color="auto"/>
        <w:left w:val="none" w:sz="0" w:space="0" w:color="auto"/>
        <w:bottom w:val="none" w:sz="0" w:space="0" w:color="auto"/>
        <w:right w:val="none" w:sz="0" w:space="0" w:color="auto"/>
      </w:divBdr>
    </w:div>
    <w:div w:id="549532507">
      <w:bodyDiv w:val="1"/>
      <w:marLeft w:val="0"/>
      <w:marRight w:val="0"/>
      <w:marTop w:val="0"/>
      <w:marBottom w:val="0"/>
      <w:divBdr>
        <w:top w:val="none" w:sz="0" w:space="0" w:color="auto"/>
        <w:left w:val="none" w:sz="0" w:space="0" w:color="auto"/>
        <w:bottom w:val="none" w:sz="0" w:space="0" w:color="auto"/>
        <w:right w:val="none" w:sz="0" w:space="0" w:color="auto"/>
      </w:divBdr>
    </w:div>
    <w:div w:id="577180644">
      <w:bodyDiv w:val="1"/>
      <w:marLeft w:val="0"/>
      <w:marRight w:val="0"/>
      <w:marTop w:val="0"/>
      <w:marBottom w:val="0"/>
      <w:divBdr>
        <w:top w:val="none" w:sz="0" w:space="0" w:color="auto"/>
        <w:left w:val="none" w:sz="0" w:space="0" w:color="auto"/>
        <w:bottom w:val="none" w:sz="0" w:space="0" w:color="auto"/>
        <w:right w:val="none" w:sz="0" w:space="0" w:color="auto"/>
      </w:divBdr>
    </w:div>
    <w:div w:id="588276074">
      <w:bodyDiv w:val="1"/>
      <w:marLeft w:val="0"/>
      <w:marRight w:val="0"/>
      <w:marTop w:val="0"/>
      <w:marBottom w:val="0"/>
      <w:divBdr>
        <w:top w:val="none" w:sz="0" w:space="0" w:color="auto"/>
        <w:left w:val="none" w:sz="0" w:space="0" w:color="auto"/>
        <w:bottom w:val="none" w:sz="0" w:space="0" w:color="auto"/>
        <w:right w:val="none" w:sz="0" w:space="0" w:color="auto"/>
      </w:divBdr>
    </w:div>
    <w:div w:id="608391635">
      <w:bodyDiv w:val="1"/>
      <w:marLeft w:val="0"/>
      <w:marRight w:val="0"/>
      <w:marTop w:val="0"/>
      <w:marBottom w:val="0"/>
      <w:divBdr>
        <w:top w:val="none" w:sz="0" w:space="0" w:color="auto"/>
        <w:left w:val="none" w:sz="0" w:space="0" w:color="auto"/>
        <w:bottom w:val="none" w:sz="0" w:space="0" w:color="auto"/>
        <w:right w:val="none" w:sz="0" w:space="0" w:color="auto"/>
      </w:divBdr>
    </w:div>
    <w:div w:id="681509970">
      <w:bodyDiv w:val="1"/>
      <w:marLeft w:val="0"/>
      <w:marRight w:val="0"/>
      <w:marTop w:val="0"/>
      <w:marBottom w:val="0"/>
      <w:divBdr>
        <w:top w:val="none" w:sz="0" w:space="0" w:color="auto"/>
        <w:left w:val="none" w:sz="0" w:space="0" w:color="auto"/>
        <w:bottom w:val="none" w:sz="0" w:space="0" w:color="auto"/>
        <w:right w:val="none" w:sz="0" w:space="0" w:color="auto"/>
      </w:divBdr>
    </w:div>
    <w:div w:id="882791777">
      <w:bodyDiv w:val="1"/>
      <w:marLeft w:val="0"/>
      <w:marRight w:val="0"/>
      <w:marTop w:val="0"/>
      <w:marBottom w:val="0"/>
      <w:divBdr>
        <w:top w:val="none" w:sz="0" w:space="0" w:color="auto"/>
        <w:left w:val="none" w:sz="0" w:space="0" w:color="auto"/>
        <w:bottom w:val="none" w:sz="0" w:space="0" w:color="auto"/>
        <w:right w:val="none" w:sz="0" w:space="0" w:color="auto"/>
      </w:divBdr>
    </w:div>
    <w:div w:id="908660504">
      <w:bodyDiv w:val="1"/>
      <w:marLeft w:val="0"/>
      <w:marRight w:val="0"/>
      <w:marTop w:val="0"/>
      <w:marBottom w:val="0"/>
      <w:divBdr>
        <w:top w:val="none" w:sz="0" w:space="0" w:color="auto"/>
        <w:left w:val="none" w:sz="0" w:space="0" w:color="auto"/>
        <w:bottom w:val="none" w:sz="0" w:space="0" w:color="auto"/>
        <w:right w:val="none" w:sz="0" w:space="0" w:color="auto"/>
      </w:divBdr>
    </w:div>
    <w:div w:id="1009674392">
      <w:bodyDiv w:val="1"/>
      <w:marLeft w:val="0"/>
      <w:marRight w:val="0"/>
      <w:marTop w:val="0"/>
      <w:marBottom w:val="0"/>
      <w:divBdr>
        <w:top w:val="none" w:sz="0" w:space="0" w:color="auto"/>
        <w:left w:val="none" w:sz="0" w:space="0" w:color="auto"/>
        <w:bottom w:val="none" w:sz="0" w:space="0" w:color="auto"/>
        <w:right w:val="none" w:sz="0" w:space="0" w:color="auto"/>
      </w:divBdr>
    </w:div>
    <w:div w:id="1096755030">
      <w:bodyDiv w:val="1"/>
      <w:marLeft w:val="0"/>
      <w:marRight w:val="0"/>
      <w:marTop w:val="0"/>
      <w:marBottom w:val="0"/>
      <w:divBdr>
        <w:top w:val="none" w:sz="0" w:space="0" w:color="auto"/>
        <w:left w:val="none" w:sz="0" w:space="0" w:color="auto"/>
        <w:bottom w:val="none" w:sz="0" w:space="0" w:color="auto"/>
        <w:right w:val="none" w:sz="0" w:space="0" w:color="auto"/>
      </w:divBdr>
    </w:div>
    <w:div w:id="1129935762">
      <w:bodyDiv w:val="1"/>
      <w:marLeft w:val="0"/>
      <w:marRight w:val="0"/>
      <w:marTop w:val="0"/>
      <w:marBottom w:val="0"/>
      <w:divBdr>
        <w:top w:val="none" w:sz="0" w:space="0" w:color="auto"/>
        <w:left w:val="none" w:sz="0" w:space="0" w:color="auto"/>
        <w:bottom w:val="none" w:sz="0" w:space="0" w:color="auto"/>
        <w:right w:val="none" w:sz="0" w:space="0" w:color="auto"/>
      </w:divBdr>
    </w:div>
    <w:div w:id="1205218146">
      <w:bodyDiv w:val="1"/>
      <w:marLeft w:val="0"/>
      <w:marRight w:val="0"/>
      <w:marTop w:val="0"/>
      <w:marBottom w:val="0"/>
      <w:divBdr>
        <w:top w:val="none" w:sz="0" w:space="0" w:color="auto"/>
        <w:left w:val="none" w:sz="0" w:space="0" w:color="auto"/>
        <w:bottom w:val="none" w:sz="0" w:space="0" w:color="auto"/>
        <w:right w:val="none" w:sz="0" w:space="0" w:color="auto"/>
      </w:divBdr>
    </w:div>
    <w:div w:id="1219127451">
      <w:bodyDiv w:val="1"/>
      <w:marLeft w:val="0"/>
      <w:marRight w:val="0"/>
      <w:marTop w:val="0"/>
      <w:marBottom w:val="0"/>
      <w:divBdr>
        <w:top w:val="none" w:sz="0" w:space="0" w:color="auto"/>
        <w:left w:val="none" w:sz="0" w:space="0" w:color="auto"/>
        <w:bottom w:val="none" w:sz="0" w:space="0" w:color="auto"/>
        <w:right w:val="none" w:sz="0" w:space="0" w:color="auto"/>
      </w:divBdr>
    </w:div>
    <w:div w:id="1251431105">
      <w:bodyDiv w:val="1"/>
      <w:marLeft w:val="0"/>
      <w:marRight w:val="0"/>
      <w:marTop w:val="0"/>
      <w:marBottom w:val="0"/>
      <w:divBdr>
        <w:top w:val="none" w:sz="0" w:space="0" w:color="auto"/>
        <w:left w:val="none" w:sz="0" w:space="0" w:color="auto"/>
        <w:bottom w:val="none" w:sz="0" w:space="0" w:color="auto"/>
        <w:right w:val="none" w:sz="0" w:space="0" w:color="auto"/>
      </w:divBdr>
    </w:div>
    <w:div w:id="1262840091">
      <w:bodyDiv w:val="1"/>
      <w:marLeft w:val="0"/>
      <w:marRight w:val="0"/>
      <w:marTop w:val="0"/>
      <w:marBottom w:val="0"/>
      <w:divBdr>
        <w:top w:val="none" w:sz="0" w:space="0" w:color="auto"/>
        <w:left w:val="none" w:sz="0" w:space="0" w:color="auto"/>
        <w:bottom w:val="none" w:sz="0" w:space="0" w:color="auto"/>
        <w:right w:val="none" w:sz="0" w:space="0" w:color="auto"/>
      </w:divBdr>
    </w:div>
    <w:div w:id="1296135877">
      <w:bodyDiv w:val="1"/>
      <w:marLeft w:val="0"/>
      <w:marRight w:val="0"/>
      <w:marTop w:val="0"/>
      <w:marBottom w:val="0"/>
      <w:divBdr>
        <w:top w:val="none" w:sz="0" w:space="0" w:color="auto"/>
        <w:left w:val="none" w:sz="0" w:space="0" w:color="auto"/>
        <w:bottom w:val="none" w:sz="0" w:space="0" w:color="auto"/>
        <w:right w:val="none" w:sz="0" w:space="0" w:color="auto"/>
      </w:divBdr>
    </w:div>
    <w:div w:id="1333486648">
      <w:bodyDiv w:val="1"/>
      <w:marLeft w:val="0"/>
      <w:marRight w:val="0"/>
      <w:marTop w:val="0"/>
      <w:marBottom w:val="0"/>
      <w:divBdr>
        <w:top w:val="none" w:sz="0" w:space="0" w:color="auto"/>
        <w:left w:val="none" w:sz="0" w:space="0" w:color="auto"/>
        <w:bottom w:val="none" w:sz="0" w:space="0" w:color="auto"/>
        <w:right w:val="none" w:sz="0" w:space="0" w:color="auto"/>
      </w:divBdr>
    </w:div>
    <w:div w:id="1356496112">
      <w:bodyDiv w:val="1"/>
      <w:marLeft w:val="0"/>
      <w:marRight w:val="0"/>
      <w:marTop w:val="0"/>
      <w:marBottom w:val="0"/>
      <w:divBdr>
        <w:top w:val="none" w:sz="0" w:space="0" w:color="auto"/>
        <w:left w:val="none" w:sz="0" w:space="0" w:color="auto"/>
        <w:bottom w:val="none" w:sz="0" w:space="0" w:color="auto"/>
        <w:right w:val="none" w:sz="0" w:space="0" w:color="auto"/>
      </w:divBdr>
    </w:div>
    <w:div w:id="1393501920">
      <w:bodyDiv w:val="1"/>
      <w:marLeft w:val="0"/>
      <w:marRight w:val="0"/>
      <w:marTop w:val="0"/>
      <w:marBottom w:val="0"/>
      <w:divBdr>
        <w:top w:val="none" w:sz="0" w:space="0" w:color="auto"/>
        <w:left w:val="none" w:sz="0" w:space="0" w:color="auto"/>
        <w:bottom w:val="none" w:sz="0" w:space="0" w:color="auto"/>
        <w:right w:val="none" w:sz="0" w:space="0" w:color="auto"/>
      </w:divBdr>
    </w:div>
    <w:div w:id="1398474034">
      <w:bodyDiv w:val="1"/>
      <w:marLeft w:val="0"/>
      <w:marRight w:val="0"/>
      <w:marTop w:val="0"/>
      <w:marBottom w:val="0"/>
      <w:divBdr>
        <w:top w:val="none" w:sz="0" w:space="0" w:color="auto"/>
        <w:left w:val="none" w:sz="0" w:space="0" w:color="auto"/>
        <w:bottom w:val="none" w:sz="0" w:space="0" w:color="auto"/>
        <w:right w:val="none" w:sz="0" w:space="0" w:color="auto"/>
      </w:divBdr>
    </w:div>
    <w:div w:id="1472213669">
      <w:bodyDiv w:val="1"/>
      <w:marLeft w:val="0"/>
      <w:marRight w:val="0"/>
      <w:marTop w:val="0"/>
      <w:marBottom w:val="0"/>
      <w:divBdr>
        <w:top w:val="none" w:sz="0" w:space="0" w:color="auto"/>
        <w:left w:val="none" w:sz="0" w:space="0" w:color="auto"/>
        <w:bottom w:val="none" w:sz="0" w:space="0" w:color="auto"/>
        <w:right w:val="none" w:sz="0" w:space="0" w:color="auto"/>
      </w:divBdr>
    </w:div>
    <w:div w:id="1483695427">
      <w:bodyDiv w:val="1"/>
      <w:marLeft w:val="0"/>
      <w:marRight w:val="0"/>
      <w:marTop w:val="0"/>
      <w:marBottom w:val="0"/>
      <w:divBdr>
        <w:top w:val="none" w:sz="0" w:space="0" w:color="auto"/>
        <w:left w:val="none" w:sz="0" w:space="0" w:color="auto"/>
        <w:bottom w:val="none" w:sz="0" w:space="0" w:color="auto"/>
        <w:right w:val="none" w:sz="0" w:space="0" w:color="auto"/>
      </w:divBdr>
    </w:div>
    <w:div w:id="1496677485">
      <w:bodyDiv w:val="1"/>
      <w:marLeft w:val="0"/>
      <w:marRight w:val="0"/>
      <w:marTop w:val="0"/>
      <w:marBottom w:val="0"/>
      <w:divBdr>
        <w:top w:val="none" w:sz="0" w:space="0" w:color="auto"/>
        <w:left w:val="none" w:sz="0" w:space="0" w:color="auto"/>
        <w:bottom w:val="none" w:sz="0" w:space="0" w:color="auto"/>
        <w:right w:val="none" w:sz="0" w:space="0" w:color="auto"/>
      </w:divBdr>
    </w:div>
    <w:div w:id="1503545074">
      <w:bodyDiv w:val="1"/>
      <w:marLeft w:val="0"/>
      <w:marRight w:val="0"/>
      <w:marTop w:val="0"/>
      <w:marBottom w:val="0"/>
      <w:divBdr>
        <w:top w:val="none" w:sz="0" w:space="0" w:color="auto"/>
        <w:left w:val="none" w:sz="0" w:space="0" w:color="auto"/>
        <w:bottom w:val="none" w:sz="0" w:space="0" w:color="auto"/>
        <w:right w:val="none" w:sz="0" w:space="0" w:color="auto"/>
      </w:divBdr>
    </w:div>
    <w:div w:id="1554536681">
      <w:bodyDiv w:val="1"/>
      <w:marLeft w:val="0"/>
      <w:marRight w:val="0"/>
      <w:marTop w:val="0"/>
      <w:marBottom w:val="0"/>
      <w:divBdr>
        <w:top w:val="none" w:sz="0" w:space="0" w:color="auto"/>
        <w:left w:val="none" w:sz="0" w:space="0" w:color="auto"/>
        <w:bottom w:val="none" w:sz="0" w:space="0" w:color="auto"/>
        <w:right w:val="none" w:sz="0" w:space="0" w:color="auto"/>
      </w:divBdr>
    </w:div>
    <w:div w:id="1602251795">
      <w:bodyDiv w:val="1"/>
      <w:marLeft w:val="0"/>
      <w:marRight w:val="0"/>
      <w:marTop w:val="0"/>
      <w:marBottom w:val="0"/>
      <w:divBdr>
        <w:top w:val="none" w:sz="0" w:space="0" w:color="auto"/>
        <w:left w:val="none" w:sz="0" w:space="0" w:color="auto"/>
        <w:bottom w:val="none" w:sz="0" w:space="0" w:color="auto"/>
        <w:right w:val="none" w:sz="0" w:space="0" w:color="auto"/>
      </w:divBdr>
    </w:div>
    <w:div w:id="1615401265">
      <w:bodyDiv w:val="1"/>
      <w:marLeft w:val="0"/>
      <w:marRight w:val="0"/>
      <w:marTop w:val="0"/>
      <w:marBottom w:val="0"/>
      <w:divBdr>
        <w:top w:val="none" w:sz="0" w:space="0" w:color="auto"/>
        <w:left w:val="none" w:sz="0" w:space="0" w:color="auto"/>
        <w:bottom w:val="none" w:sz="0" w:space="0" w:color="auto"/>
        <w:right w:val="none" w:sz="0" w:space="0" w:color="auto"/>
      </w:divBdr>
    </w:div>
    <w:div w:id="1642927444">
      <w:bodyDiv w:val="1"/>
      <w:marLeft w:val="0"/>
      <w:marRight w:val="0"/>
      <w:marTop w:val="0"/>
      <w:marBottom w:val="0"/>
      <w:divBdr>
        <w:top w:val="none" w:sz="0" w:space="0" w:color="auto"/>
        <w:left w:val="none" w:sz="0" w:space="0" w:color="auto"/>
        <w:bottom w:val="none" w:sz="0" w:space="0" w:color="auto"/>
        <w:right w:val="none" w:sz="0" w:space="0" w:color="auto"/>
      </w:divBdr>
    </w:div>
    <w:div w:id="1879857647">
      <w:bodyDiv w:val="1"/>
      <w:marLeft w:val="0"/>
      <w:marRight w:val="0"/>
      <w:marTop w:val="0"/>
      <w:marBottom w:val="0"/>
      <w:divBdr>
        <w:top w:val="none" w:sz="0" w:space="0" w:color="auto"/>
        <w:left w:val="none" w:sz="0" w:space="0" w:color="auto"/>
        <w:bottom w:val="none" w:sz="0" w:space="0" w:color="auto"/>
        <w:right w:val="none" w:sz="0" w:space="0" w:color="auto"/>
      </w:divBdr>
    </w:div>
    <w:div w:id="1917088221">
      <w:bodyDiv w:val="1"/>
      <w:marLeft w:val="0"/>
      <w:marRight w:val="0"/>
      <w:marTop w:val="0"/>
      <w:marBottom w:val="0"/>
      <w:divBdr>
        <w:top w:val="none" w:sz="0" w:space="0" w:color="auto"/>
        <w:left w:val="none" w:sz="0" w:space="0" w:color="auto"/>
        <w:bottom w:val="none" w:sz="0" w:space="0" w:color="auto"/>
        <w:right w:val="none" w:sz="0" w:space="0" w:color="auto"/>
      </w:divBdr>
    </w:div>
    <w:div w:id="1980188205">
      <w:bodyDiv w:val="1"/>
      <w:marLeft w:val="0"/>
      <w:marRight w:val="0"/>
      <w:marTop w:val="0"/>
      <w:marBottom w:val="0"/>
      <w:divBdr>
        <w:top w:val="none" w:sz="0" w:space="0" w:color="auto"/>
        <w:left w:val="none" w:sz="0" w:space="0" w:color="auto"/>
        <w:bottom w:val="none" w:sz="0" w:space="0" w:color="auto"/>
        <w:right w:val="none" w:sz="0" w:space="0" w:color="auto"/>
      </w:divBdr>
    </w:div>
    <w:div w:id="208853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cid:image001.png@01CC5B5E.C6C84990" TargetMode="External"/><Relationship Id="rId26" Type="http://schemas.openxmlformats.org/officeDocument/2006/relationships/image" Target="media/image6.png"/><Relationship Id="rId39" Type="http://schemas.openxmlformats.org/officeDocument/2006/relationships/customXml" Target="../customXml/item2.xml"/><Relationship Id="rId21" Type="http://schemas.openxmlformats.org/officeDocument/2006/relationships/hyperlink" Target="mailto:university-statistics@education.gov.au" TargetMode="External"/><Relationship Id="rId34" Type="http://schemas.openxmlformats.org/officeDocument/2006/relationships/image" Target="media/image14.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creativecommons.org/licenses/by/3.0/au/legalcode" TargetMode="External"/><Relationship Id="rId29" Type="http://schemas.openxmlformats.org/officeDocument/2006/relationships/image" Target="media/image9.jpeg"/><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4.jpg"/><Relationship Id="rId32" Type="http://schemas.openxmlformats.org/officeDocument/2006/relationships/image" Target="media/image12.jpeg"/><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image" Target="media/image8.jpeg"/><Relationship Id="rId36" Type="http://schemas.openxmlformats.org/officeDocument/2006/relationships/image" Target="media/image16.jpeg"/><Relationship Id="rId10" Type="http://schemas.openxmlformats.org/officeDocument/2006/relationships/image" Target="media/image2.jpg"/><Relationship Id="rId19" Type="http://schemas.openxmlformats.org/officeDocument/2006/relationships/hyperlink" Target="http://creativecommons.org/licenses/by/3.0/au/" TargetMode="External"/><Relationship Id="rId31"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5.png"/><Relationship Id="rId33" Type="http://schemas.openxmlformats.org/officeDocument/2006/relationships/image" Target="media/image13.jpeg"/><Relationship Id="rId3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ducation.gov.au/selected-higher-education-statistics-2013-student-data"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CDAEFE-B301-4195-A68C-71F23EF97E30}"/>
</file>

<file path=customXml/itemProps2.xml><?xml version="1.0" encoding="utf-8"?>
<ds:datastoreItem xmlns:ds="http://schemas.openxmlformats.org/officeDocument/2006/customXml" ds:itemID="{E1F646D1-1FB8-40ED-9452-951C5553F6AD}"/>
</file>

<file path=customXml/itemProps3.xml><?xml version="1.0" encoding="utf-8"?>
<ds:datastoreItem xmlns:ds="http://schemas.openxmlformats.org/officeDocument/2006/customXml" ds:itemID="{9BD4D0EF-E10F-47D4-9CA6-9B524BE220CB}"/>
</file>

<file path=customXml/itemProps4.xml><?xml version="1.0" encoding="utf-8"?>
<ds:datastoreItem xmlns:ds="http://schemas.openxmlformats.org/officeDocument/2006/customXml" ds:itemID="{67D2146D-E6FC-4764-B50B-2F3AC4532737}"/>
</file>

<file path=docProps/app.xml><?xml version="1.0" encoding="utf-8"?>
<Properties xmlns="http://schemas.openxmlformats.org/officeDocument/2006/extended-properties" xmlns:vt="http://schemas.openxmlformats.org/officeDocument/2006/docPropsVTypes">
  <Template>C02607FF.dotm</Template>
  <TotalTime>0</TotalTime>
  <Pages>40</Pages>
  <Words>6413</Words>
  <Characters>36557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2014-12-19T04:21:00Z</dcterms:created>
  <dcterms:modified xsi:type="dcterms:W3CDTF">2015-02-17T23:03:00Z</dcterms:modified>
</cp:coreProperties>
</file>